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0" w:type="dxa"/>
        <w:tblInd w:w="-318" w:type="dxa"/>
        <w:tblLayout w:type="fixed"/>
        <w:tblCellMar>
          <w:left w:w="10" w:type="dxa"/>
          <w:right w:w="10" w:type="dxa"/>
        </w:tblCellMar>
        <w:tblLook w:val="04A0" w:firstRow="1" w:lastRow="0" w:firstColumn="1" w:lastColumn="0" w:noHBand="0" w:noVBand="1"/>
      </w:tblPr>
      <w:tblGrid>
        <w:gridCol w:w="9780"/>
      </w:tblGrid>
      <w:tr w:rsidR="00873667" w:rsidRPr="00404725" w14:paraId="0C3E33F5"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60BB20" w14:textId="6C1331AA" w:rsidR="00873667" w:rsidRDefault="00873667">
            <w:pPr>
              <w:pStyle w:val="Textbody"/>
              <w:spacing w:after="0" w:line="276" w:lineRule="auto"/>
              <w:jc w:val="both"/>
              <w:rPr>
                <w:rFonts w:ascii="Calibri" w:hAnsi="Calibri"/>
                <w:b/>
                <w:bCs/>
                <w:sz w:val="20"/>
                <w:szCs w:val="20"/>
              </w:rPr>
            </w:pPr>
            <w:r>
              <w:rPr>
                <w:rFonts w:ascii="Calibri" w:hAnsi="Calibri"/>
                <w:b/>
                <w:sz w:val="20"/>
              </w:rPr>
              <w:t>PRELIMINARY DRAFT OF THE ORDINANCE AMENDING THE ORDINANCE OF 1</w:t>
            </w:r>
            <w:r>
              <w:rPr>
                <w:rFonts w:ascii="Calibri" w:hAnsi="Calibri"/>
                <w:b/>
                <w:sz w:val="20"/>
                <w:vertAlign w:val="superscript"/>
              </w:rPr>
              <w:t>ST</w:t>
            </w:r>
            <w:r>
              <w:rPr>
                <w:rFonts w:ascii="Calibri" w:hAnsi="Calibri"/>
                <w:b/>
                <w:sz w:val="20"/>
              </w:rPr>
              <w:t>MARCH 2007 ON THE PROTECTION OF THE ENVIRONMENT AGAINST THE POSSIBLE HARMFUL EFFECTS AND NUISANCES CAUSED BY NON-IONISING RADIATION, THE ORDINANCE OF 5 JUNE 1997 ON ENVIRONMENTAL PERMITS AND</w:t>
            </w:r>
            <w:r>
              <w:rPr>
                <w:rFonts w:ascii="Calibri" w:hAnsi="Calibri"/>
                <w:sz w:val="22"/>
              </w:rPr>
              <w:t xml:space="preserve"> </w:t>
            </w:r>
            <w:r>
              <w:rPr>
                <w:rFonts w:ascii="Calibri" w:hAnsi="Calibri"/>
                <w:b/>
                <w:sz w:val="20"/>
              </w:rPr>
              <w:t>THE ORDINANCE OF 2 MAY 2013 ON THE BRUSSELS CODE ON AIR, CLIMATE AND ENERGY MANAGEMENT</w:t>
            </w:r>
          </w:p>
          <w:p w14:paraId="38F78F38" w14:textId="77777777" w:rsidR="00873667" w:rsidRDefault="00873667">
            <w:pPr>
              <w:pStyle w:val="Textbody"/>
              <w:spacing w:after="0" w:line="276" w:lineRule="auto"/>
              <w:jc w:val="both"/>
              <w:rPr>
                <w:rFonts w:ascii="Calibri" w:hAnsi="Calibri"/>
                <w:b/>
                <w:bCs/>
                <w:sz w:val="20"/>
                <w:szCs w:val="20"/>
                <w:lang w:val="fr-BE"/>
              </w:rPr>
            </w:pPr>
          </w:p>
        </w:tc>
      </w:tr>
      <w:tr w:rsidR="00873667" w14:paraId="34B1D417"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5C04F6" w14:textId="77777777" w:rsidR="00873667" w:rsidRDefault="00873667">
            <w:pPr>
              <w:spacing w:after="0" w:line="240" w:lineRule="auto"/>
              <w:jc w:val="both"/>
              <w:rPr>
                <w:rFonts w:asciiTheme="minorHAnsi" w:hAnsiTheme="minorHAnsi"/>
                <w:color w:val="000000" w:themeColor="text1"/>
                <w:sz w:val="20"/>
                <w:szCs w:val="20"/>
              </w:rPr>
            </w:pPr>
            <w:r>
              <w:rPr>
                <w:rFonts w:asciiTheme="minorHAnsi" w:hAnsiTheme="minorHAnsi"/>
                <w:color w:val="000000" w:themeColor="text1"/>
                <w:sz w:val="20"/>
              </w:rPr>
              <w:t>The Government of the Brussels-Capital Region,</w:t>
            </w:r>
          </w:p>
          <w:p w14:paraId="6A372BBA" w14:textId="77777777" w:rsidR="00873667" w:rsidRDefault="00873667">
            <w:pPr>
              <w:spacing w:after="0" w:line="240" w:lineRule="auto"/>
              <w:jc w:val="both"/>
              <w:rPr>
                <w:rFonts w:asciiTheme="minorHAnsi" w:hAnsiTheme="minorHAnsi"/>
                <w:color w:val="000000" w:themeColor="text1"/>
                <w:sz w:val="20"/>
                <w:szCs w:val="20"/>
                <w:lang w:val="fr-BE"/>
              </w:rPr>
            </w:pPr>
          </w:p>
          <w:p w14:paraId="61958105" w14:textId="77777777" w:rsidR="00873667" w:rsidRDefault="00873667">
            <w:pPr>
              <w:spacing w:after="0" w:line="240" w:lineRule="auto"/>
              <w:jc w:val="both"/>
              <w:rPr>
                <w:rFonts w:asciiTheme="minorHAnsi" w:hAnsiTheme="minorHAnsi"/>
                <w:color w:val="000000" w:themeColor="text1"/>
                <w:sz w:val="20"/>
                <w:szCs w:val="20"/>
              </w:rPr>
            </w:pPr>
            <w:r>
              <w:rPr>
                <w:rFonts w:asciiTheme="minorHAnsi" w:hAnsiTheme="minorHAnsi"/>
                <w:color w:val="000000" w:themeColor="text1"/>
                <w:sz w:val="20"/>
              </w:rPr>
              <w:t xml:space="preserve">Having regard to the assessment report, referred to as “equal opportunities test”, required by Article 2(1) of the Ordinance of 4 October 2018 for the introduction of the equal opportunities test in the political lines of the Brussels-Capital Region and by Article 1 of the Decree of the Government of the Brussels-Capital Region of 22 November 2018 implementing this ordinance; </w:t>
            </w:r>
          </w:p>
          <w:p w14:paraId="3F837FB9" w14:textId="77777777" w:rsidR="00873667" w:rsidRDefault="00873667">
            <w:pPr>
              <w:spacing w:after="0" w:line="240" w:lineRule="auto"/>
              <w:jc w:val="both"/>
              <w:rPr>
                <w:rFonts w:asciiTheme="minorHAnsi" w:hAnsiTheme="minorHAnsi"/>
                <w:color w:val="000000" w:themeColor="text1"/>
                <w:sz w:val="20"/>
                <w:szCs w:val="20"/>
                <w:lang w:val="fr-BE"/>
              </w:rPr>
            </w:pPr>
          </w:p>
          <w:p w14:paraId="32C7AD0E" w14:textId="77777777" w:rsidR="00873667" w:rsidRDefault="00873667">
            <w:pPr>
              <w:spacing w:after="0" w:line="240" w:lineRule="auto"/>
              <w:jc w:val="both"/>
              <w:rPr>
                <w:rFonts w:asciiTheme="minorHAnsi" w:hAnsiTheme="minorHAnsi"/>
                <w:color w:val="000000" w:themeColor="text1"/>
                <w:sz w:val="20"/>
                <w:szCs w:val="20"/>
              </w:rPr>
            </w:pPr>
            <w:r>
              <w:rPr>
                <w:rFonts w:asciiTheme="minorHAnsi" w:hAnsiTheme="minorHAnsi"/>
                <w:color w:val="000000" w:themeColor="text1"/>
                <w:sz w:val="20"/>
              </w:rPr>
              <w:t>Having regard to Directive (EU) 2018/1972 of the European Parliament and of the Council of 11 December 2018 establishing the European Electronic Communications Code, Article 57.5;</w:t>
            </w:r>
          </w:p>
          <w:p w14:paraId="3146CB8D" w14:textId="77777777" w:rsidR="00873667" w:rsidRDefault="00873667">
            <w:pPr>
              <w:spacing w:after="0" w:line="240" w:lineRule="auto"/>
              <w:jc w:val="both"/>
              <w:rPr>
                <w:rFonts w:asciiTheme="minorHAnsi" w:hAnsiTheme="minorHAnsi"/>
                <w:color w:val="000000" w:themeColor="text1"/>
                <w:sz w:val="20"/>
                <w:szCs w:val="20"/>
                <w:lang w:val="fr-BE"/>
              </w:rPr>
            </w:pPr>
          </w:p>
          <w:p w14:paraId="03FBB56C" w14:textId="77777777" w:rsidR="00873667" w:rsidRDefault="00873667">
            <w:pPr>
              <w:spacing w:after="0" w:line="240" w:lineRule="auto"/>
              <w:jc w:val="both"/>
              <w:rPr>
                <w:rFonts w:asciiTheme="minorHAnsi" w:hAnsiTheme="minorHAnsi"/>
                <w:color w:val="000000" w:themeColor="text1"/>
                <w:sz w:val="20"/>
                <w:szCs w:val="20"/>
                <w:lang w:val="fr-BE"/>
              </w:rPr>
            </w:pPr>
          </w:p>
          <w:p w14:paraId="6A6B9180" w14:textId="77777777" w:rsidR="00873667" w:rsidRDefault="00873667">
            <w:pPr>
              <w:spacing w:after="0" w:line="240" w:lineRule="auto"/>
              <w:jc w:val="both"/>
              <w:rPr>
                <w:rFonts w:asciiTheme="minorHAnsi" w:hAnsiTheme="minorHAnsi"/>
                <w:color w:val="000000" w:themeColor="text1"/>
                <w:sz w:val="20"/>
                <w:szCs w:val="20"/>
              </w:rPr>
            </w:pPr>
            <w:r>
              <w:rPr>
                <w:rFonts w:asciiTheme="minorHAnsi" w:hAnsiTheme="minorHAnsi"/>
                <w:color w:val="000000" w:themeColor="text1"/>
                <w:sz w:val="20"/>
              </w:rPr>
              <w:t>Having regard to the Ordinance of 1</w:t>
            </w:r>
            <w:r>
              <w:rPr>
                <w:rFonts w:asciiTheme="minorHAnsi" w:hAnsiTheme="minorHAnsi"/>
                <w:color w:val="000000" w:themeColor="text1"/>
                <w:sz w:val="20"/>
                <w:vertAlign w:val="superscript"/>
              </w:rPr>
              <w:t>st</w:t>
            </w:r>
            <w:r>
              <w:rPr>
                <w:rFonts w:asciiTheme="minorHAnsi" w:hAnsiTheme="minorHAnsi"/>
                <w:color w:val="000000" w:themeColor="text1"/>
                <w:sz w:val="20"/>
              </w:rPr>
              <w:t xml:space="preserve"> March 2007 on the protection of the environment against any harmful effects and nuisances caused by non-ionising radiation, as amended by the Ordinances of 3 April 2014, 8 May 2014 and 27 June 2016;</w:t>
            </w:r>
          </w:p>
          <w:p w14:paraId="3BB9CE37" w14:textId="77777777" w:rsidR="00873667" w:rsidRDefault="00873667">
            <w:pPr>
              <w:spacing w:after="0" w:line="240" w:lineRule="auto"/>
              <w:jc w:val="both"/>
              <w:rPr>
                <w:rFonts w:asciiTheme="minorHAnsi" w:hAnsiTheme="minorHAnsi"/>
                <w:color w:val="000000" w:themeColor="text1"/>
                <w:sz w:val="20"/>
                <w:szCs w:val="20"/>
                <w:lang w:val="fr-BE"/>
              </w:rPr>
            </w:pPr>
          </w:p>
          <w:p w14:paraId="6228F157" w14:textId="77777777" w:rsidR="00873667" w:rsidRDefault="00873667">
            <w:pPr>
              <w:spacing w:after="0" w:line="240" w:lineRule="auto"/>
              <w:jc w:val="both"/>
              <w:rPr>
                <w:rFonts w:asciiTheme="minorHAnsi" w:hAnsiTheme="minorHAnsi"/>
                <w:color w:val="000000" w:themeColor="text1"/>
                <w:sz w:val="20"/>
                <w:szCs w:val="20"/>
              </w:rPr>
            </w:pPr>
            <w:r>
              <w:rPr>
                <w:rFonts w:asciiTheme="minorHAnsi" w:hAnsiTheme="minorHAnsi"/>
                <w:color w:val="000000" w:themeColor="text1"/>
                <w:sz w:val="20"/>
              </w:rPr>
              <w:t xml:space="preserve">Having regard to the opinion of </w:t>
            </w:r>
            <w:proofErr w:type="spellStart"/>
            <w:r>
              <w:rPr>
                <w:rFonts w:asciiTheme="minorHAnsi" w:hAnsiTheme="minorHAnsi"/>
                <w:color w:val="000000" w:themeColor="text1"/>
                <w:sz w:val="20"/>
              </w:rPr>
              <w:t>Brupartners</w:t>
            </w:r>
            <w:proofErr w:type="spellEnd"/>
            <w:r>
              <w:rPr>
                <w:rFonts w:asciiTheme="minorHAnsi" w:hAnsiTheme="minorHAnsi"/>
                <w:color w:val="000000" w:themeColor="text1"/>
                <w:sz w:val="20"/>
              </w:rPr>
              <w:t xml:space="preserve">, given on 18 November 2021; </w:t>
            </w:r>
          </w:p>
          <w:p w14:paraId="57BF7CE2" w14:textId="77777777" w:rsidR="00873667" w:rsidRDefault="00873667">
            <w:pPr>
              <w:spacing w:after="0" w:line="240" w:lineRule="auto"/>
              <w:jc w:val="both"/>
              <w:rPr>
                <w:rFonts w:asciiTheme="minorHAnsi" w:hAnsiTheme="minorHAnsi"/>
                <w:color w:val="000000" w:themeColor="text1"/>
                <w:sz w:val="20"/>
                <w:szCs w:val="20"/>
                <w:lang w:val="fr-BE"/>
              </w:rPr>
            </w:pPr>
          </w:p>
          <w:p w14:paraId="6826C19E" w14:textId="77777777" w:rsidR="00873667" w:rsidRDefault="00873667">
            <w:pPr>
              <w:spacing w:after="0" w:line="240" w:lineRule="auto"/>
              <w:jc w:val="both"/>
              <w:rPr>
                <w:rFonts w:asciiTheme="minorHAnsi" w:hAnsiTheme="minorHAnsi"/>
                <w:color w:val="000000" w:themeColor="text1"/>
                <w:sz w:val="20"/>
                <w:szCs w:val="20"/>
                <w:lang w:val="fr-BE"/>
              </w:rPr>
            </w:pPr>
          </w:p>
          <w:p w14:paraId="31DEAA3C" w14:textId="77777777" w:rsidR="00873667" w:rsidRDefault="00873667">
            <w:pPr>
              <w:spacing w:after="0" w:line="240" w:lineRule="auto"/>
              <w:jc w:val="both"/>
              <w:rPr>
                <w:rFonts w:asciiTheme="minorHAnsi" w:hAnsiTheme="minorHAnsi"/>
                <w:color w:val="000000" w:themeColor="text1"/>
                <w:sz w:val="20"/>
                <w:szCs w:val="20"/>
              </w:rPr>
            </w:pPr>
            <w:r>
              <w:rPr>
                <w:rFonts w:asciiTheme="minorHAnsi" w:hAnsiTheme="minorHAnsi"/>
                <w:color w:val="000000" w:themeColor="text1"/>
                <w:sz w:val="20"/>
              </w:rPr>
              <w:t>Having regard to the opinion of the Environment Council, given on 25 November 2021;</w:t>
            </w:r>
          </w:p>
          <w:p w14:paraId="46357F7C" w14:textId="77777777" w:rsidR="00873667" w:rsidRDefault="00873667">
            <w:pPr>
              <w:spacing w:after="0" w:line="240" w:lineRule="auto"/>
              <w:jc w:val="both"/>
              <w:rPr>
                <w:rFonts w:asciiTheme="minorHAnsi" w:hAnsiTheme="minorHAnsi"/>
                <w:color w:val="000000" w:themeColor="text1"/>
                <w:sz w:val="20"/>
                <w:szCs w:val="20"/>
                <w:lang w:val="fr-BE"/>
              </w:rPr>
            </w:pPr>
          </w:p>
          <w:p w14:paraId="0D68A106" w14:textId="77777777" w:rsidR="00873667" w:rsidRDefault="00873667">
            <w:pPr>
              <w:spacing w:after="0" w:line="240" w:lineRule="auto"/>
              <w:jc w:val="both"/>
              <w:rPr>
                <w:rFonts w:asciiTheme="minorHAnsi" w:hAnsiTheme="minorHAnsi"/>
                <w:color w:val="000000" w:themeColor="text1"/>
                <w:sz w:val="20"/>
                <w:szCs w:val="20"/>
              </w:rPr>
            </w:pPr>
            <w:r>
              <w:rPr>
                <w:rFonts w:asciiTheme="minorHAnsi" w:hAnsiTheme="minorHAnsi"/>
                <w:color w:val="000000" w:themeColor="text1"/>
                <w:sz w:val="20"/>
              </w:rPr>
              <w:t xml:space="preserve">Having regard to the opinion of the Committee of Experts on Non-Ionising Radiation, given on 4 February 2022; </w:t>
            </w:r>
          </w:p>
          <w:p w14:paraId="01F62904" w14:textId="77777777" w:rsidR="00873667" w:rsidRDefault="00873667">
            <w:pPr>
              <w:spacing w:after="0" w:line="240" w:lineRule="auto"/>
              <w:jc w:val="both"/>
              <w:rPr>
                <w:rFonts w:asciiTheme="minorHAnsi" w:hAnsiTheme="minorHAnsi"/>
                <w:color w:val="000000" w:themeColor="text1"/>
                <w:sz w:val="20"/>
                <w:szCs w:val="20"/>
                <w:lang w:val="fr-BE"/>
              </w:rPr>
            </w:pPr>
          </w:p>
          <w:p w14:paraId="5B903D04" w14:textId="77777777" w:rsidR="00873667" w:rsidRDefault="00873667">
            <w:pPr>
              <w:spacing w:after="0" w:line="240" w:lineRule="auto"/>
              <w:jc w:val="both"/>
              <w:rPr>
                <w:rFonts w:asciiTheme="minorHAnsi" w:hAnsiTheme="minorHAnsi"/>
                <w:color w:val="000000" w:themeColor="text1"/>
                <w:sz w:val="20"/>
                <w:szCs w:val="20"/>
              </w:rPr>
            </w:pPr>
            <w:r>
              <w:rPr>
                <w:rFonts w:asciiTheme="minorHAnsi" w:hAnsiTheme="minorHAnsi"/>
                <w:color w:val="000000" w:themeColor="text1"/>
                <w:sz w:val="20"/>
              </w:rPr>
              <w:t>Having regard to the recommendations of the deliberative committee responsible for making recommendations on the implementation of 5G in the Brussels-Capital Region, taking into account the environment, health, economy, employment and technological aspects of 5 June 2021;</w:t>
            </w:r>
          </w:p>
          <w:p w14:paraId="4781B5FF" w14:textId="77777777" w:rsidR="00873667" w:rsidRDefault="00873667">
            <w:pPr>
              <w:spacing w:after="0" w:line="240" w:lineRule="auto"/>
              <w:jc w:val="both"/>
              <w:rPr>
                <w:rFonts w:asciiTheme="minorHAnsi" w:hAnsiTheme="minorHAnsi"/>
                <w:color w:val="000000" w:themeColor="text1"/>
                <w:sz w:val="20"/>
                <w:szCs w:val="20"/>
                <w:lang w:val="fr-BE"/>
              </w:rPr>
            </w:pPr>
          </w:p>
          <w:p w14:paraId="562FC590" w14:textId="77777777" w:rsidR="00873667" w:rsidRDefault="00873667">
            <w:pPr>
              <w:spacing w:after="0" w:line="240" w:lineRule="auto"/>
              <w:jc w:val="both"/>
              <w:rPr>
                <w:rFonts w:asciiTheme="minorHAnsi" w:hAnsiTheme="minorHAnsi"/>
                <w:color w:val="000000" w:themeColor="text1"/>
                <w:sz w:val="20"/>
                <w:szCs w:val="20"/>
              </w:rPr>
            </w:pPr>
            <w:r>
              <w:rPr>
                <w:rFonts w:asciiTheme="minorHAnsi" w:hAnsiTheme="minorHAnsi"/>
                <w:color w:val="000000" w:themeColor="text1"/>
                <w:sz w:val="20"/>
              </w:rPr>
              <w:t xml:space="preserve">Having regard to the environmental assessment carried out in accordance with the provisions of the Ordinance of 18 March 2004 on the assessment of the effects of certain plans and programmes on the environment; </w:t>
            </w:r>
          </w:p>
          <w:p w14:paraId="01BAFB8F" w14:textId="77777777" w:rsidR="00873667" w:rsidRDefault="00873667">
            <w:pPr>
              <w:spacing w:after="0" w:line="240" w:lineRule="auto"/>
              <w:jc w:val="both"/>
              <w:rPr>
                <w:rFonts w:asciiTheme="minorHAnsi" w:hAnsiTheme="minorHAnsi"/>
                <w:color w:val="000000" w:themeColor="text1"/>
                <w:sz w:val="20"/>
                <w:szCs w:val="20"/>
                <w:lang w:val="fr-BE"/>
              </w:rPr>
            </w:pPr>
          </w:p>
          <w:p w14:paraId="7D51530B" w14:textId="77777777" w:rsidR="00873667" w:rsidRDefault="00873667">
            <w:pPr>
              <w:spacing w:after="0" w:line="240" w:lineRule="auto"/>
              <w:jc w:val="both"/>
              <w:rPr>
                <w:rFonts w:asciiTheme="minorHAnsi" w:hAnsiTheme="minorHAnsi"/>
                <w:color w:val="000000" w:themeColor="text1"/>
                <w:sz w:val="20"/>
                <w:szCs w:val="20"/>
              </w:rPr>
            </w:pPr>
            <w:r>
              <w:rPr>
                <w:rFonts w:asciiTheme="minorHAnsi" w:hAnsiTheme="minorHAnsi"/>
                <w:color w:val="000000" w:themeColor="text1"/>
                <w:sz w:val="20"/>
              </w:rPr>
              <w:t>Having regard to the laws on the Council of State, coordinated on 12 January 1973, Article 3, §§ 1 and 2;</w:t>
            </w:r>
          </w:p>
          <w:p w14:paraId="33EBD2BF" w14:textId="77777777" w:rsidR="00873667" w:rsidRDefault="00873667">
            <w:pPr>
              <w:spacing w:after="0" w:line="240" w:lineRule="auto"/>
              <w:jc w:val="both"/>
              <w:rPr>
                <w:rFonts w:asciiTheme="minorHAnsi" w:hAnsiTheme="minorHAnsi"/>
                <w:color w:val="000000" w:themeColor="text1"/>
                <w:sz w:val="20"/>
                <w:szCs w:val="20"/>
                <w:lang w:val="fr-BE"/>
              </w:rPr>
            </w:pPr>
          </w:p>
          <w:p w14:paraId="7900BCA1" w14:textId="77777777" w:rsidR="00873667" w:rsidRDefault="00873667">
            <w:pPr>
              <w:spacing w:after="0" w:line="240" w:lineRule="auto"/>
              <w:jc w:val="both"/>
              <w:rPr>
                <w:rFonts w:asciiTheme="minorHAnsi" w:hAnsiTheme="minorHAnsi"/>
                <w:color w:val="000000" w:themeColor="text1"/>
                <w:sz w:val="20"/>
                <w:szCs w:val="20"/>
              </w:rPr>
            </w:pPr>
            <w:r>
              <w:rPr>
                <w:rFonts w:asciiTheme="minorHAnsi" w:hAnsiTheme="minorHAnsi"/>
                <w:color w:val="000000" w:themeColor="text1"/>
                <w:sz w:val="20"/>
              </w:rPr>
              <w:t>Having regard to Opinion No [*] of the Council of State, given on [*];</w:t>
            </w:r>
          </w:p>
          <w:p w14:paraId="2C516520" w14:textId="77777777" w:rsidR="00873667" w:rsidRDefault="00873667">
            <w:pPr>
              <w:spacing w:after="0" w:line="240" w:lineRule="auto"/>
              <w:jc w:val="both"/>
              <w:rPr>
                <w:rFonts w:asciiTheme="minorHAnsi" w:hAnsiTheme="minorHAnsi"/>
                <w:color w:val="000000" w:themeColor="text1"/>
                <w:sz w:val="20"/>
                <w:szCs w:val="20"/>
                <w:lang w:val="fr-BE"/>
              </w:rPr>
            </w:pPr>
          </w:p>
          <w:p w14:paraId="49A1412F" w14:textId="77777777" w:rsidR="00873667" w:rsidRDefault="00873667">
            <w:pPr>
              <w:spacing w:after="0" w:line="240" w:lineRule="auto"/>
              <w:jc w:val="both"/>
              <w:rPr>
                <w:rFonts w:asciiTheme="minorHAnsi" w:hAnsiTheme="minorHAnsi"/>
                <w:color w:val="000000" w:themeColor="text1"/>
                <w:sz w:val="20"/>
                <w:szCs w:val="20"/>
              </w:rPr>
            </w:pPr>
            <w:r>
              <w:rPr>
                <w:rFonts w:asciiTheme="minorHAnsi" w:hAnsiTheme="minorHAnsi"/>
                <w:color w:val="000000" w:themeColor="text1"/>
                <w:sz w:val="20"/>
              </w:rPr>
              <w:t xml:space="preserve">Whereas the opinion of the Committee on Privacy is not required as Regulation (EU) 2016/679 of the European Parliament and of the Council of 27 April 2016 on the protection of natural persons with regard to the processing of personal data and on the free movement of such data applies only to the personal data of natural persons and not to those of legal persons; whereas this text concerns only legal persons (operators) without impacting the personal data of natural persons; </w:t>
            </w:r>
          </w:p>
          <w:p w14:paraId="4A4E89A1" w14:textId="77777777" w:rsidR="00873667" w:rsidRDefault="00873667">
            <w:pPr>
              <w:spacing w:after="0" w:line="240" w:lineRule="auto"/>
              <w:jc w:val="both"/>
              <w:rPr>
                <w:rFonts w:asciiTheme="minorHAnsi" w:hAnsiTheme="minorHAnsi"/>
                <w:color w:val="000000" w:themeColor="text1"/>
                <w:sz w:val="20"/>
                <w:szCs w:val="20"/>
                <w:lang w:val="fr-BE"/>
              </w:rPr>
            </w:pPr>
          </w:p>
          <w:p w14:paraId="4202D25C" w14:textId="77777777" w:rsidR="00873667" w:rsidRDefault="00873667">
            <w:pPr>
              <w:spacing w:after="0" w:line="240" w:lineRule="auto"/>
              <w:jc w:val="both"/>
              <w:rPr>
                <w:rFonts w:asciiTheme="minorHAnsi" w:hAnsiTheme="minorHAnsi"/>
                <w:color w:val="000000" w:themeColor="text1"/>
                <w:sz w:val="20"/>
                <w:szCs w:val="20"/>
              </w:rPr>
            </w:pPr>
            <w:r>
              <w:rPr>
                <w:rFonts w:asciiTheme="minorHAnsi" w:hAnsiTheme="minorHAnsi"/>
                <w:color w:val="000000" w:themeColor="text1"/>
                <w:sz w:val="20"/>
              </w:rPr>
              <w:t>On the proposal of the Minister-President and the Minister of the Environment,</w:t>
            </w:r>
          </w:p>
          <w:p w14:paraId="014CEA58" w14:textId="77777777" w:rsidR="00873667" w:rsidRDefault="00873667">
            <w:pPr>
              <w:spacing w:after="0" w:line="240" w:lineRule="auto"/>
              <w:jc w:val="both"/>
              <w:rPr>
                <w:rFonts w:asciiTheme="minorHAnsi" w:hAnsiTheme="minorHAnsi"/>
                <w:color w:val="000000" w:themeColor="text1"/>
                <w:sz w:val="20"/>
                <w:szCs w:val="20"/>
                <w:lang w:val="fr-BE"/>
              </w:rPr>
            </w:pPr>
          </w:p>
          <w:p w14:paraId="7EC6DA0D" w14:textId="77777777" w:rsidR="00873667" w:rsidRDefault="00873667">
            <w:pPr>
              <w:spacing w:after="0" w:line="240" w:lineRule="auto"/>
              <w:jc w:val="both"/>
              <w:rPr>
                <w:rFonts w:asciiTheme="minorHAnsi" w:hAnsiTheme="minorHAnsi"/>
                <w:color w:val="000000" w:themeColor="text1"/>
                <w:sz w:val="20"/>
                <w:szCs w:val="20"/>
              </w:rPr>
            </w:pPr>
            <w:r>
              <w:rPr>
                <w:rFonts w:asciiTheme="minorHAnsi" w:hAnsiTheme="minorHAnsi"/>
                <w:color w:val="000000" w:themeColor="text1"/>
                <w:sz w:val="20"/>
              </w:rPr>
              <w:t>After deliberations,</w:t>
            </w:r>
          </w:p>
          <w:p w14:paraId="2DA82BBF" w14:textId="77777777" w:rsidR="00873667" w:rsidRDefault="00873667">
            <w:pPr>
              <w:spacing w:after="0" w:line="240" w:lineRule="auto"/>
              <w:jc w:val="both"/>
              <w:rPr>
                <w:rFonts w:asciiTheme="minorHAnsi" w:hAnsiTheme="minorHAnsi"/>
                <w:color w:val="000000" w:themeColor="text1"/>
                <w:sz w:val="20"/>
                <w:szCs w:val="20"/>
                <w:lang w:val="nl-NL"/>
              </w:rPr>
            </w:pPr>
          </w:p>
          <w:p w14:paraId="27A3098B" w14:textId="77777777" w:rsidR="00873667" w:rsidRDefault="00873667">
            <w:pPr>
              <w:spacing w:after="0" w:line="240" w:lineRule="auto"/>
              <w:jc w:val="both"/>
              <w:rPr>
                <w:rFonts w:asciiTheme="minorHAnsi" w:eastAsiaTheme="minorHAnsi" w:hAnsiTheme="minorHAnsi" w:cs="TimesNewRoman"/>
                <w:kern w:val="0"/>
                <w:sz w:val="18"/>
                <w:szCs w:val="18"/>
                <w:lang w:val="nl-NL"/>
              </w:rPr>
            </w:pPr>
          </w:p>
        </w:tc>
      </w:tr>
      <w:tr w:rsidR="00873667" w14:paraId="1C5587BB"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2251D8" w14:textId="77777777" w:rsidR="00873667" w:rsidRDefault="00873667">
            <w:pPr>
              <w:spacing w:after="0" w:line="240" w:lineRule="auto"/>
              <w:jc w:val="center"/>
              <w:rPr>
                <w:rFonts w:asciiTheme="minorHAnsi" w:hAnsiTheme="minorHAnsi"/>
                <w:b/>
                <w:color w:val="000000" w:themeColor="text1"/>
                <w:sz w:val="20"/>
                <w:szCs w:val="20"/>
              </w:rPr>
            </w:pPr>
            <w:r>
              <w:rPr>
                <w:rFonts w:asciiTheme="minorHAnsi" w:hAnsiTheme="minorHAnsi"/>
                <w:b/>
                <w:color w:val="000000" w:themeColor="text1"/>
                <w:sz w:val="20"/>
              </w:rPr>
              <w:t>Hereby orders</w:t>
            </w:r>
          </w:p>
          <w:p w14:paraId="30AA9CFE" w14:textId="77777777" w:rsidR="00873667" w:rsidRDefault="00873667">
            <w:pPr>
              <w:spacing w:after="0" w:line="240" w:lineRule="auto"/>
              <w:jc w:val="both"/>
              <w:rPr>
                <w:rFonts w:cs="Times New Roman"/>
                <w:b/>
                <w:sz w:val="20"/>
                <w:szCs w:val="20"/>
                <w:lang w:val="nl-NL"/>
              </w:rPr>
            </w:pPr>
          </w:p>
        </w:tc>
      </w:tr>
      <w:tr w:rsidR="00873667" w:rsidRPr="00404725" w14:paraId="5DCAAB3C"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4C10A" w14:textId="77777777" w:rsidR="00873667" w:rsidRDefault="00873667">
            <w:pPr>
              <w:spacing w:after="0" w:line="240" w:lineRule="auto"/>
              <w:jc w:val="both"/>
              <w:rPr>
                <w:rFonts w:asciiTheme="minorHAnsi" w:hAnsiTheme="minorHAnsi"/>
                <w:color w:val="000000" w:themeColor="text1"/>
                <w:sz w:val="20"/>
                <w:szCs w:val="20"/>
              </w:rPr>
            </w:pPr>
            <w:r>
              <w:rPr>
                <w:rFonts w:asciiTheme="minorHAnsi" w:hAnsiTheme="minorHAnsi"/>
                <w:color w:val="000000" w:themeColor="text1"/>
                <w:sz w:val="20"/>
              </w:rPr>
              <w:t xml:space="preserve">The Minister of the Environment is responsible for presenting to the Parliament the following draft ordinance: </w:t>
            </w:r>
          </w:p>
          <w:p w14:paraId="20AE67A3" w14:textId="77777777" w:rsidR="00873667" w:rsidRDefault="00873667">
            <w:pPr>
              <w:spacing w:after="0" w:line="240" w:lineRule="auto"/>
              <w:jc w:val="both"/>
              <w:rPr>
                <w:bCs/>
                <w:sz w:val="20"/>
                <w:szCs w:val="20"/>
                <w:lang w:val="fr-BE"/>
              </w:rPr>
            </w:pPr>
          </w:p>
        </w:tc>
      </w:tr>
      <w:tr w:rsidR="00873667" w14:paraId="0AD90BD2"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180087" w14:textId="77777777" w:rsidR="00873667" w:rsidRDefault="00873667">
            <w:pPr>
              <w:spacing w:after="0" w:line="240" w:lineRule="auto"/>
              <w:jc w:val="both"/>
              <w:rPr>
                <w:rFonts w:asciiTheme="minorHAnsi" w:hAnsiTheme="minorHAnsi"/>
                <w:b/>
                <w:bCs/>
                <w:color w:val="000000" w:themeColor="text1"/>
                <w:sz w:val="20"/>
                <w:szCs w:val="20"/>
              </w:rPr>
            </w:pPr>
            <w:r>
              <w:rPr>
                <w:rFonts w:asciiTheme="minorHAnsi" w:hAnsiTheme="minorHAnsi"/>
                <w:b/>
                <w:color w:val="000000" w:themeColor="text1"/>
                <w:sz w:val="20"/>
              </w:rPr>
              <w:t>Chapter 1. Introductory provision</w:t>
            </w:r>
          </w:p>
        </w:tc>
      </w:tr>
      <w:tr w:rsidR="00873667" w:rsidRPr="00404725" w14:paraId="4EDF49AB"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7236C" w14:textId="77777777" w:rsidR="00873667" w:rsidRDefault="00873667">
            <w:pPr>
              <w:spacing w:after="0" w:line="240" w:lineRule="auto"/>
              <w:jc w:val="both"/>
              <w:rPr>
                <w:rFonts w:asciiTheme="minorHAnsi" w:hAnsiTheme="minorHAnsi"/>
                <w:b/>
                <w:color w:val="000000" w:themeColor="text1"/>
                <w:sz w:val="20"/>
                <w:szCs w:val="20"/>
              </w:rPr>
            </w:pPr>
            <w:r>
              <w:rPr>
                <w:rFonts w:asciiTheme="minorHAnsi" w:hAnsiTheme="minorHAnsi"/>
                <w:b/>
                <w:color w:val="000000" w:themeColor="text1"/>
                <w:sz w:val="20"/>
              </w:rPr>
              <w:t>Article 1.</w:t>
            </w:r>
          </w:p>
          <w:p w14:paraId="7E06BF8C" w14:textId="77777777" w:rsidR="00873667" w:rsidRDefault="00873667">
            <w:pPr>
              <w:spacing w:after="0" w:line="240" w:lineRule="auto"/>
              <w:jc w:val="both"/>
              <w:rPr>
                <w:rFonts w:asciiTheme="minorHAnsi" w:hAnsiTheme="minorHAnsi"/>
                <w:sz w:val="20"/>
                <w:szCs w:val="20"/>
              </w:rPr>
            </w:pPr>
            <w:r>
              <w:rPr>
                <w:rFonts w:asciiTheme="minorHAnsi" w:hAnsiTheme="minorHAnsi"/>
                <w:sz w:val="20"/>
              </w:rPr>
              <w:t xml:space="preserve">This ordinance regulates on a matter mentioned in Article 39 of the Constitution. </w:t>
            </w:r>
          </w:p>
          <w:p w14:paraId="63EF4B7A" w14:textId="77777777" w:rsidR="00873667" w:rsidRDefault="00873667">
            <w:pPr>
              <w:spacing w:after="0" w:line="240" w:lineRule="auto"/>
              <w:jc w:val="both"/>
              <w:rPr>
                <w:rFonts w:asciiTheme="minorHAnsi" w:hAnsiTheme="minorHAnsi"/>
                <w:sz w:val="20"/>
                <w:szCs w:val="20"/>
                <w:lang w:val="fr-BE"/>
              </w:rPr>
            </w:pPr>
          </w:p>
          <w:p w14:paraId="6E2F7DA1" w14:textId="77777777" w:rsidR="00873667" w:rsidRDefault="00873667">
            <w:pPr>
              <w:spacing w:after="0" w:line="240" w:lineRule="auto"/>
              <w:jc w:val="both"/>
              <w:rPr>
                <w:rFonts w:asciiTheme="minorHAnsi" w:hAnsiTheme="minorHAnsi"/>
                <w:sz w:val="20"/>
                <w:szCs w:val="20"/>
              </w:rPr>
            </w:pPr>
            <w:r>
              <w:rPr>
                <w:rFonts w:asciiTheme="minorHAnsi" w:hAnsiTheme="minorHAnsi"/>
                <w:sz w:val="20"/>
              </w:rPr>
              <w:t>This Ordinance partially transposes</w:t>
            </w:r>
            <w:r>
              <w:t xml:space="preserve"> </w:t>
            </w:r>
            <w:r>
              <w:rPr>
                <w:rFonts w:asciiTheme="minorHAnsi" w:hAnsiTheme="minorHAnsi"/>
                <w:sz w:val="20"/>
              </w:rPr>
              <w:t>Directive (EU) 2018/1972 of the European Parliament and of the Council of 11 December 2018 establishing the European Electronic Communications Code.</w:t>
            </w:r>
          </w:p>
          <w:p w14:paraId="2EF3826D" w14:textId="77777777" w:rsidR="00873667" w:rsidRDefault="00873667">
            <w:pPr>
              <w:spacing w:after="0" w:line="240" w:lineRule="auto"/>
              <w:jc w:val="both"/>
              <w:rPr>
                <w:bCs/>
                <w:sz w:val="20"/>
                <w:szCs w:val="20"/>
                <w:lang w:val="fr-BE"/>
              </w:rPr>
            </w:pPr>
          </w:p>
        </w:tc>
      </w:tr>
      <w:tr w:rsidR="00873667" w:rsidRPr="00404725" w14:paraId="6A06A42B"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19F631" w14:textId="77777777" w:rsidR="00873667" w:rsidRDefault="00873667">
            <w:pPr>
              <w:spacing w:after="0" w:line="240" w:lineRule="auto"/>
              <w:jc w:val="both"/>
              <w:rPr>
                <w:rFonts w:asciiTheme="minorHAnsi" w:hAnsiTheme="minorHAnsi"/>
                <w:b/>
                <w:sz w:val="20"/>
                <w:szCs w:val="20"/>
              </w:rPr>
            </w:pPr>
            <w:r>
              <w:rPr>
                <w:rFonts w:asciiTheme="minorHAnsi" w:hAnsiTheme="minorHAnsi"/>
                <w:b/>
                <w:sz w:val="20"/>
              </w:rPr>
              <w:lastRenderedPageBreak/>
              <w:t>Chapter 2. Amendments of the Ordinance of 1</w:t>
            </w:r>
            <w:r>
              <w:rPr>
                <w:rFonts w:asciiTheme="minorHAnsi" w:hAnsiTheme="minorHAnsi"/>
                <w:b/>
                <w:sz w:val="20"/>
                <w:vertAlign w:val="superscript"/>
              </w:rPr>
              <w:t>st</w:t>
            </w:r>
            <w:r>
              <w:rPr>
                <w:rFonts w:asciiTheme="minorHAnsi" w:hAnsiTheme="minorHAnsi"/>
                <w:b/>
                <w:sz w:val="20"/>
              </w:rPr>
              <w:t> March 2007 on the protection of the environment against the potential harmful effects and nuisances caused by non-ionising radiation</w:t>
            </w:r>
          </w:p>
        </w:tc>
      </w:tr>
      <w:tr w:rsidR="00873667" w:rsidRPr="00404725" w14:paraId="29C7DA73"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F4D1" w14:textId="77777777" w:rsidR="00873667" w:rsidRDefault="00873667">
            <w:pPr>
              <w:spacing w:after="0" w:line="240" w:lineRule="auto"/>
              <w:jc w:val="both"/>
              <w:rPr>
                <w:rFonts w:asciiTheme="minorHAnsi" w:hAnsiTheme="minorHAnsi"/>
                <w:b/>
                <w:sz w:val="20"/>
                <w:szCs w:val="20"/>
              </w:rPr>
            </w:pPr>
            <w:r>
              <w:rPr>
                <w:rFonts w:asciiTheme="minorHAnsi" w:hAnsiTheme="minorHAnsi"/>
                <w:b/>
                <w:sz w:val="20"/>
              </w:rPr>
              <w:t>Article 2.</w:t>
            </w:r>
          </w:p>
          <w:p w14:paraId="53C0BEAE" w14:textId="77777777" w:rsidR="00873667" w:rsidRDefault="00873667">
            <w:pPr>
              <w:spacing w:after="0" w:line="240" w:lineRule="auto"/>
              <w:jc w:val="both"/>
              <w:rPr>
                <w:rFonts w:asciiTheme="minorHAnsi" w:hAnsiTheme="minorHAnsi"/>
                <w:sz w:val="20"/>
                <w:szCs w:val="20"/>
              </w:rPr>
            </w:pPr>
            <w:r>
              <w:rPr>
                <w:rFonts w:asciiTheme="minorHAnsi" w:hAnsiTheme="minorHAnsi"/>
                <w:sz w:val="20"/>
              </w:rPr>
              <w:t>In Article 2 of the Ordinance of 1</w:t>
            </w:r>
            <w:r>
              <w:rPr>
                <w:rFonts w:asciiTheme="minorHAnsi" w:hAnsiTheme="minorHAnsi"/>
                <w:sz w:val="20"/>
                <w:vertAlign w:val="superscript"/>
              </w:rPr>
              <w:t>st</w:t>
            </w:r>
            <w:r>
              <w:rPr>
                <w:rFonts w:asciiTheme="minorHAnsi" w:hAnsiTheme="minorHAnsi"/>
                <w:sz w:val="20"/>
              </w:rPr>
              <w:t xml:space="preserve"> March 2007 on the protection of the environment against possible harmful effects and nuisances caused by non-ionising radiation, as amended by the Ordinance of 3 April 2014 and partially annulled by Ruling No 12/2016 of the Constitutional Court, the following amendments are made:</w:t>
            </w:r>
          </w:p>
          <w:p w14:paraId="2460015D" w14:textId="77777777" w:rsidR="00873667" w:rsidRDefault="00873667">
            <w:pPr>
              <w:spacing w:after="0" w:line="240" w:lineRule="auto"/>
              <w:jc w:val="both"/>
              <w:rPr>
                <w:rFonts w:asciiTheme="minorHAnsi" w:hAnsiTheme="minorHAnsi"/>
                <w:sz w:val="20"/>
                <w:szCs w:val="20"/>
                <w:lang w:val="fr-BE"/>
              </w:rPr>
            </w:pPr>
          </w:p>
          <w:p w14:paraId="122112B2" w14:textId="77777777" w:rsidR="00873667" w:rsidRDefault="00873667" w:rsidP="00242999">
            <w:pPr>
              <w:pStyle w:val="ListParagraph"/>
              <w:widowControl/>
              <w:numPr>
                <w:ilvl w:val="0"/>
                <w:numId w:val="1"/>
              </w:numPr>
              <w:suppressAutoHyphens w:val="0"/>
              <w:spacing w:after="0" w:line="240" w:lineRule="auto"/>
              <w:jc w:val="both"/>
              <w:rPr>
                <w:rFonts w:asciiTheme="minorHAnsi" w:hAnsiTheme="minorHAnsi"/>
                <w:sz w:val="20"/>
                <w:szCs w:val="20"/>
              </w:rPr>
            </w:pPr>
            <w:r>
              <w:rPr>
                <w:rFonts w:asciiTheme="minorHAnsi" w:hAnsiTheme="minorHAnsi"/>
                <w:sz w:val="20"/>
              </w:rPr>
              <w:t xml:space="preserve">in paragraph 1, point 2 is replaced by the following: </w:t>
            </w:r>
          </w:p>
          <w:p w14:paraId="19D6FC33" w14:textId="77777777" w:rsidR="00873667" w:rsidRDefault="00873667">
            <w:pPr>
              <w:spacing w:after="0" w:line="240" w:lineRule="auto"/>
              <w:ind w:left="352"/>
              <w:jc w:val="both"/>
              <w:rPr>
                <w:rFonts w:asciiTheme="minorHAnsi" w:hAnsiTheme="minorHAnsi"/>
                <w:sz w:val="20"/>
                <w:szCs w:val="20"/>
              </w:rPr>
            </w:pPr>
            <w:r>
              <w:rPr>
                <w:rFonts w:asciiTheme="minorHAnsi" w:hAnsiTheme="minorHAnsi"/>
                <w:sz w:val="20"/>
              </w:rPr>
              <w:t>“2. “areas accessible to the public indoors”: premises in a building where people can or may stay regularly, in particular accommodation, hotels, schools, crèches, hospitals, homes for the elderly and buildings dedicated to the regular practice of sports or games;</w:t>
            </w:r>
          </w:p>
          <w:p w14:paraId="6795F995" w14:textId="77777777" w:rsidR="00873667" w:rsidRDefault="00873667">
            <w:pPr>
              <w:spacing w:after="0" w:line="240" w:lineRule="auto"/>
              <w:ind w:left="352"/>
              <w:jc w:val="both"/>
              <w:rPr>
                <w:rFonts w:asciiTheme="minorHAnsi" w:hAnsiTheme="minorHAnsi"/>
                <w:sz w:val="20"/>
                <w:szCs w:val="20"/>
              </w:rPr>
            </w:pPr>
            <w:r>
              <w:rPr>
                <w:rFonts w:asciiTheme="minorHAnsi" w:hAnsiTheme="minorHAnsi"/>
                <w:sz w:val="20"/>
              </w:rPr>
              <w:t>2a. “areas accessible to the public outdoors”: outdoor or related places accessible to the public, in particular gardens, block interiors, park areas, playgrounds and balconies, covered and uncovered terraces of buildings, garage cubicles, sheds, winter gardens, greenhouses and other similar verandas;”;</w:t>
            </w:r>
          </w:p>
          <w:p w14:paraId="7F94A6C9" w14:textId="77777777" w:rsidR="00873667" w:rsidRDefault="00873667">
            <w:pPr>
              <w:spacing w:after="0" w:line="240" w:lineRule="auto"/>
              <w:jc w:val="both"/>
              <w:rPr>
                <w:rFonts w:asciiTheme="minorHAnsi" w:hAnsiTheme="minorHAnsi"/>
                <w:sz w:val="20"/>
                <w:szCs w:val="20"/>
                <w:lang w:val="fr-BE"/>
              </w:rPr>
            </w:pPr>
          </w:p>
          <w:p w14:paraId="04CF6F2D" w14:textId="77777777" w:rsidR="00873667" w:rsidRDefault="00873667" w:rsidP="00242999">
            <w:pPr>
              <w:pStyle w:val="ListParagraph"/>
              <w:widowControl/>
              <w:numPr>
                <w:ilvl w:val="0"/>
                <w:numId w:val="1"/>
              </w:numPr>
              <w:suppressAutoHyphens w:val="0"/>
              <w:spacing w:after="0" w:line="240" w:lineRule="auto"/>
              <w:jc w:val="both"/>
              <w:rPr>
                <w:rFonts w:asciiTheme="minorHAnsi" w:hAnsiTheme="minorHAnsi"/>
                <w:sz w:val="20"/>
                <w:szCs w:val="20"/>
              </w:rPr>
            </w:pPr>
            <w:r>
              <w:rPr>
                <w:rFonts w:asciiTheme="minorHAnsi" w:hAnsiTheme="minorHAnsi"/>
                <w:sz w:val="20"/>
              </w:rPr>
              <w:t>in paragraph 1, point 4, c), the “.” is replaced by a “;”;</w:t>
            </w:r>
          </w:p>
          <w:p w14:paraId="24E8B218" w14:textId="77777777" w:rsidR="00873667" w:rsidRDefault="00873667">
            <w:pPr>
              <w:pStyle w:val="ListParagraph"/>
              <w:widowControl/>
              <w:suppressAutoHyphens w:val="0"/>
              <w:spacing w:after="0" w:line="240" w:lineRule="auto"/>
              <w:ind w:left="360"/>
              <w:jc w:val="both"/>
              <w:rPr>
                <w:rFonts w:asciiTheme="minorHAnsi" w:hAnsiTheme="minorHAnsi"/>
                <w:sz w:val="20"/>
                <w:szCs w:val="20"/>
              </w:rPr>
            </w:pPr>
          </w:p>
          <w:p w14:paraId="0E0504A9" w14:textId="62473454" w:rsidR="00873667" w:rsidRDefault="00873667" w:rsidP="00242999">
            <w:pPr>
              <w:pStyle w:val="ListParagraph"/>
              <w:widowControl/>
              <w:numPr>
                <w:ilvl w:val="0"/>
                <w:numId w:val="1"/>
              </w:numPr>
              <w:suppressAutoHyphens w:val="0"/>
              <w:spacing w:after="0" w:line="240" w:lineRule="auto"/>
              <w:jc w:val="both"/>
              <w:rPr>
                <w:rFonts w:asciiTheme="minorHAnsi" w:hAnsiTheme="minorHAnsi"/>
                <w:sz w:val="20"/>
                <w:szCs w:val="20"/>
              </w:rPr>
            </w:pPr>
            <w:r>
              <w:rPr>
                <w:rFonts w:asciiTheme="minorHAnsi" w:hAnsiTheme="minorHAnsi"/>
                <w:sz w:val="20"/>
              </w:rPr>
              <w:t xml:space="preserve">paragraph 1 is supplemented by points 5, 6, 7, 8, 9 and 10, which read as follows: </w:t>
            </w:r>
          </w:p>
          <w:p w14:paraId="719074E0" w14:textId="77777777" w:rsidR="00873667" w:rsidRDefault="00873667">
            <w:pPr>
              <w:spacing w:after="0" w:line="240" w:lineRule="auto"/>
              <w:ind w:left="352"/>
              <w:jc w:val="both"/>
              <w:rPr>
                <w:rFonts w:asciiTheme="minorHAnsi" w:hAnsiTheme="minorHAnsi"/>
                <w:sz w:val="20"/>
                <w:szCs w:val="20"/>
              </w:rPr>
            </w:pPr>
            <w:r>
              <w:rPr>
                <w:rFonts w:asciiTheme="minorHAnsi" w:hAnsiTheme="minorHAnsi"/>
                <w:sz w:val="20"/>
              </w:rPr>
              <w:t>“5. “antenna”: emission system designed to emit a radio-telecommunication signal by electromagnetic waves;</w:t>
            </w:r>
          </w:p>
          <w:p w14:paraId="4DE09907" w14:textId="77777777" w:rsidR="00873667" w:rsidRDefault="00873667">
            <w:pPr>
              <w:spacing w:after="0" w:line="240" w:lineRule="auto"/>
              <w:ind w:left="352"/>
              <w:jc w:val="both"/>
              <w:rPr>
                <w:rFonts w:asciiTheme="minorHAnsi" w:hAnsiTheme="minorHAnsi"/>
                <w:sz w:val="20"/>
                <w:szCs w:val="20"/>
              </w:rPr>
            </w:pPr>
            <w:r>
              <w:rPr>
                <w:rFonts w:asciiTheme="minorHAnsi" w:hAnsiTheme="minorHAnsi"/>
                <w:sz w:val="20"/>
              </w:rPr>
              <w:t>6. “operator”: any legal person holding the right to emit, as well as related or associated companies within the meaning of the Companies Code, and more generally, any person operating an antenna, excluding broadcasters;</w:t>
            </w:r>
          </w:p>
          <w:p w14:paraId="3C5B91DC" w14:textId="77777777" w:rsidR="00873667" w:rsidRDefault="00873667">
            <w:pPr>
              <w:spacing w:after="0" w:line="240" w:lineRule="auto"/>
              <w:ind w:left="352"/>
              <w:jc w:val="both"/>
              <w:rPr>
                <w:rFonts w:asciiTheme="minorHAnsi" w:hAnsiTheme="minorHAnsi"/>
                <w:sz w:val="20"/>
                <w:szCs w:val="20"/>
              </w:rPr>
            </w:pPr>
            <w:r>
              <w:rPr>
                <w:rFonts w:asciiTheme="minorHAnsi" w:hAnsiTheme="minorHAnsi"/>
                <w:sz w:val="20"/>
              </w:rPr>
              <w:t>7. “broadcaster”: network operator referred to in Article 1.3-1, point 33, of the Decree of the French Community of 4 February 2021 on audio-visual media services and video sharing services or Article 2, point 22, of the Flemish Decree of 27 March 2009 on broadcasting and television;</w:t>
            </w:r>
          </w:p>
          <w:p w14:paraId="1FF7897A" w14:textId="77777777" w:rsidR="00873667" w:rsidRDefault="00873667">
            <w:pPr>
              <w:spacing w:after="0" w:line="240" w:lineRule="auto"/>
              <w:ind w:left="352"/>
              <w:jc w:val="both"/>
              <w:rPr>
                <w:rFonts w:asciiTheme="minorHAnsi" w:hAnsiTheme="minorHAnsi"/>
                <w:sz w:val="20"/>
                <w:szCs w:val="20"/>
              </w:rPr>
            </w:pPr>
            <w:r>
              <w:rPr>
                <w:rFonts w:asciiTheme="minorHAnsi" w:hAnsiTheme="minorHAnsi"/>
                <w:sz w:val="20"/>
              </w:rPr>
              <w:t>8. “emergency situation”: any one-off event which causes or is likely to lead to harmful consequences for social life, such as a serious public security disorder, a serious threat to the life or health of individuals and/or important material interests, and which requires the coordination of competent actors, including disciplines, in order to eliminate the threat or to limit the adverse consequences of the event;</w:t>
            </w:r>
          </w:p>
          <w:p w14:paraId="7661DE04" w14:textId="77777777" w:rsidR="00873667" w:rsidRDefault="00873667">
            <w:pPr>
              <w:spacing w:after="0" w:line="240" w:lineRule="auto"/>
              <w:ind w:left="352"/>
              <w:jc w:val="both"/>
              <w:rPr>
                <w:rFonts w:asciiTheme="minorHAnsi" w:hAnsiTheme="minorHAnsi"/>
                <w:sz w:val="20"/>
                <w:szCs w:val="20"/>
              </w:rPr>
            </w:pPr>
            <w:r>
              <w:rPr>
                <w:rFonts w:asciiTheme="minorHAnsi" w:hAnsiTheme="minorHAnsi"/>
                <w:sz w:val="20"/>
              </w:rPr>
              <w:t>9. “ OMC (Operation and Maintenance Centre)”: a basic technical element of a network, set up to ensure its management and including, in particular, the reflection of configurations used on the network, meters and statistics;</w:t>
            </w:r>
          </w:p>
          <w:p w14:paraId="238F3159" w14:textId="77777777" w:rsidR="00873667" w:rsidRDefault="00873667">
            <w:pPr>
              <w:spacing w:after="0" w:line="240" w:lineRule="auto"/>
              <w:ind w:left="352"/>
              <w:jc w:val="both"/>
              <w:rPr>
                <w:rFonts w:asciiTheme="minorHAnsi" w:hAnsiTheme="minorHAnsi"/>
                <w:sz w:val="20"/>
                <w:szCs w:val="20"/>
                <w:lang w:val="fr-BE"/>
              </w:rPr>
            </w:pPr>
          </w:p>
          <w:p w14:paraId="4764DA67" w14:textId="768F3E3C" w:rsidR="00873667" w:rsidRDefault="00873667">
            <w:pPr>
              <w:spacing w:after="0" w:line="240" w:lineRule="auto"/>
              <w:ind w:left="352"/>
              <w:jc w:val="both"/>
              <w:rPr>
                <w:rFonts w:asciiTheme="minorHAnsi" w:hAnsiTheme="minorHAnsi"/>
                <w:sz w:val="20"/>
                <w:szCs w:val="20"/>
              </w:rPr>
            </w:pPr>
            <w:r>
              <w:rPr>
                <w:rFonts w:asciiTheme="minorHAnsi" w:hAnsiTheme="minorHAnsi"/>
                <w:sz w:val="20"/>
              </w:rPr>
              <w:t>10. “Urbis-</w:t>
            </w:r>
            <w:proofErr w:type="spellStart"/>
            <w:r>
              <w:rPr>
                <w:rFonts w:asciiTheme="minorHAnsi" w:hAnsiTheme="minorHAnsi"/>
                <w:sz w:val="20"/>
              </w:rPr>
              <w:t>Adm</w:t>
            </w:r>
            <w:proofErr w:type="spellEnd"/>
            <w:r>
              <w:rPr>
                <w:rFonts w:asciiTheme="minorHAnsi" w:hAnsiTheme="minorHAnsi"/>
                <w:sz w:val="20"/>
              </w:rPr>
              <w:t xml:space="preserve"> 3D database”: a data bank containing information of unique and original value for the Brussels-Capital Region and providing specific guarantees as regards the accuracy, completeness and availability of the information, referred to in the Annex to the Cooperation Agreement of 18 April 2014</w:t>
            </w:r>
            <w:r>
              <w:t xml:space="preserve"> </w:t>
            </w:r>
            <w:r>
              <w:rPr>
                <w:rFonts w:asciiTheme="minorHAnsi" w:hAnsiTheme="minorHAnsi"/>
                <w:sz w:val="20"/>
              </w:rPr>
              <w:t>between the Federal State, the Flemish Region, the Walloon Region and the Brussels-Capital Region concerning the Heritage Information Coordination Structure.”;</w:t>
            </w:r>
          </w:p>
          <w:p w14:paraId="031B8EAB" w14:textId="77777777" w:rsidR="00873667" w:rsidRDefault="00873667">
            <w:pPr>
              <w:spacing w:after="0" w:line="240" w:lineRule="auto"/>
              <w:jc w:val="both"/>
              <w:rPr>
                <w:rFonts w:asciiTheme="minorHAnsi" w:hAnsiTheme="minorHAnsi"/>
                <w:sz w:val="20"/>
                <w:szCs w:val="20"/>
                <w:lang w:val="fr-BE"/>
              </w:rPr>
            </w:pPr>
          </w:p>
          <w:p w14:paraId="533CE327" w14:textId="77777777" w:rsidR="00873667" w:rsidRDefault="00873667" w:rsidP="00242999">
            <w:pPr>
              <w:pStyle w:val="ListParagraph"/>
              <w:widowControl/>
              <w:numPr>
                <w:ilvl w:val="0"/>
                <w:numId w:val="1"/>
              </w:numPr>
              <w:suppressAutoHyphens w:val="0"/>
              <w:spacing w:after="0" w:line="240" w:lineRule="auto"/>
              <w:jc w:val="both"/>
              <w:rPr>
                <w:rFonts w:asciiTheme="minorHAnsi" w:hAnsiTheme="minorHAnsi"/>
                <w:sz w:val="20"/>
                <w:szCs w:val="20"/>
              </w:rPr>
            </w:pPr>
            <w:r>
              <w:rPr>
                <w:rFonts w:asciiTheme="minorHAnsi" w:hAnsiTheme="minorHAnsi"/>
                <w:sz w:val="20"/>
              </w:rPr>
              <w:t xml:space="preserve">paragraph 2, subparagraph 2, is replaced by the following: </w:t>
            </w:r>
          </w:p>
          <w:p w14:paraId="61E32F60" w14:textId="77777777" w:rsidR="00873667" w:rsidRDefault="00873667">
            <w:pPr>
              <w:spacing w:after="0" w:line="240" w:lineRule="auto"/>
              <w:ind w:left="352"/>
              <w:jc w:val="both"/>
              <w:rPr>
                <w:rFonts w:asciiTheme="minorHAnsi" w:hAnsiTheme="minorHAnsi"/>
                <w:sz w:val="20"/>
                <w:szCs w:val="20"/>
              </w:rPr>
            </w:pPr>
            <w:r>
              <w:rPr>
                <w:rFonts w:asciiTheme="minorHAnsi" w:hAnsiTheme="minorHAnsi"/>
                <w:sz w:val="20"/>
              </w:rPr>
              <w:t>“ The provisions of this Ordinance shall not apply in emergency situations.”.</w:t>
            </w:r>
          </w:p>
          <w:p w14:paraId="639D6F68" w14:textId="77777777" w:rsidR="00873667" w:rsidRDefault="00873667">
            <w:pPr>
              <w:spacing w:after="0" w:line="240" w:lineRule="auto"/>
              <w:ind w:left="352"/>
              <w:jc w:val="both"/>
              <w:rPr>
                <w:rFonts w:asciiTheme="minorHAnsi" w:hAnsiTheme="minorHAnsi"/>
                <w:sz w:val="20"/>
                <w:szCs w:val="20"/>
                <w:lang w:val="fr-BE"/>
              </w:rPr>
            </w:pPr>
          </w:p>
        </w:tc>
      </w:tr>
      <w:tr w:rsidR="00873667" w:rsidRPr="00404725" w14:paraId="72ECC1B7"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14364E" w14:textId="77777777" w:rsidR="00873667" w:rsidRDefault="00873667">
            <w:pPr>
              <w:spacing w:after="0" w:line="240" w:lineRule="auto"/>
              <w:jc w:val="both"/>
              <w:rPr>
                <w:rFonts w:asciiTheme="minorHAnsi" w:hAnsiTheme="minorHAnsi"/>
                <w:b/>
                <w:sz w:val="20"/>
                <w:szCs w:val="20"/>
              </w:rPr>
            </w:pPr>
            <w:r>
              <w:rPr>
                <w:rFonts w:asciiTheme="minorHAnsi" w:hAnsiTheme="minorHAnsi"/>
                <w:b/>
                <w:sz w:val="20"/>
              </w:rPr>
              <w:t>Article 3.</w:t>
            </w:r>
          </w:p>
          <w:p w14:paraId="697447F1" w14:textId="77777777" w:rsidR="00873667" w:rsidRDefault="00873667">
            <w:pPr>
              <w:spacing w:after="0" w:line="240" w:lineRule="auto"/>
              <w:jc w:val="both"/>
              <w:rPr>
                <w:rFonts w:asciiTheme="minorHAnsi" w:hAnsiTheme="minorHAnsi"/>
                <w:sz w:val="20"/>
                <w:szCs w:val="20"/>
              </w:rPr>
            </w:pPr>
            <w:r>
              <w:rPr>
                <w:rFonts w:asciiTheme="minorHAnsi" w:hAnsiTheme="minorHAnsi"/>
                <w:sz w:val="20"/>
              </w:rPr>
              <w:t>In Article 3 of this Ordinance, the following amendments are made:</w:t>
            </w:r>
          </w:p>
          <w:p w14:paraId="2CF8E143" w14:textId="77777777" w:rsidR="00873667" w:rsidRDefault="00873667">
            <w:pPr>
              <w:spacing w:after="0" w:line="240" w:lineRule="auto"/>
              <w:jc w:val="both"/>
              <w:rPr>
                <w:rFonts w:asciiTheme="minorHAnsi" w:hAnsiTheme="minorHAnsi"/>
                <w:sz w:val="20"/>
                <w:szCs w:val="20"/>
                <w:lang w:val="fr-BE"/>
              </w:rPr>
            </w:pPr>
          </w:p>
          <w:p w14:paraId="62E692B7" w14:textId="77777777" w:rsidR="00873667" w:rsidRDefault="00873667" w:rsidP="00242999">
            <w:pPr>
              <w:pStyle w:val="ListParagraph"/>
              <w:widowControl/>
              <w:numPr>
                <w:ilvl w:val="0"/>
                <w:numId w:val="2"/>
              </w:numPr>
              <w:suppressAutoHyphens w:val="0"/>
              <w:spacing w:after="0" w:line="240" w:lineRule="auto"/>
              <w:jc w:val="both"/>
              <w:rPr>
                <w:rFonts w:asciiTheme="minorHAnsi" w:hAnsiTheme="minorHAnsi"/>
                <w:sz w:val="20"/>
                <w:szCs w:val="20"/>
              </w:rPr>
            </w:pPr>
            <w:r>
              <w:rPr>
                <w:rFonts w:asciiTheme="minorHAnsi" w:hAnsiTheme="minorHAnsi"/>
                <w:sz w:val="20"/>
              </w:rPr>
              <w:t>in paragraph 1, subparagraphs 2 to 4 are repealed;</w:t>
            </w:r>
          </w:p>
          <w:p w14:paraId="42976C58" w14:textId="77777777" w:rsidR="00873667" w:rsidRDefault="00873667">
            <w:pPr>
              <w:pStyle w:val="ListParagraph"/>
              <w:widowControl/>
              <w:suppressAutoHyphens w:val="0"/>
              <w:spacing w:after="0" w:line="240" w:lineRule="auto"/>
              <w:ind w:left="360"/>
              <w:jc w:val="both"/>
              <w:rPr>
                <w:rFonts w:asciiTheme="minorHAnsi" w:hAnsiTheme="minorHAnsi"/>
                <w:sz w:val="20"/>
                <w:szCs w:val="20"/>
              </w:rPr>
            </w:pPr>
          </w:p>
          <w:p w14:paraId="46243B18" w14:textId="77777777" w:rsidR="00873667" w:rsidRDefault="00873667" w:rsidP="00242999">
            <w:pPr>
              <w:pStyle w:val="ListParagraph"/>
              <w:widowControl/>
              <w:numPr>
                <w:ilvl w:val="0"/>
                <w:numId w:val="2"/>
              </w:numPr>
              <w:suppressAutoHyphens w:val="0"/>
              <w:spacing w:after="0" w:line="240" w:lineRule="auto"/>
              <w:jc w:val="both"/>
              <w:rPr>
                <w:rFonts w:asciiTheme="minorHAnsi" w:hAnsiTheme="minorHAnsi"/>
                <w:sz w:val="20"/>
                <w:szCs w:val="20"/>
              </w:rPr>
            </w:pPr>
            <w:r>
              <w:rPr>
                <w:rFonts w:asciiTheme="minorHAnsi" w:hAnsiTheme="minorHAnsi"/>
                <w:sz w:val="20"/>
              </w:rPr>
              <w:t>a paragraph 1a is inserted as follows:</w:t>
            </w:r>
          </w:p>
          <w:p w14:paraId="76FBDA5D" w14:textId="47CF473E" w:rsidR="00873667" w:rsidRDefault="00873667">
            <w:pPr>
              <w:spacing w:after="0" w:line="240" w:lineRule="auto"/>
              <w:ind w:left="352"/>
              <w:jc w:val="both"/>
              <w:rPr>
                <w:rFonts w:asciiTheme="minorHAnsi" w:hAnsiTheme="minorHAnsi"/>
                <w:sz w:val="20"/>
              </w:rPr>
            </w:pPr>
            <w:r>
              <w:rPr>
                <w:rFonts w:asciiTheme="minorHAnsi" w:hAnsiTheme="minorHAnsi"/>
                <w:sz w:val="20"/>
              </w:rPr>
              <w:t>“§ 1a. Without prejudice to paragraphs 1a and 4, in all areas accessible to the public indoor and outdoor, the power densities of non-ionising radiation shall at no time exceed the following values in areas accessible to the public indoors (</w:t>
            </w:r>
            <m:oMath>
              <m:sSub>
                <m:sSubPr>
                  <m:ctrlPr>
                    <w:rPr>
                      <w:rFonts w:ascii="Cambria Math" w:eastAsia="Times New Roman" w:hAnsi="Cambria Math" w:cstheme="minorHAnsi"/>
                      <w:bCs/>
                      <w:i/>
                      <w:color w:val="000000"/>
                      <w:lang w:val="nl-NL"/>
                    </w:rPr>
                  </m:ctrlPr>
                </m:sSubPr>
                <m:e>
                  <m:r>
                    <w:rPr>
                      <w:rFonts w:ascii="Cambria Math" w:eastAsia="Times New Roman" w:hAnsi="Cambria Math" w:cstheme="minorHAnsi"/>
                      <w:color w:val="000000"/>
                      <w:kern w:val="0"/>
                      <w:sz w:val="20"/>
                      <w:szCs w:val="20"/>
                      <w:lang w:val="nl-NL"/>
                    </w:rPr>
                    <m:t>S</m:t>
                  </m:r>
                </m:e>
                <m:sub>
                  <m:r>
                    <w:rPr>
                      <w:rFonts w:ascii="Cambria Math" w:eastAsia="Times New Roman" w:hAnsi="Cambria Math" w:cstheme="minorHAnsi"/>
                      <w:color w:val="000000"/>
                      <w:kern w:val="0"/>
                      <w:sz w:val="20"/>
                      <w:szCs w:val="20"/>
                      <w:lang w:val="nl-NL"/>
                    </w:rPr>
                    <m:t>int</m:t>
                  </m:r>
                </m:sub>
              </m:sSub>
              <m:r>
                <w:rPr>
                  <w:rFonts w:ascii="Cambria Math" w:eastAsia="Times New Roman" w:hAnsi="Cambria Math" w:cstheme="minorHAnsi"/>
                  <w:color w:val="000000"/>
                  <w:kern w:val="0"/>
                  <w:sz w:val="20"/>
                  <w:szCs w:val="20"/>
                  <w:lang w:val="fr-BE"/>
                </w:rPr>
                <m:t>)</m:t>
              </m:r>
            </m:oMath>
            <w:r>
              <w:rPr>
                <w:rFonts w:asciiTheme="minorHAnsi" w:hAnsiTheme="minorHAnsi"/>
                <w:sz w:val="20"/>
              </w:rPr>
              <w:t xml:space="preserve"> and in areas accessible to the public outdoors (</w:t>
            </w:r>
            <m:oMath>
              <m:sSub>
                <m:sSubPr>
                  <m:ctrlPr>
                    <w:rPr>
                      <w:rFonts w:ascii="Cambria Math" w:eastAsia="Times New Roman" w:hAnsi="Cambria Math" w:cstheme="minorHAnsi"/>
                      <w:i/>
                      <w:lang w:val="nl-NL"/>
                    </w:rPr>
                  </m:ctrlPr>
                </m:sSubPr>
                <m:e>
                  <m:r>
                    <w:rPr>
                      <w:rFonts w:ascii="Cambria Math" w:eastAsia="Times New Roman" w:hAnsi="Cambria Math" w:cstheme="minorHAnsi"/>
                      <w:sz w:val="20"/>
                      <w:szCs w:val="20"/>
                      <w:lang w:val="nl-NL"/>
                    </w:rPr>
                    <m:t>S</m:t>
                  </m:r>
                </m:e>
                <m:sub>
                  <m:r>
                    <w:rPr>
                      <w:rFonts w:ascii="Cambria Math" w:eastAsia="Times New Roman" w:hAnsi="Cambria Math" w:cstheme="minorHAnsi"/>
                      <w:sz w:val="20"/>
                      <w:szCs w:val="20"/>
                      <w:lang w:val="nl-NL"/>
                    </w:rPr>
                    <m:t>ext</m:t>
                  </m:r>
                </m:sub>
              </m:sSub>
              <m:r>
                <w:rPr>
                  <w:rFonts w:ascii="Cambria Math" w:eastAsia="Times New Roman" w:hAnsi="Cambria Math" w:cstheme="minorHAnsi"/>
                  <w:sz w:val="20"/>
                  <w:szCs w:val="20"/>
                  <w:lang w:val="fr-BE"/>
                </w:rPr>
                <m:t>)</m:t>
              </m:r>
            </m:oMath>
            <w:r>
              <w:rPr>
                <w:rFonts w:asciiTheme="minorHAnsi" w:hAnsiTheme="minorHAnsi"/>
                <w:sz w:val="20"/>
              </w:rPr>
              <w:t xml:space="preserve">: </w:t>
            </w:r>
          </w:p>
          <w:p w14:paraId="75ECE59E" w14:textId="1C31E546" w:rsidR="00C4092C" w:rsidRDefault="00C4092C">
            <w:pPr>
              <w:spacing w:after="0" w:line="240" w:lineRule="auto"/>
              <w:ind w:left="352"/>
              <w:jc w:val="both"/>
              <w:rPr>
                <w:rFonts w:asciiTheme="minorHAnsi" w:hAnsiTheme="minorHAnsi"/>
                <w:sz w:val="20"/>
              </w:rPr>
            </w:pPr>
          </w:p>
          <w:p w14:paraId="4135601B" w14:textId="77777777" w:rsidR="00C4092C" w:rsidRDefault="00C4092C">
            <w:pPr>
              <w:spacing w:after="0" w:line="240" w:lineRule="auto"/>
              <w:ind w:left="352"/>
              <w:jc w:val="both"/>
              <w:rPr>
                <w:rFonts w:asciiTheme="minorHAnsi" w:hAnsiTheme="minorHAnsi"/>
                <w:sz w:val="20"/>
                <w:szCs w:val="20"/>
              </w:rPr>
            </w:pPr>
          </w:p>
          <w:tbl>
            <w:tblPr>
              <w:tblStyle w:val="TableGrid"/>
              <w:tblW w:w="4245" w:type="dxa"/>
              <w:tblInd w:w="342" w:type="dxa"/>
              <w:tblLayout w:type="fixed"/>
              <w:tblLook w:val="04A0" w:firstRow="1" w:lastRow="0" w:firstColumn="1" w:lastColumn="0" w:noHBand="0" w:noVBand="1"/>
            </w:tblPr>
            <w:tblGrid>
              <w:gridCol w:w="1553"/>
              <w:gridCol w:w="1223"/>
              <w:gridCol w:w="1469"/>
            </w:tblGrid>
            <w:tr w:rsidR="00873667" w14:paraId="5D540DF3" w14:textId="77777777">
              <w:trPr>
                <w:trHeight w:val="288"/>
              </w:trPr>
              <w:tc>
                <w:tcPr>
                  <w:tcW w:w="1554" w:type="dxa"/>
                  <w:tcBorders>
                    <w:top w:val="single" w:sz="4" w:space="0" w:color="auto"/>
                    <w:left w:val="single" w:sz="4" w:space="0" w:color="auto"/>
                    <w:bottom w:val="single" w:sz="4" w:space="0" w:color="auto"/>
                    <w:right w:val="single" w:sz="4" w:space="0" w:color="auto"/>
                  </w:tcBorders>
                  <w:noWrap/>
                  <w:hideMark/>
                </w:tcPr>
                <w:p w14:paraId="36F5090A" w14:textId="77777777" w:rsidR="00873667" w:rsidRDefault="00873667">
                  <w:pPr>
                    <w:widowControl/>
                    <w:suppressAutoHyphens w:val="0"/>
                    <w:spacing w:after="0" w:line="240" w:lineRule="auto"/>
                    <w:jc w:val="center"/>
                    <w:rPr>
                      <w:rFonts w:asciiTheme="minorHAnsi" w:eastAsia="Times New Roman" w:hAnsiTheme="minorHAnsi" w:cstheme="minorHAnsi"/>
                      <w:color w:val="000000"/>
                      <w:kern w:val="0"/>
                      <w:sz w:val="20"/>
                      <w:szCs w:val="20"/>
                    </w:rPr>
                  </w:pPr>
                  <w:r>
                    <w:rPr>
                      <w:rFonts w:asciiTheme="minorHAnsi" w:hAnsiTheme="minorHAnsi"/>
                      <w:color w:val="000000"/>
                      <w:sz w:val="20"/>
                    </w:rPr>
                    <w:lastRenderedPageBreak/>
                    <w:t xml:space="preserve">Frequencies </w:t>
                  </w:r>
                </w:p>
              </w:tc>
              <w:tc>
                <w:tcPr>
                  <w:tcW w:w="1224" w:type="dxa"/>
                  <w:tcBorders>
                    <w:top w:val="single" w:sz="4" w:space="0" w:color="auto"/>
                    <w:left w:val="single" w:sz="4" w:space="0" w:color="auto"/>
                    <w:bottom w:val="single" w:sz="4" w:space="0" w:color="auto"/>
                    <w:right w:val="single" w:sz="4" w:space="0" w:color="auto"/>
                  </w:tcBorders>
                  <w:noWrap/>
                  <w:hideMark/>
                </w:tcPr>
                <w:p w14:paraId="716883CB" w14:textId="77777777" w:rsidR="00873667" w:rsidRDefault="00C4092C">
                  <w:pPr>
                    <w:widowControl/>
                    <w:suppressAutoHyphens w:val="0"/>
                    <w:spacing w:after="0" w:line="240" w:lineRule="auto"/>
                    <w:jc w:val="center"/>
                    <w:rPr>
                      <w:rFonts w:asciiTheme="minorHAnsi" w:eastAsia="Times New Roman" w:hAnsiTheme="minorHAnsi" w:cstheme="minorHAnsi"/>
                      <w:b/>
                      <w:bCs/>
                      <w:color w:val="000000"/>
                      <w:kern w:val="0"/>
                      <w:sz w:val="20"/>
                      <w:szCs w:val="20"/>
                    </w:rPr>
                  </w:pPr>
                  <m:oMathPara>
                    <m:oMath>
                      <m:sSub>
                        <m:sSubPr>
                          <m:ctrlPr>
                            <w:rPr>
                              <w:rFonts w:ascii="Cambria Math" w:eastAsia="Times New Roman" w:hAnsi="Cambria Math" w:cstheme="minorHAnsi"/>
                              <w:b/>
                              <w:bCs/>
                              <w:i/>
                              <w:color w:val="000000"/>
                              <w:lang w:val="nl-NL"/>
                            </w:rPr>
                          </m:ctrlPr>
                        </m:sSubPr>
                        <m:e>
                          <m:r>
                            <m:rPr>
                              <m:sty m:val="bi"/>
                            </m:rPr>
                            <w:rPr>
                              <w:rFonts w:ascii="Cambria Math" w:eastAsia="Times New Roman" w:hAnsi="Cambria Math" w:cstheme="minorHAnsi"/>
                              <w:color w:val="000000"/>
                              <w:kern w:val="0"/>
                              <w:sz w:val="20"/>
                              <w:szCs w:val="20"/>
                              <w:lang w:val="nl-NL"/>
                            </w:rPr>
                            <m:t>S</m:t>
                          </m:r>
                        </m:e>
                        <m:sub>
                          <m:r>
                            <m:rPr>
                              <m:sty m:val="bi"/>
                            </m:rPr>
                            <w:rPr>
                              <w:rFonts w:ascii="Cambria Math" w:eastAsia="Times New Roman" w:hAnsi="Cambria Math" w:cstheme="minorHAnsi"/>
                              <w:color w:val="000000"/>
                              <w:kern w:val="0"/>
                              <w:sz w:val="20"/>
                              <w:szCs w:val="20"/>
                              <w:lang w:val="nl-NL"/>
                            </w:rPr>
                            <m:t>ext</m:t>
                          </m:r>
                        </m:sub>
                      </m:sSub>
                    </m:oMath>
                  </m:oMathPara>
                </w:p>
              </w:tc>
              <w:tc>
                <w:tcPr>
                  <w:tcW w:w="1470" w:type="dxa"/>
                  <w:tcBorders>
                    <w:top w:val="single" w:sz="4" w:space="0" w:color="auto"/>
                    <w:left w:val="single" w:sz="4" w:space="0" w:color="auto"/>
                    <w:bottom w:val="single" w:sz="4" w:space="0" w:color="auto"/>
                    <w:right w:val="single" w:sz="4" w:space="0" w:color="auto"/>
                  </w:tcBorders>
                  <w:noWrap/>
                  <w:hideMark/>
                </w:tcPr>
                <w:p w14:paraId="519507AB" w14:textId="77777777" w:rsidR="00873667" w:rsidRDefault="00C4092C">
                  <w:pPr>
                    <w:widowControl/>
                    <w:suppressAutoHyphens w:val="0"/>
                    <w:spacing w:after="0" w:line="240" w:lineRule="auto"/>
                    <w:jc w:val="center"/>
                    <w:rPr>
                      <w:rFonts w:asciiTheme="minorHAnsi" w:eastAsia="Times New Roman" w:hAnsiTheme="minorHAnsi" w:cstheme="minorHAnsi"/>
                      <w:b/>
                      <w:bCs/>
                      <w:color w:val="000000"/>
                      <w:kern w:val="0"/>
                      <w:sz w:val="20"/>
                      <w:szCs w:val="20"/>
                    </w:rPr>
                  </w:pPr>
                  <m:oMathPara>
                    <m:oMath>
                      <m:sSub>
                        <m:sSubPr>
                          <m:ctrlPr>
                            <w:rPr>
                              <w:rFonts w:ascii="Cambria Math" w:eastAsia="Times New Roman" w:hAnsi="Cambria Math" w:cstheme="minorHAnsi"/>
                              <w:b/>
                              <w:bCs/>
                              <w:i/>
                              <w:color w:val="000000"/>
                              <w:lang w:val="nl-NL"/>
                            </w:rPr>
                          </m:ctrlPr>
                        </m:sSubPr>
                        <m:e>
                          <m:r>
                            <m:rPr>
                              <m:sty m:val="bi"/>
                            </m:rPr>
                            <w:rPr>
                              <w:rFonts w:ascii="Cambria Math" w:eastAsia="Times New Roman" w:hAnsi="Cambria Math" w:cstheme="minorHAnsi"/>
                              <w:color w:val="000000"/>
                              <w:kern w:val="0"/>
                              <w:sz w:val="20"/>
                              <w:szCs w:val="20"/>
                              <w:lang w:val="nl-NL"/>
                            </w:rPr>
                            <m:t>S</m:t>
                          </m:r>
                        </m:e>
                        <m:sub>
                          <m:r>
                            <m:rPr>
                              <m:sty m:val="bi"/>
                            </m:rPr>
                            <w:rPr>
                              <w:rFonts w:ascii="Cambria Math" w:eastAsia="Times New Roman" w:hAnsi="Cambria Math" w:cstheme="minorHAnsi"/>
                              <w:color w:val="000000"/>
                              <w:kern w:val="0"/>
                              <w:sz w:val="20"/>
                              <w:szCs w:val="20"/>
                              <w:lang w:val="nl-NL"/>
                            </w:rPr>
                            <m:t>int</m:t>
                          </m:r>
                        </m:sub>
                      </m:sSub>
                    </m:oMath>
                  </m:oMathPara>
                </w:p>
              </w:tc>
            </w:tr>
            <w:tr w:rsidR="00873667" w:rsidRPr="00404725" w14:paraId="651329AF" w14:textId="77777777">
              <w:trPr>
                <w:trHeight w:val="324"/>
              </w:trPr>
              <w:tc>
                <w:tcPr>
                  <w:tcW w:w="1554" w:type="dxa"/>
                  <w:tcBorders>
                    <w:top w:val="single" w:sz="4" w:space="0" w:color="auto"/>
                    <w:left w:val="single" w:sz="4" w:space="0" w:color="auto"/>
                    <w:bottom w:val="single" w:sz="4" w:space="0" w:color="auto"/>
                    <w:right w:val="single" w:sz="4" w:space="0" w:color="auto"/>
                  </w:tcBorders>
                  <w:noWrap/>
                  <w:hideMark/>
                </w:tcPr>
                <w:p w14:paraId="7CA81384" w14:textId="77777777" w:rsidR="00873667" w:rsidRDefault="00873667">
                  <w:pPr>
                    <w:rPr>
                      <w:rFonts w:asciiTheme="minorHAnsi" w:eastAsia="Times New Roman" w:hAnsiTheme="minorHAnsi" w:cstheme="minorHAnsi"/>
                      <w:b/>
                      <w:bCs/>
                      <w:color w:val="000000"/>
                      <w:kern w:val="0"/>
                      <w:sz w:val="20"/>
                      <w:szCs w:val="20"/>
                      <w:lang w:val="nl-NL"/>
                    </w:rPr>
                  </w:pPr>
                </w:p>
              </w:tc>
              <w:tc>
                <w:tcPr>
                  <w:tcW w:w="1224" w:type="dxa"/>
                  <w:tcBorders>
                    <w:top w:val="single" w:sz="4" w:space="0" w:color="auto"/>
                    <w:left w:val="single" w:sz="4" w:space="0" w:color="auto"/>
                    <w:bottom w:val="single" w:sz="4" w:space="0" w:color="auto"/>
                    <w:right w:val="single" w:sz="4" w:space="0" w:color="auto"/>
                  </w:tcBorders>
                  <w:noWrap/>
                  <w:hideMark/>
                </w:tcPr>
                <w:p w14:paraId="5701B2E7" w14:textId="77777777" w:rsidR="00873667" w:rsidRDefault="00873667">
                  <w:pPr>
                    <w:widowControl/>
                    <w:suppressAutoHyphens w:val="0"/>
                    <w:spacing w:after="0" w:line="240" w:lineRule="auto"/>
                    <w:jc w:val="center"/>
                    <w:rPr>
                      <w:rFonts w:asciiTheme="minorHAnsi" w:eastAsia="Times New Roman" w:hAnsiTheme="minorHAnsi" w:cstheme="minorHAnsi"/>
                      <w:b/>
                      <w:bCs/>
                      <w:color w:val="000000"/>
                      <w:kern w:val="0"/>
                      <w:sz w:val="20"/>
                      <w:szCs w:val="20"/>
                    </w:rPr>
                  </w:pPr>
                  <w:r>
                    <w:rPr>
                      <w:rFonts w:asciiTheme="minorHAnsi" w:hAnsiTheme="minorHAnsi"/>
                      <w:b/>
                      <w:color w:val="000000"/>
                      <w:sz w:val="20"/>
                    </w:rPr>
                    <w:t>(W/m</w:t>
                  </w:r>
                  <w:r>
                    <w:rPr>
                      <w:rFonts w:asciiTheme="minorHAnsi" w:hAnsiTheme="minorHAnsi"/>
                      <w:b/>
                      <w:color w:val="000000"/>
                      <w:sz w:val="20"/>
                      <w:vertAlign w:val="superscript"/>
                    </w:rPr>
                    <w:t>2</w:t>
                  </w:r>
                  <w:r>
                    <w:rPr>
                      <w:rFonts w:asciiTheme="minorHAnsi" w:hAnsiTheme="minorHAnsi"/>
                      <w:b/>
                      <w:color w:val="000000"/>
                      <w:sz w:val="20"/>
                    </w:rPr>
                    <w:t>)</w:t>
                  </w:r>
                </w:p>
              </w:tc>
              <w:tc>
                <w:tcPr>
                  <w:tcW w:w="1470" w:type="dxa"/>
                  <w:tcBorders>
                    <w:top w:val="single" w:sz="4" w:space="0" w:color="auto"/>
                    <w:left w:val="single" w:sz="4" w:space="0" w:color="auto"/>
                    <w:bottom w:val="single" w:sz="4" w:space="0" w:color="auto"/>
                    <w:right w:val="single" w:sz="4" w:space="0" w:color="auto"/>
                  </w:tcBorders>
                  <w:noWrap/>
                  <w:hideMark/>
                </w:tcPr>
                <w:p w14:paraId="77391CCF" w14:textId="77777777" w:rsidR="00873667" w:rsidRDefault="00873667">
                  <w:pPr>
                    <w:widowControl/>
                    <w:suppressAutoHyphens w:val="0"/>
                    <w:spacing w:after="0" w:line="240" w:lineRule="auto"/>
                    <w:jc w:val="center"/>
                    <w:rPr>
                      <w:rFonts w:asciiTheme="minorHAnsi" w:eastAsia="Times New Roman" w:hAnsiTheme="minorHAnsi" w:cstheme="minorHAnsi"/>
                      <w:b/>
                      <w:bCs/>
                      <w:color w:val="000000"/>
                      <w:kern w:val="0"/>
                      <w:sz w:val="20"/>
                      <w:szCs w:val="20"/>
                    </w:rPr>
                  </w:pPr>
                  <w:r>
                    <w:rPr>
                      <w:rFonts w:asciiTheme="minorHAnsi" w:hAnsiTheme="minorHAnsi"/>
                      <w:b/>
                      <w:color w:val="000000"/>
                      <w:sz w:val="20"/>
                    </w:rPr>
                    <w:t>(W/m</w:t>
                  </w:r>
                  <w:r>
                    <w:rPr>
                      <w:rFonts w:asciiTheme="minorHAnsi" w:hAnsiTheme="minorHAnsi"/>
                      <w:b/>
                      <w:color w:val="000000"/>
                      <w:sz w:val="20"/>
                      <w:vertAlign w:val="superscript"/>
                    </w:rPr>
                    <w:t>2</w:t>
                  </w:r>
                  <w:r>
                    <w:rPr>
                      <w:rFonts w:asciiTheme="minorHAnsi" w:hAnsiTheme="minorHAnsi"/>
                      <w:b/>
                      <w:color w:val="000000"/>
                      <w:sz w:val="20"/>
                    </w:rPr>
                    <w:t>)</w:t>
                  </w:r>
                </w:p>
              </w:tc>
            </w:tr>
            <w:tr w:rsidR="00873667" w:rsidRPr="00404725" w14:paraId="3B896DC8" w14:textId="77777777">
              <w:trPr>
                <w:trHeight w:val="288"/>
              </w:trPr>
              <w:tc>
                <w:tcPr>
                  <w:tcW w:w="1554" w:type="dxa"/>
                  <w:tcBorders>
                    <w:top w:val="single" w:sz="4" w:space="0" w:color="auto"/>
                    <w:left w:val="single" w:sz="4" w:space="0" w:color="auto"/>
                    <w:bottom w:val="single" w:sz="4" w:space="0" w:color="auto"/>
                    <w:right w:val="single" w:sz="4" w:space="0" w:color="auto"/>
                  </w:tcBorders>
                  <w:noWrap/>
                  <w:hideMark/>
                </w:tcPr>
                <w:p w14:paraId="2B32FB69" w14:textId="77777777" w:rsidR="00873667" w:rsidRDefault="00873667">
                  <w:pPr>
                    <w:widowControl/>
                    <w:suppressAutoHyphens w:val="0"/>
                    <w:spacing w:after="0" w:line="240" w:lineRule="auto"/>
                    <w:jc w:val="center"/>
                    <w:rPr>
                      <w:rFonts w:asciiTheme="minorHAnsi" w:eastAsia="Times New Roman" w:hAnsiTheme="minorHAnsi" w:cstheme="minorHAnsi"/>
                      <w:color w:val="000000"/>
                      <w:kern w:val="0"/>
                      <w:sz w:val="20"/>
                      <w:szCs w:val="20"/>
                    </w:rPr>
                  </w:pPr>
                  <w:r>
                    <w:rPr>
                      <w:rFonts w:asciiTheme="minorHAnsi" w:hAnsiTheme="minorHAnsi"/>
                      <w:color w:val="000000"/>
                      <w:sz w:val="20"/>
                    </w:rPr>
                    <w:t>0.1 to 400 MHz</w:t>
                  </w:r>
                </w:p>
              </w:tc>
              <w:tc>
                <w:tcPr>
                  <w:tcW w:w="1224" w:type="dxa"/>
                  <w:tcBorders>
                    <w:top w:val="single" w:sz="4" w:space="0" w:color="auto"/>
                    <w:left w:val="single" w:sz="4" w:space="0" w:color="auto"/>
                    <w:bottom w:val="single" w:sz="4" w:space="0" w:color="auto"/>
                    <w:right w:val="single" w:sz="4" w:space="0" w:color="auto"/>
                  </w:tcBorders>
                  <w:noWrap/>
                  <w:hideMark/>
                </w:tcPr>
                <w:p w14:paraId="5DE3C701" w14:textId="77777777" w:rsidR="00873667" w:rsidRDefault="00873667">
                  <w:pPr>
                    <w:widowControl/>
                    <w:suppressAutoHyphens w:val="0"/>
                    <w:spacing w:after="0" w:line="240" w:lineRule="auto"/>
                    <w:jc w:val="center"/>
                    <w:rPr>
                      <w:rFonts w:asciiTheme="minorHAnsi" w:eastAsia="Times New Roman" w:hAnsiTheme="minorHAnsi" w:cstheme="minorHAnsi"/>
                      <w:color w:val="000000"/>
                      <w:kern w:val="0"/>
                      <w:sz w:val="20"/>
                      <w:szCs w:val="20"/>
                    </w:rPr>
                  </w:pPr>
                  <w:r>
                    <w:rPr>
                      <w:rFonts w:asciiTheme="minorHAnsi" w:hAnsiTheme="minorHAnsi"/>
                      <w:color w:val="000000"/>
                      <w:sz w:val="20"/>
                    </w:rPr>
                    <w:t>0.2497</w:t>
                  </w:r>
                </w:p>
              </w:tc>
              <w:tc>
                <w:tcPr>
                  <w:tcW w:w="1470" w:type="dxa"/>
                  <w:tcBorders>
                    <w:top w:val="single" w:sz="4" w:space="0" w:color="auto"/>
                    <w:left w:val="single" w:sz="4" w:space="0" w:color="auto"/>
                    <w:bottom w:val="single" w:sz="4" w:space="0" w:color="auto"/>
                    <w:right w:val="single" w:sz="4" w:space="0" w:color="auto"/>
                  </w:tcBorders>
                  <w:noWrap/>
                  <w:hideMark/>
                </w:tcPr>
                <w:p w14:paraId="065665BB" w14:textId="77777777" w:rsidR="00873667" w:rsidRDefault="00873667">
                  <w:pPr>
                    <w:widowControl/>
                    <w:suppressAutoHyphens w:val="0"/>
                    <w:spacing w:after="0" w:line="240" w:lineRule="auto"/>
                    <w:jc w:val="center"/>
                    <w:rPr>
                      <w:rFonts w:asciiTheme="minorHAnsi" w:eastAsia="Times New Roman" w:hAnsiTheme="minorHAnsi" w:cstheme="minorHAnsi"/>
                      <w:color w:val="000000"/>
                      <w:kern w:val="0"/>
                      <w:sz w:val="20"/>
                      <w:szCs w:val="20"/>
                    </w:rPr>
                  </w:pPr>
                  <w:r>
                    <w:rPr>
                      <w:rFonts w:asciiTheme="minorHAnsi" w:hAnsiTheme="minorHAnsi"/>
                      <w:color w:val="000000"/>
                      <w:sz w:val="20"/>
                    </w:rPr>
                    <w:t>0.0994</w:t>
                  </w:r>
                </w:p>
              </w:tc>
            </w:tr>
            <w:tr w:rsidR="00873667" w:rsidRPr="00404725" w14:paraId="093A4907" w14:textId="77777777">
              <w:trPr>
                <w:trHeight w:val="288"/>
              </w:trPr>
              <w:tc>
                <w:tcPr>
                  <w:tcW w:w="1554" w:type="dxa"/>
                  <w:tcBorders>
                    <w:top w:val="single" w:sz="4" w:space="0" w:color="auto"/>
                    <w:left w:val="single" w:sz="4" w:space="0" w:color="auto"/>
                    <w:bottom w:val="single" w:sz="4" w:space="0" w:color="auto"/>
                    <w:right w:val="single" w:sz="4" w:space="0" w:color="auto"/>
                  </w:tcBorders>
                  <w:noWrap/>
                  <w:hideMark/>
                </w:tcPr>
                <w:p w14:paraId="22456A00" w14:textId="77777777" w:rsidR="00873667" w:rsidRDefault="00873667">
                  <w:pPr>
                    <w:widowControl/>
                    <w:suppressAutoHyphens w:val="0"/>
                    <w:spacing w:after="0" w:line="240" w:lineRule="auto"/>
                    <w:jc w:val="center"/>
                    <w:rPr>
                      <w:rFonts w:asciiTheme="minorHAnsi" w:eastAsia="Times New Roman" w:hAnsiTheme="minorHAnsi" w:cstheme="minorHAnsi"/>
                      <w:color w:val="000000"/>
                      <w:kern w:val="0"/>
                      <w:sz w:val="20"/>
                      <w:szCs w:val="20"/>
                    </w:rPr>
                  </w:pPr>
                  <w:r>
                    <w:rPr>
                      <w:rFonts w:asciiTheme="minorHAnsi" w:hAnsiTheme="minorHAnsi"/>
                      <w:color w:val="000000"/>
                      <w:sz w:val="20"/>
                    </w:rPr>
                    <w:t>400 to 2000 MHz</w:t>
                  </w:r>
                </w:p>
              </w:tc>
              <w:tc>
                <w:tcPr>
                  <w:tcW w:w="1224" w:type="dxa"/>
                  <w:tcBorders>
                    <w:top w:val="single" w:sz="4" w:space="0" w:color="auto"/>
                    <w:left w:val="single" w:sz="4" w:space="0" w:color="auto"/>
                    <w:bottom w:val="single" w:sz="4" w:space="0" w:color="auto"/>
                    <w:right w:val="single" w:sz="4" w:space="0" w:color="auto"/>
                  </w:tcBorders>
                  <w:noWrap/>
                  <w:hideMark/>
                </w:tcPr>
                <w:p w14:paraId="5C003B65" w14:textId="77777777" w:rsidR="00873667" w:rsidRDefault="00873667">
                  <w:pPr>
                    <w:widowControl/>
                    <w:suppressAutoHyphens w:val="0"/>
                    <w:spacing w:after="0" w:line="240" w:lineRule="auto"/>
                    <w:jc w:val="center"/>
                    <w:rPr>
                      <w:rFonts w:asciiTheme="minorHAnsi" w:eastAsia="Times New Roman" w:hAnsiTheme="minorHAnsi" w:cstheme="minorHAnsi"/>
                      <w:color w:val="000000"/>
                      <w:kern w:val="0"/>
                      <w:sz w:val="20"/>
                      <w:szCs w:val="20"/>
                    </w:rPr>
                  </w:pPr>
                  <m:oMath>
                    <m:r>
                      <w:rPr>
                        <w:rFonts w:ascii="Cambria Math" w:eastAsia="Times New Roman" w:hAnsi="Cambria Math" w:cstheme="minorHAnsi"/>
                        <w:color w:val="000000"/>
                        <w:kern w:val="0"/>
                        <w:sz w:val="20"/>
                        <w:szCs w:val="20"/>
                        <w:lang w:val="nl-NL"/>
                      </w:rPr>
                      <m:t>f</m:t>
                    </m:r>
                    <m:r>
                      <w:rPr>
                        <w:rFonts w:ascii="Cambria Math" w:eastAsia="Times New Roman" w:hAnsi="Cambria Math" w:cstheme="minorHAnsi"/>
                        <w:color w:val="000000"/>
                        <w:kern w:val="0"/>
                        <w:sz w:val="20"/>
                        <w:szCs w:val="20"/>
                        <w:lang w:val="fr-BE"/>
                      </w:rPr>
                      <m:t xml:space="preserve"> </m:t>
                    </m:r>
                  </m:oMath>
                  <w:r>
                    <w:rPr>
                      <w:rFonts w:asciiTheme="minorHAnsi" w:hAnsiTheme="minorHAnsi"/>
                      <w:color w:val="000000"/>
                      <w:sz w:val="20"/>
                    </w:rPr>
                    <w:t>/1597.28</w:t>
                  </w:r>
                </w:p>
              </w:tc>
              <w:tc>
                <w:tcPr>
                  <w:tcW w:w="1470" w:type="dxa"/>
                  <w:tcBorders>
                    <w:top w:val="single" w:sz="4" w:space="0" w:color="auto"/>
                    <w:left w:val="single" w:sz="4" w:space="0" w:color="auto"/>
                    <w:bottom w:val="single" w:sz="4" w:space="0" w:color="auto"/>
                    <w:right w:val="single" w:sz="4" w:space="0" w:color="auto"/>
                  </w:tcBorders>
                  <w:noWrap/>
                  <w:hideMark/>
                </w:tcPr>
                <w:p w14:paraId="0FF370C7" w14:textId="77777777" w:rsidR="00873667" w:rsidRDefault="00873667">
                  <w:pPr>
                    <w:widowControl/>
                    <w:suppressAutoHyphens w:val="0"/>
                    <w:spacing w:after="0" w:line="240" w:lineRule="auto"/>
                    <w:jc w:val="center"/>
                    <w:rPr>
                      <w:rFonts w:asciiTheme="minorHAnsi" w:eastAsia="Times New Roman" w:hAnsiTheme="minorHAnsi" w:cstheme="minorHAnsi"/>
                      <w:color w:val="000000"/>
                      <w:kern w:val="0"/>
                      <w:sz w:val="20"/>
                      <w:szCs w:val="20"/>
                    </w:rPr>
                  </w:pPr>
                  <w:r>
                    <w:rPr>
                      <w:rFonts w:asciiTheme="minorHAnsi" w:hAnsiTheme="minorHAnsi"/>
                      <w:color w:val="000000"/>
                      <w:sz w:val="20"/>
                    </w:rPr>
                    <w:t>f / 4012.19</w:t>
                  </w:r>
                </w:p>
              </w:tc>
            </w:tr>
            <w:tr w:rsidR="00873667" w:rsidRPr="00404725" w14:paraId="4F14AD5C" w14:textId="77777777">
              <w:trPr>
                <w:trHeight w:val="324"/>
              </w:trPr>
              <w:tc>
                <w:tcPr>
                  <w:tcW w:w="1554" w:type="dxa"/>
                  <w:tcBorders>
                    <w:top w:val="single" w:sz="4" w:space="0" w:color="auto"/>
                    <w:left w:val="single" w:sz="4" w:space="0" w:color="auto"/>
                    <w:bottom w:val="single" w:sz="4" w:space="0" w:color="auto"/>
                    <w:right w:val="single" w:sz="4" w:space="0" w:color="auto"/>
                  </w:tcBorders>
                  <w:noWrap/>
                  <w:hideMark/>
                </w:tcPr>
                <w:p w14:paraId="1C105701" w14:textId="77777777" w:rsidR="00873667" w:rsidRDefault="00873667">
                  <w:pPr>
                    <w:widowControl/>
                    <w:suppressAutoHyphens w:val="0"/>
                    <w:spacing w:after="0" w:line="240" w:lineRule="auto"/>
                    <w:jc w:val="center"/>
                    <w:rPr>
                      <w:rFonts w:asciiTheme="minorHAnsi" w:eastAsia="Times New Roman" w:hAnsiTheme="minorHAnsi" w:cstheme="minorHAnsi"/>
                      <w:color w:val="000000"/>
                      <w:kern w:val="0"/>
                      <w:sz w:val="20"/>
                      <w:szCs w:val="20"/>
                    </w:rPr>
                  </w:pPr>
                  <w:r>
                    <w:rPr>
                      <w:rFonts w:asciiTheme="minorHAnsi" w:hAnsiTheme="minorHAnsi"/>
                      <w:color w:val="000000"/>
                      <w:sz w:val="20"/>
                    </w:rPr>
                    <w:t>2 to 300 GHz</w:t>
                  </w:r>
                </w:p>
              </w:tc>
              <w:tc>
                <w:tcPr>
                  <w:tcW w:w="1224" w:type="dxa"/>
                  <w:tcBorders>
                    <w:top w:val="single" w:sz="4" w:space="0" w:color="auto"/>
                    <w:left w:val="single" w:sz="4" w:space="0" w:color="auto"/>
                    <w:bottom w:val="single" w:sz="4" w:space="0" w:color="auto"/>
                    <w:right w:val="single" w:sz="4" w:space="0" w:color="auto"/>
                  </w:tcBorders>
                  <w:noWrap/>
                  <w:hideMark/>
                </w:tcPr>
                <w:p w14:paraId="39E68373" w14:textId="77777777" w:rsidR="00873667" w:rsidRDefault="00873667">
                  <w:pPr>
                    <w:widowControl/>
                    <w:suppressAutoHyphens w:val="0"/>
                    <w:spacing w:after="0" w:line="240" w:lineRule="auto"/>
                    <w:jc w:val="center"/>
                    <w:rPr>
                      <w:rFonts w:asciiTheme="minorHAnsi" w:eastAsia="Times New Roman" w:hAnsiTheme="minorHAnsi" w:cstheme="minorHAnsi"/>
                      <w:color w:val="000000"/>
                      <w:kern w:val="0"/>
                      <w:sz w:val="20"/>
                      <w:szCs w:val="20"/>
                    </w:rPr>
                  </w:pPr>
                  <w:r>
                    <w:rPr>
                      <w:rFonts w:asciiTheme="minorHAnsi" w:hAnsiTheme="minorHAnsi"/>
                      <w:color w:val="000000"/>
                      <w:sz w:val="20"/>
                    </w:rPr>
                    <w:t>1.2539</w:t>
                  </w:r>
                </w:p>
              </w:tc>
              <w:tc>
                <w:tcPr>
                  <w:tcW w:w="1470" w:type="dxa"/>
                  <w:tcBorders>
                    <w:top w:val="single" w:sz="4" w:space="0" w:color="auto"/>
                    <w:left w:val="single" w:sz="4" w:space="0" w:color="auto"/>
                    <w:bottom w:val="single" w:sz="4" w:space="0" w:color="auto"/>
                    <w:right w:val="single" w:sz="4" w:space="0" w:color="auto"/>
                  </w:tcBorders>
                  <w:noWrap/>
                  <w:hideMark/>
                </w:tcPr>
                <w:p w14:paraId="5B4DB48F" w14:textId="77777777" w:rsidR="00873667" w:rsidRDefault="00873667">
                  <w:pPr>
                    <w:widowControl/>
                    <w:suppressAutoHyphens w:val="0"/>
                    <w:spacing w:after="0" w:line="240" w:lineRule="auto"/>
                    <w:jc w:val="center"/>
                    <w:rPr>
                      <w:rFonts w:asciiTheme="minorHAnsi" w:eastAsia="Times New Roman" w:hAnsiTheme="minorHAnsi" w:cstheme="minorHAnsi"/>
                      <w:color w:val="000000"/>
                      <w:kern w:val="0"/>
                      <w:sz w:val="20"/>
                      <w:szCs w:val="20"/>
                    </w:rPr>
                  </w:pPr>
                  <w:r>
                    <w:rPr>
                      <w:rFonts w:asciiTheme="minorHAnsi" w:hAnsiTheme="minorHAnsi"/>
                      <w:color w:val="000000"/>
                      <w:sz w:val="20"/>
                    </w:rPr>
                    <w:t>0.4992</w:t>
                  </w:r>
                </w:p>
              </w:tc>
            </w:tr>
          </w:tbl>
          <w:p w14:paraId="674B9356" w14:textId="77777777" w:rsidR="00873667" w:rsidRDefault="00873667">
            <w:pPr>
              <w:spacing w:after="0" w:line="240" w:lineRule="auto"/>
              <w:ind w:left="352"/>
              <w:jc w:val="both"/>
              <w:rPr>
                <w:rFonts w:asciiTheme="minorHAnsi" w:hAnsiTheme="minorHAnsi"/>
                <w:sz w:val="20"/>
                <w:szCs w:val="20"/>
              </w:rPr>
            </w:pPr>
            <w:r>
              <w:rPr>
                <w:rFonts w:ascii="Times New Roman" w:hAnsi="Times New Roman"/>
                <w:sz w:val="20"/>
              </w:rPr>
              <w:t xml:space="preserve">where </w:t>
            </w:r>
            <m:oMath>
              <m:r>
                <w:rPr>
                  <w:rFonts w:ascii="Cambria Math" w:hAnsi="Cambria Math"/>
                  <w:sz w:val="20"/>
                  <w:szCs w:val="20"/>
                  <w:lang w:val="nl-NL"/>
                </w:rPr>
                <m:t>f</m:t>
              </m:r>
              <m:r>
                <w:rPr>
                  <w:rFonts w:ascii="Cambria Math" w:hAnsi="Cambria Math"/>
                  <w:sz w:val="20"/>
                  <w:szCs w:val="20"/>
                  <w:lang w:val="fr-BE"/>
                </w:rPr>
                <m:t xml:space="preserve"> </m:t>
              </m:r>
            </m:oMath>
            <w:r>
              <w:rPr>
                <w:rFonts w:asciiTheme="minorHAnsi" w:hAnsiTheme="minorHAnsi"/>
                <w:sz w:val="20"/>
              </w:rPr>
              <w:t>is the frequency expressed in MHz.</w:t>
            </w:r>
          </w:p>
          <w:p w14:paraId="2801D7D3" w14:textId="77777777" w:rsidR="00AC2FE0" w:rsidRDefault="00873667">
            <w:pPr>
              <w:pStyle w:val="ListParagraph"/>
              <w:widowControl/>
              <w:suppressAutoHyphens w:val="0"/>
              <w:spacing w:after="0" w:line="240" w:lineRule="auto"/>
              <w:ind w:left="360"/>
              <w:jc w:val="both"/>
              <w:rPr>
                <w:rFonts w:asciiTheme="minorHAnsi" w:eastAsia="Times New Roman" w:hAnsiTheme="minorHAnsi" w:cstheme="minorHAnsi"/>
                <w:sz w:val="20"/>
                <w:szCs w:val="20"/>
              </w:rPr>
            </w:pPr>
            <w:r>
              <w:rPr>
                <w:rFonts w:asciiTheme="minorHAnsi" w:hAnsiTheme="minorHAnsi"/>
                <w:sz w:val="20"/>
              </w:rPr>
              <w:t xml:space="preserve">As an indication, at 900 MHz, the standard </w:t>
            </w:r>
          </w:p>
          <w:p w14:paraId="5960402E" w14:textId="451DEC5F" w:rsidR="00873667" w:rsidRDefault="00C4092C">
            <w:pPr>
              <w:pStyle w:val="ListParagraph"/>
              <w:widowControl/>
              <w:suppressAutoHyphens w:val="0"/>
              <w:spacing w:after="0" w:line="240" w:lineRule="auto"/>
              <w:ind w:left="360"/>
              <w:jc w:val="both"/>
              <w:rPr>
                <w:rFonts w:asciiTheme="minorHAnsi" w:hAnsiTheme="minorHAnsi"/>
                <w:sz w:val="20"/>
                <w:szCs w:val="20"/>
              </w:rPr>
            </w:pPr>
            <m:oMath>
              <m:sSub>
                <m:sSubPr>
                  <m:ctrlPr>
                    <w:rPr>
                      <w:rFonts w:ascii="Cambria Math" w:eastAsia="Times New Roman" w:hAnsi="Cambria Math" w:cstheme="minorHAnsi"/>
                      <w:bCs/>
                      <w:i/>
                      <w:color w:val="000000"/>
                      <w:lang w:val="nl-NL"/>
                    </w:rPr>
                  </m:ctrlPr>
                </m:sSubPr>
                <m:e>
                  <m:r>
                    <w:rPr>
                      <w:rFonts w:ascii="Cambria Math" w:eastAsia="Times New Roman" w:hAnsi="Cambria Math" w:cstheme="minorHAnsi"/>
                      <w:color w:val="000000"/>
                      <w:kern w:val="0"/>
                      <w:sz w:val="20"/>
                      <w:szCs w:val="20"/>
                      <w:lang w:val="nl-NL"/>
                    </w:rPr>
                    <m:t>S</m:t>
                  </m:r>
                </m:e>
                <m:sub>
                  <m:r>
                    <w:rPr>
                      <w:rFonts w:ascii="Cambria Math" w:eastAsia="Times New Roman" w:hAnsi="Cambria Math" w:cstheme="minorHAnsi"/>
                      <w:color w:val="000000"/>
                      <w:kern w:val="0"/>
                      <w:sz w:val="20"/>
                      <w:szCs w:val="20"/>
                      <w:lang w:val="nl-NL"/>
                    </w:rPr>
                    <m:t>int</m:t>
                  </m:r>
                </m:sub>
              </m:sSub>
            </m:oMath>
            <w:r>
              <w:rPr>
                <w:rFonts w:asciiTheme="minorHAnsi" w:hAnsiTheme="minorHAnsi"/>
                <w:sz w:val="20"/>
              </w:rPr>
              <w:t xml:space="preserve"> = 0.2243 W/m² corresponds to an electric field, </w:t>
            </w:r>
            <m:oMath>
              <m:sSub>
                <m:sSubPr>
                  <m:ctrlPr>
                    <w:rPr>
                      <w:rFonts w:ascii="Cambria Math" w:eastAsia="Times New Roman" w:hAnsi="Cambria Math" w:cstheme="minorHAnsi"/>
                      <w:i/>
                      <w:lang w:val="nl-NL"/>
                    </w:rPr>
                  </m:ctrlPr>
                </m:sSubPr>
                <m:e>
                  <m:r>
                    <w:rPr>
                      <w:rFonts w:ascii="Cambria Math" w:eastAsia="Times New Roman" w:hAnsi="Cambria Math" w:cstheme="minorHAnsi"/>
                      <w:sz w:val="20"/>
                      <w:szCs w:val="20"/>
                      <w:lang w:val="nl-NL"/>
                    </w:rPr>
                    <m:t>E</m:t>
                  </m:r>
                </m:e>
                <m:sub>
                  <m:r>
                    <w:rPr>
                      <w:rFonts w:ascii="Cambria Math" w:eastAsia="Times New Roman" w:hAnsi="Cambria Math" w:cstheme="minorHAnsi"/>
                      <w:sz w:val="20"/>
                      <w:szCs w:val="20"/>
                      <w:lang w:val="nl-NL"/>
                    </w:rPr>
                    <m:t>int</m:t>
                  </m:r>
                </m:sub>
              </m:sSub>
            </m:oMath>
            <w:r>
              <w:rPr>
                <w:rFonts w:asciiTheme="minorHAnsi" w:hAnsiTheme="minorHAnsi"/>
                <w:sz w:val="20"/>
              </w:rPr>
              <w:t xml:space="preserve"> = 9.19 V/m; while the </w:t>
            </w:r>
            <m:oMath>
              <m:sSub>
                <m:sSubPr>
                  <m:ctrlPr>
                    <w:rPr>
                      <w:rFonts w:ascii="Cambria Math" w:eastAsia="Times New Roman" w:hAnsi="Cambria Math" w:cstheme="minorHAnsi"/>
                      <w:i/>
                      <w:lang w:val="nl-NL"/>
                    </w:rPr>
                  </m:ctrlPr>
                </m:sSubPr>
                <m:e>
                  <m:r>
                    <w:rPr>
                      <w:rFonts w:ascii="Cambria Math" w:eastAsia="Times New Roman" w:hAnsi="Cambria Math" w:cstheme="minorHAnsi"/>
                      <w:sz w:val="20"/>
                      <w:szCs w:val="20"/>
                      <w:lang w:val="nl-NL"/>
                    </w:rPr>
                    <m:t>S</m:t>
                  </m:r>
                </m:e>
                <m:sub>
                  <m:r>
                    <w:rPr>
                      <w:rFonts w:ascii="Cambria Math" w:eastAsia="Times New Roman" w:hAnsi="Cambria Math" w:cstheme="minorHAnsi"/>
                      <w:sz w:val="20"/>
                      <w:szCs w:val="20"/>
                      <w:lang w:val="nl-NL"/>
                    </w:rPr>
                    <m:t>ext</m:t>
                  </m:r>
                </m:sub>
              </m:sSub>
            </m:oMath>
            <w:r>
              <w:rPr>
                <w:rFonts w:asciiTheme="minorHAnsi" w:hAnsiTheme="minorHAnsi"/>
                <w:sz w:val="20"/>
              </w:rPr>
              <w:t>= 0.5635 W/m² standard corresponds to an electric field,</w:t>
            </w:r>
            <m:oMath>
              <m:sSub>
                <m:sSubPr>
                  <m:ctrlPr>
                    <w:rPr>
                      <w:rFonts w:ascii="Cambria Math" w:eastAsia="Times New Roman" w:hAnsi="Cambria Math" w:cstheme="minorHAnsi"/>
                      <w:i/>
                      <w:lang w:val="nl-NL"/>
                    </w:rPr>
                  </m:ctrlPr>
                </m:sSubPr>
                <m:e>
                  <m:r>
                    <w:rPr>
                      <w:rFonts w:ascii="Cambria Math" w:eastAsia="Times New Roman" w:hAnsi="Cambria Math" w:cstheme="minorHAnsi"/>
                      <w:sz w:val="20"/>
                      <w:szCs w:val="20"/>
                      <w:lang w:val="nl-NL"/>
                    </w:rPr>
                    <m:t>E</m:t>
                  </m:r>
                </m:e>
                <m:sub>
                  <m:r>
                    <w:rPr>
                      <w:rFonts w:ascii="Cambria Math" w:eastAsia="Times New Roman" w:hAnsi="Cambria Math" w:cstheme="minorHAnsi"/>
                      <w:sz w:val="20"/>
                      <w:szCs w:val="20"/>
                      <w:lang w:val="nl-NL"/>
                    </w:rPr>
                    <m:t>ext</m:t>
                  </m:r>
                </m:sub>
              </m:sSub>
            </m:oMath>
            <w:r>
              <w:rPr>
                <w:rFonts w:asciiTheme="minorHAnsi" w:hAnsiTheme="minorHAnsi"/>
                <w:sz w:val="20"/>
              </w:rPr>
              <w:t xml:space="preserve"> = 14.57 V/m.</w:t>
            </w:r>
          </w:p>
          <w:p w14:paraId="5C8AFACD" w14:textId="77777777" w:rsidR="00873667" w:rsidRDefault="00873667">
            <w:pPr>
              <w:pStyle w:val="ListParagraph"/>
              <w:widowControl/>
              <w:suppressAutoHyphens w:val="0"/>
              <w:spacing w:after="0" w:line="240" w:lineRule="auto"/>
              <w:ind w:left="360"/>
              <w:jc w:val="both"/>
              <w:rPr>
                <w:rFonts w:asciiTheme="minorHAnsi" w:hAnsiTheme="minorHAnsi"/>
                <w:sz w:val="20"/>
                <w:szCs w:val="20"/>
              </w:rPr>
            </w:pPr>
            <w:r>
              <w:rPr>
                <w:rFonts w:asciiTheme="minorHAnsi" w:hAnsiTheme="minorHAnsi"/>
                <w:sz w:val="20"/>
              </w:rPr>
              <w:t>Contrary to the preceding subparagraph, the non-ionising radiation power densities applicable in areas accessible to the public outdoors shall also apply in areas accessible to the public indoors when, in those areas, windows or doors, opening outwards, are opened.”;</w:t>
            </w:r>
          </w:p>
          <w:p w14:paraId="5AC47F5C" w14:textId="77777777" w:rsidR="00873667" w:rsidRDefault="00873667">
            <w:pPr>
              <w:widowControl/>
              <w:suppressAutoHyphens w:val="0"/>
              <w:spacing w:after="0" w:line="240" w:lineRule="auto"/>
              <w:jc w:val="both"/>
              <w:rPr>
                <w:rFonts w:asciiTheme="minorHAnsi" w:hAnsiTheme="minorHAnsi"/>
                <w:sz w:val="20"/>
                <w:szCs w:val="20"/>
                <w:lang w:val="fr-BE"/>
              </w:rPr>
            </w:pPr>
          </w:p>
          <w:p w14:paraId="3F56D40C" w14:textId="77777777" w:rsidR="00873667" w:rsidRDefault="00873667" w:rsidP="00242999">
            <w:pPr>
              <w:pStyle w:val="ListParagraph"/>
              <w:widowControl/>
              <w:numPr>
                <w:ilvl w:val="0"/>
                <w:numId w:val="2"/>
              </w:numPr>
              <w:suppressAutoHyphens w:val="0"/>
              <w:spacing w:after="0" w:line="240" w:lineRule="auto"/>
              <w:jc w:val="both"/>
              <w:rPr>
                <w:rFonts w:asciiTheme="minorHAnsi" w:hAnsiTheme="minorHAnsi"/>
                <w:sz w:val="20"/>
                <w:szCs w:val="20"/>
              </w:rPr>
            </w:pPr>
            <w:r>
              <w:rPr>
                <w:rFonts w:asciiTheme="minorHAnsi" w:hAnsiTheme="minorHAnsi"/>
                <w:sz w:val="20"/>
              </w:rPr>
              <w:t>a paragraph 1b is inserted, which reads as follows:</w:t>
            </w:r>
          </w:p>
          <w:p w14:paraId="0111B238" w14:textId="77777777" w:rsidR="00873667" w:rsidRDefault="00873667">
            <w:pPr>
              <w:spacing w:after="0" w:line="240" w:lineRule="auto"/>
              <w:ind w:left="352"/>
              <w:jc w:val="both"/>
              <w:rPr>
                <w:rFonts w:asciiTheme="minorHAnsi" w:hAnsiTheme="minorHAnsi"/>
                <w:sz w:val="20"/>
                <w:szCs w:val="20"/>
              </w:rPr>
            </w:pPr>
            <w:r>
              <w:rPr>
                <w:rFonts w:asciiTheme="minorHAnsi" w:hAnsiTheme="minorHAnsi"/>
                <w:sz w:val="20"/>
              </w:rPr>
              <w:t>“§ 1b. For composite electromagnetic fields, the following limitations apply to electromagnetic fields in areas accessible to the public indoors and outdoors:</w:t>
            </w:r>
          </w:p>
          <w:p w14:paraId="1EEECA5D" w14:textId="77777777" w:rsidR="00873667" w:rsidRDefault="00873667">
            <w:pPr>
              <w:spacing w:after="0" w:line="240" w:lineRule="auto"/>
              <w:ind w:left="352"/>
              <w:jc w:val="both"/>
              <w:rPr>
                <w:rFonts w:asciiTheme="minorHAnsi" w:hAnsiTheme="minorHAnsi"/>
                <w:sz w:val="20"/>
                <w:szCs w:val="20"/>
              </w:rPr>
            </w:pPr>
            <m:oMathPara>
              <m:oMath>
                <m:r>
                  <w:rPr>
                    <w:rFonts w:ascii="Cambria Math" w:hAnsi="Cambria Math"/>
                    <w:sz w:val="20"/>
                    <w:szCs w:val="20"/>
                    <w:lang w:val="fr-BE"/>
                  </w:rPr>
                  <m:t> </m:t>
                </m:r>
                <m:nary>
                  <m:naryPr>
                    <m:chr m:val="∑"/>
                    <m:ctrlPr>
                      <w:rPr>
                        <w:rFonts w:ascii="Cambria Math" w:hAnsi="Cambria Math"/>
                        <w:i/>
                        <w:iCs/>
                        <w:lang w:val="nl-NL"/>
                      </w:rPr>
                    </m:ctrlPr>
                  </m:naryPr>
                  <m:sub>
                    <m:r>
                      <w:rPr>
                        <w:rFonts w:ascii="Cambria Math" w:hAnsi="Cambria Math"/>
                        <w:sz w:val="20"/>
                        <w:szCs w:val="20"/>
                        <w:lang w:val="nl-NL"/>
                      </w:rPr>
                      <m:t>100 KHz</m:t>
                    </m:r>
                  </m:sub>
                  <m:sup>
                    <m:r>
                      <w:rPr>
                        <w:rFonts w:ascii="Cambria Math" w:hAnsi="Cambria Math"/>
                        <w:sz w:val="20"/>
                        <w:szCs w:val="20"/>
                        <w:lang w:val="nl-NL"/>
                      </w:rPr>
                      <m:t>300 GHz</m:t>
                    </m:r>
                  </m:sup>
                  <m:e>
                    <m:d>
                      <m:dPr>
                        <m:ctrlPr>
                          <w:rPr>
                            <w:rFonts w:ascii="Cambria Math" w:hAnsi="Cambria Math"/>
                            <w:i/>
                            <w:iCs/>
                            <w:lang w:val="nl-NL"/>
                          </w:rPr>
                        </m:ctrlPr>
                      </m:dPr>
                      <m:e>
                        <m:f>
                          <m:fPr>
                            <m:ctrlPr>
                              <w:rPr>
                                <w:rFonts w:ascii="Cambria Math" w:hAnsi="Cambria Math"/>
                                <w:i/>
                                <w:iCs/>
                                <w:lang w:val="nl-NL"/>
                              </w:rPr>
                            </m:ctrlPr>
                          </m:fPr>
                          <m:num>
                            <m:sSub>
                              <m:sSubPr>
                                <m:ctrlPr>
                                  <w:rPr>
                                    <w:rFonts w:ascii="Cambria Math" w:hAnsi="Cambria Math"/>
                                    <w:i/>
                                    <w:iCs/>
                                    <w:lang w:val="nl-NL"/>
                                  </w:rPr>
                                </m:ctrlPr>
                              </m:sSubPr>
                              <m:e>
                                <m:r>
                                  <w:rPr>
                                    <w:rFonts w:ascii="Cambria Math" w:hAnsi="Cambria Math"/>
                                    <w:sz w:val="20"/>
                                    <w:szCs w:val="20"/>
                                    <w:lang w:val="nl-NL"/>
                                  </w:rPr>
                                  <m:t>S</m:t>
                                </m:r>
                              </m:e>
                              <m:sub>
                                <m:r>
                                  <w:rPr>
                                    <w:rFonts w:ascii="Cambria Math" w:hAnsi="Cambria Math"/>
                                    <w:sz w:val="20"/>
                                    <w:szCs w:val="20"/>
                                    <w:lang w:val="nl-NL"/>
                                  </w:rPr>
                                  <m:t>i</m:t>
                                </m:r>
                              </m:sub>
                            </m:sSub>
                          </m:num>
                          <m:den>
                            <m:sSub>
                              <m:sSubPr>
                                <m:ctrlPr>
                                  <w:rPr>
                                    <w:rFonts w:ascii="Cambria Math" w:hAnsi="Cambria Math"/>
                                    <w:i/>
                                    <w:iCs/>
                                    <w:lang w:val="nl-NL"/>
                                  </w:rPr>
                                </m:ctrlPr>
                              </m:sSubPr>
                              <m:e>
                                <m:r>
                                  <w:rPr>
                                    <w:rFonts w:ascii="Cambria Math" w:hAnsi="Cambria Math"/>
                                    <w:sz w:val="20"/>
                                    <w:szCs w:val="20"/>
                                    <w:lang w:val="nl-NL"/>
                                  </w:rPr>
                                  <m:t>S</m:t>
                                </m:r>
                              </m:e>
                              <m:sub>
                                <m:r>
                                  <w:rPr>
                                    <w:rFonts w:ascii="Cambria Math" w:hAnsi="Cambria Math"/>
                                    <w:sz w:val="20"/>
                                    <w:szCs w:val="20"/>
                                    <w:lang w:val="nl-NL"/>
                                  </w:rPr>
                                  <m:t> r i</m:t>
                                </m:r>
                              </m:sub>
                            </m:sSub>
                          </m:den>
                        </m:f>
                      </m:e>
                    </m:d>
                  </m:e>
                </m:nary>
                <m:r>
                  <w:rPr>
                    <w:rFonts w:ascii="Cambria Math" w:hAnsi="Cambria Math"/>
                    <w:sz w:val="20"/>
                    <w:szCs w:val="20"/>
                    <w:lang w:val="nl-NL"/>
                  </w:rPr>
                  <m:t>≤1</m:t>
                </m:r>
              </m:oMath>
            </m:oMathPara>
          </w:p>
          <w:p w14:paraId="49D61838" w14:textId="77777777" w:rsidR="00873667" w:rsidRDefault="00873667">
            <w:pPr>
              <w:spacing w:after="0" w:line="240" w:lineRule="auto"/>
              <w:ind w:left="352"/>
              <w:jc w:val="both"/>
              <w:rPr>
                <w:rFonts w:asciiTheme="minorHAnsi" w:hAnsiTheme="minorHAnsi"/>
                <w:sz w:val="20"/>
                <w:szCs w:val="20"/>
              </w:rPr>
            </w:pPr>
            <w:r>
              <w:rPr>
                <w:rFonts w:asciiTheme="minorHAnsi" w:hAnsiTheme="minorHAnsi"/>
                <w:sz w:val="20"/>
              </w:rPr>
              <w:t>where:</w:t>
            </w:r>
          </w:p>
          <w:p w14:paraId="356BF7CB" w14:textId="77777777" w:rsidR="00873667" w:rsidRDefault="00C4092C" w:rsidP="00242999">
            <w:pPr>
              <w:pStyle w:val="ListParagraph"/>
              <w:numPr>
                <w:ilvl w:val="0"/>
                <w:numId w:val="3"/>
              </w:numPr>
              <w:spacing w:after="0" w:line="240" w:lineRule="auto"/>
              <w:jc w:val="both"/>
              <w:rPr>
                <w:rFonts w:asciiTheme="minorHAnsi" w:hAnsiTheme="minorHAnsi"/>
                <w:sz w:val="20"/>
                <w:szCs w:val="20"/>
              </w:rPr>
            </w:pPr>
            <m:oMath>
              <m:sSub>
                <m:sSubPr>
                  <m:ctrlPr>
                    <w:rPr>
                      <w:rFonts w:ascii="Cambria Math" w:hAnsi="Cambria Math"/>
                      <w:i/>
                      <w:lang w:val="nl-NL"/>
                    </w:rPr>
                  </m:ctrlPr>
                </m:sSubPr>
                <m:e>
                  <m:r>
                    <w:rPr>
                      <w:rFonts w:ascii="Cambria Math" w:hAnsi="Cambria Math"/>
                      <w:sz w:val="20"/>
                      <w:szCs w:val="20"/>
                      <w:lang w:val="nl-NL"/>
                    </w:rPr>
                    <m:t>S</m:t>
                  </m:r>
                </m:e>
                <m:sub>
                  <m:r>
                    <w:rPr>
                      <w:rFonts w:ascii="Cambria Math" w:hAnsi="Cambria Math"/>
                      <w:sz w:val="20"/>
                      <w:szCs w:val="20"/>
                      <w:lang w:val="nl-NL"/>
                    </w:rPr>
                    <m:t>i</m:t>
                  </m:r>
                </m:sub>
              </m:sSub>
            </m:oMath>
            <w:r>
              <w:rPr>
                <w:rFonts w:asciiTheme="minorHAnsi" w:hAnsiTheme="minorHAnsi"/>
                <w:sz w:val="20"/>
              </w:rPr>
              <w:t xml:space="preserve"> is the power density at frequency i;</w:t>
            </w:r>
          </w:p>
          <w:p w14:paraId="0A0E0802" w14:textId="77777777" w:rsidR="00873667" w:rsidRDefault="00C4092C" w:rsidP="00242999">
            <w:pPr>
              <w:pStyle w:val="ListParagraph"/>
              <w:numPr>
                <w:ilvl w:val="0"/>
                <w:numId w:val="3"/>
              </w:numPr>
              <w:spacing w:after="0" w:line="240" w:lineRule="auto"/>
              <w:jc w:val="both"/>
              <w:rPr>
                <w:rFonts w:asciiTheme="minorHAnsi" w:hAnsiTheme="minorHAnsi"/>
                <w:sz w:val="20"/>
                <w:szCs w:val="20"/>
              </w:rPr>
            </w:pPr>
            <m:oMath>
              <m:sSub>
                <m:sSubPr>
                  <m:ctrlPr>
                    <w:rPr>
                      <w:rFonts w:ascii="Cambria Math" w:hAnsi="Cambria Math"/>
                      <w:i/>
                      <w:lang w:val="nl-NL"/>
                    </w:rPr>
                  </m:ctrlPr>
                </m:sSubPr>
                <m:e>
                  <m:r>
                    <w:rPr>
                      <w:rFonts w:ascii="Cambria Math" w:hAnsi="Cambria Math"/>
                      <w:sz w:val="20"/>
                      <w:szCs w:val="20"/>
                      <w:lang w:val="nl-NL"/>
                    </w:rPr>
                    <m:t>S</m:t>
                  </m:r>
                </m:e>
                <m:sub>
                  <m:r>
                    <w:rPr>
                      <w:rFonts w:ascii="Cambria Math" w:hAnsi="Cambria Math"/>
                      <w:sz w:val="20"/>
                      <w:szCs w:val="20"/>
                      <w:lang w:val="nl-NL"/>
                    </w:rPr>
                    <m:t>ri</m:t>
                  </m:r>
                </m:sub>
              </m:sSub>
            </m:oMath>
            <w:r>
              <w:rPr>
                <w:rFonts w:asciiTheme="minorHAnsi" w:hAnsiTheme="minorHAnsi"/>
                <w:sz w:val="20"/>
              </w:rPr>
              <w:t xml:space="preserve"> is the limit of the power density at frequency i as defined in the table referred to in paragraph § 1a of this Article</w:t>
            </w:r>
            <w:r>
              <w:rPr>
                <w:rFonts w:asciiTheme="minorHAnsi" w:hAnsiTheme="minorHAnsi"/>
                <w:sz w:val="20"/>
              </w:rPr>
              <w:t>. </w:t>
            </w:r>
          </w:p>
          <w:p w14:paraId="5755DF5C" w14:textId="77777777" w:rsidR="00873667" w:rsidRDefault="00873667">
            <w:pPr>
              <w:spacing w:after="0" w:line="240" w:lineRule="auto"/>
              <w:ind w:left="352"/>
              <w:jc w:val="both"/>
              <w:rPr>
                <w:rFonts w:asciiTheme="minorHAnsi" w:hAnsiTheme="minorHAnsi"/>
                <w:sz w:val="20"/>
                <w:szCs w:val="20"/>
              </w:rPr>
            </w:pPr>
            <w:r>
              <w:rPr>
                <w:rFonts w:asciiTheme="minorHAnsi" w:hAnsiTheme="minorHAnsi"/>
                <w:sz w:val="20"/>
              </w:rPr>
              <w:t>The power density of the radiation shall be calculated and/or measured in accordance with the procedures laid down by the Government, in particular on the basis of the advice and recommendations of the competent international authorities.”;</w:t>
            </w:r>
          </w:p>
          <w:p w14:paraId="1466B3D3" w14:textId="77777777" w:rsidR="00873667" w:rsidRDefault="00873667">
            <w:pPr>
              <w:pStyle w:val="ListParagraph"/>
              <w:widowControl/>
              <w:suppressAutoHyphens w:val="0"/>
              <w:spacing w:after="0" w:line="240" w:lineRule="auto"/>
              <w:ind w:left="360"/>
              <w:jc w:val="both"/>
              <w:rPr>
                <w:rFonts w:asciiTheme="minorHAnsi" w:hAnsiTheme="minorHAnsi"/>
                <w:sz w:val="20"/>
                <w:szCs w:val="20"/>
              </w:rPr>
            </w:pPr>
          </w:p>
          <w:p w14:paraId="430D729B" w14:textId="77777777" w:rsidR="00873667" w:rsidRDefault="00873667">
            <w:pPr>
              <w:pStyle w:val="ListParagraph"/>
              <w:widowControl/>
              <w:suppressAutoHyphens w:val="0"/>
              <w:spacing w:after="0" w:line="240" w:lineRule="auto"/>
              <w:ind w:left="360"/>
              <w:jc w:val="both"/>
              <w:rPr>
                <w:rFonts w:asciiTheme="minorHAnsi" w:hAnsiTheme="minorHAnsi"/>
                <w:sz w:val="20"/>
                <w:szCs w:val="20"/>
              </w:rPr>
            </w:pPr>
          </w:p>
          <w:p w14:paraId="75F26CB0" w14:textId="77777777" w:rsidR="00873667" w:rsidRDefault="00873667">
            <w:pPr>
              <w:pStyle w:val="ListParagraph"/>
              <w:widowControl/>
              <w:suppressAutoHyphens w:val="0"/>
              <w:spacing w:after="0" w:line="240" w:lineRule="auto"/>
              <w:ind w:left="360"/>
              <w:jc w:val="both"/>
              <w:rPr>
                <w:rFonts w:asciiTheme="minorHAnsi" w:hAnsiTheme="minorHAnsi"/>
                <w:sz w:val="20"/>
                <w:szCs w:val="20"/>
              </w:rPr>
            </w:pPr>
          </w:p>
          <w:p w14:paraId="7040879B" w14:textId="77777777" w:rsidR="00873667" w:rsidRDefault="00873667" w:rsidP="00242999">
            <w:pPr>
              <w:pStyle w:val="ListParagraph"/>
              <w:widowControl/>
              <w:numPr>
                <w:ilvl w:val="0"/>
                <w:numId w:val="2"/>
              </w:numPr>
              <w:suppressAutoHyphens w:val="0"/>
              <w:spacing w:after="0" w:line="240" w:lineRule="auto"/>
              <w:jc w:val="both"/>
              <w:rPr>
                <w:rFonts w:asciiTheme="minorHAnsi" w:hAnsiTheme="minorHAnsi"/>
                <w:sz w:val="20"/>
                <w:szCs w:val="20"/>
              </w:rPr>
            </w:pPr>
            <w:r>
              <w:rPr>
                <w:rFonts w:asciiTheme="minorHAnsi" w:hAnsiTheme="minorHAnsi"/>
                <w:sz w:val="20"/>
              </w:rPr>
              <w:t xml:space="preserve">a paragraph 1c is inserted, which reads as follows: </w:t>
            </w:r>
          </w:p>
          <w:p w14:paraId="769F4642" w14:textId="77777777" w:rsidR="00873667" w:rsidRDefault="00873667">
            <w:pPr>
              <w:pStyle w:val="ListParagraph"/>
              <w:widowControl/>
              <w:suppressAutoHyphens w:val="0"/>
              <w:spacing w:after="0" w:line="240" w:lineRule="auto"/>
              <w:ind w:left="360"/>
              <w:jc w:val="both"/>
              <w:rPr>
                <w:rFonts w:asciiTheme="minorHAnsi" w:hAnsiTheme="minorHAnsi"/>
                <w:sz w:val="20"/>
                <w:szCs w:val="20"/>
              </w:rPr>
            </w:pPr>
            <w:r>
              <w:rPr>
                <w:rFonts w:asciiTheme="minorHAnsi" w:hAnsiTheme="minorHAnsi"/>
                <w:sz w:val="20"/>
              </w:rPr>
              <w:t>“§ 1c.  Antennas generating non-ionising radiation in the frequency range between 20 GHz and 300 GHz shall be prohibited. The Government is empowered to authorise these antennas in compliance with the authorisations issued by other levels of authority.</w:t>
            </w:r>
          </w:p>
          <w:p w14:paraId="5757430B" w14:textId="77777777" w:rsidR="00873667" w:rsidRDefault="00873667">
            <w:pPr>
              <w:pStyle w:val="ListParagraph"/>
              <w:widowControl/>
              <w:suppressAutoHyphens w:val="0"/>
              <w:spacing w:after="0" w:line="240" w:lineRule="auto"/>
              <w:ind w:left="360"/>
              <w:jc w:val="both"/>
              <w:rPr>
                <w:rFonts w:asciiTheme="minorHAnsi" w:hAnsiTheme="minorHAnsi"/>
                <w:sz w:val="20"/>
                <w:szCs w:val="20"/>
              </w:rPr>
            </w:pPr>
            <w:r>
              <w:rPr>
                <w:rFonts w:asciiTheme="minorHAnsi" w:hAnsiTheme="minorHAnsi"/>
                <w:sz w:val="20"/>
              </w:rPr>
              <w:t>Microwave link type antennas are not covered by the prohibition referred to in the preceding subparagraph.”;</w:t>
            </w:r>
          </w:p>
          <w:p w14:paraId="49B3DA95" w14:textId="77777777" w:rsidR="00873667" w:rsidRDefault="00873667">
            <w:pPr>
              <w:pStyle w:val="ListParagraph"/>
              <w:widowControl/>
              <w:suppressAutoHyphens w:val="0"/>
              <w:spacing w:after="0" w:line="240" w:lineRule="auto"/>
              <w:ind w:left="360"/>
              <w:jc w:val="both"/>
              <w:rPr>
                <w:rFonts w:asciiTheme="minorHAnsi" w:hAnsiTheme="minorHAnsi"/>
                <w:sz w:val="20"/>
                <w:szCs w:val="20"/>
              </w:rPr>
            </w:pPr>
          </w:p>
          <w:p w14:paraId="13D55AF3" w14:textId="77777777" w:rsidR="00873667" w:rsidRDefault="00873667" w:rsidP="00242999">
            <w:pPr>
              <w:pStyle w:val="ListParagraph"/>
              <w:widowControl/>
              <w:numPr>
                <w:ilvl w:val="0"/>
                <w:numId w:val="2"/>
              </w:numPr>
              <w:suppressAutoHyphens w:val="0"/>
              <w:spacing w:after="0" w:line="240" w:lineRule="auto"/>
              <w:jc w:val="both"/>
              <w:rPr>
                <w:rFonts w:asciiTheme="minorHAnsi" w:hAnsiTheme="minorHAnsi"/>
                <w:sz w:val="20"/>
                <w:szCs w:val="20"/>
              </w:rPr>
            </w:pPr>
            <w:r>
              <w:rPr>
                <w:rFonts w:asciiTheme="minorHAnsi" w:hAnsiTheme="minorHAnsi"/>
                <w:sz w:val="20"/>
              </w:rPr>
              <w:t>in paragraph 2, subparagraph 1, the word “nine” is replaced by the words “between seven and thirteen”;</w:t>
            </w:r>
          </w:p>
          <w:p w14:paraId="7B0EE76D" w14:textId="77777777" w:rsidR="00873667" w:rsidRDefault="00873667">
            <w:pPr>
              <w:pStyle w:val="ListParagraph"/>
              <w:widowControl/>
              <w:suppressAutoHyphens w:val="0"/>
              <w:spacing w:after="0" w:line="240" w:lineRule="auto"/>
              <w:ind w:left="360"/>
              <w:jc w:val="both"/>
              <w:rPr>
                <w:rFonts w:asciiTheme="minorHAnsi" w:hAnsiTheme="minorHAnsi"/>
                <w:sz w:val="20"/>
                <w:szCs w:val="20"/>
              </w:rPr>
            </w:pPr>
          </w:p>
          <w:p w14:paraId="05D147EC" w14:textId="77777777" w:rsidR="00873667" w:rsidRDefault="00873667" w:rsidP="00242999">
            <w:pPr>
              <w:pStyle w:val="ListParagraph"/>
              <w:widowControl/>
              <w:numPr>
                <w:ilvl w:val="0"/>
                <w:numId w:val="2"/>
              </w:numPr>
              <w:suppressAutoHyphens w:val="0"/>
              <w:spacing w:after="0" w:line="240" w:lineRule="auto"/>
              <w:jc w:val="both"/>
              <w:rPr>
                <w:rFonts w:asciiTheme="minorHAnsi" w:hAnsiTheme="minorHAnsi"/>
                <w:sz w:val="20"/>
                <w:szCs w:val="20"/>
              </w:rPr>
            </w:pPr>
            <w:r>
              <w:rPr>
                <w:rFonts w:asciiTheme="minorHAnsi" w:hAnsiTheme="minorHAnsi"/>
                <w:sz w:val="20"/>
              </w:rPr>
              <w:t xml:space="preserve">in paragraph 2, subparagraph 3, the words “economic and public health imperatives” are replaced by “economic, public health and respect for the environment imperatives”; </w:t>
            </w:r>
          </w:p>
          <w:p w14:paraId="48C0DE02" w14:textId="77777777" w:rsidR="00873667" w:rsidRDefault="00873667">
            <w:pPr>
              <w:pStyle w:val="ListParagraph"/>
              <w:widowControl/>
              <w:suppressAutoHyphens w:val="0"/>
              <w:spacing w:after="0" w:line="240" w:lineRule="auto"/>
              <w:ind w:left="360"/>
              <w:jc w:val="both"/>
              <w:rPr>
                <w:rFonts w:asciiTheme="minorHAnsi" w:hAnsiTheme="minorHAnsi"/>
                <w:sz w:val="20"/>
                <w:szCs w:val="20"/>
              </w:rPr>
            </w:pPr>
          </w:p>
          <w:p w14:paraId="2A11D230" w14:textId="77777777" w:rsidR="00873667" w:rsidRDefault="00873667" w:rsidP="00242999">
            <w:pPr>
              <w:pStyle w:val="ListParagraph"/>
              <w:widowControl/>
              <w:numPr>
                <w:ilvl w:val="0"/>
                <w:numId w:val="2"/>
              </w:numPr>
              <w:suppressAutoHyphens w:val="0"/>
              <w:spacing w:after="0" w:line="240" w:lineRule="auto"/>
              <w:jc w:val="both"/>
              <w:rPr>
                <w:rFonts w:asciiTheme="minorHAnsi" w:hAnsiTheme="minorHAnsi"/>
                <w:sz w:val="20"/>
                <w:szCs w:val="20"/>
              </w:rPr>
            </w:pPr>
            <w:r>
              <w:rPr>
                <w:rFonts w:asciiTheme="minorHAnsi" w:hAnsiTheme="minorHAnsi"/>
                <w:sz w:val="20"/>
              </w:rPr>
              <w:t>in paragraph 2, subparagraph 3, the sentence “The report shall be published on the website of the Brussels Institute for Environmental Management within three months of its receipt by the Government.” is replaced by the sentence “The Government shall submit the report annually to the Parliament and Brussels Environment shall publish it on its website within three months of its acceptance by the Government.”;</w:t>
            </w:r>
          </w:p>
          <w:p w14:paraId="08B93EA7" w14:textId="77777777" w:rsidR="00873667" w:rsidRDefault="00873667">
            <w:pPr>
              <w:pStyle w:val="ListParagraph"/>
              <w:widowControl/>
              <w:suppressAutoHyphens w:val="0"/>
              <w:spacing w:after="0" w:line="240" w:lineRule="auto"/>
              <w:ind w:left="360"/>
              <w:jc w:val="both"/>
              <w:rPr>
                <w:rFonts w:asciiTheme="minorHAnsi" w:hAnsiTheme="minorHAnsi"/>
                <w:sz w:val="20"/>
                <w:szCs w:val="20"/>
              </w:rPr>
            </w:pPr>
          </w:p>
          <w:p w14:paraId="45A53D85" w14:textId="77777777" w:rsidR="00873667" w:rsidRDefault="00873667" w:rsidP="00242999">
            <w:pPr>
              <w:pStyle w:val="ListParagraph"/>
              <w:widowControl/>
              <w:numPr>
                <w:ilvl w:val="0"/>
                <w:numId w:val="2"/>
              </w:numPr>
              <w:suppressAutoHyphens w:val="0"/>
              <w:spacing w:after="0" w:line="240" w:lineRule="auto"/>
              <w:jc w:val="both"/>
              <w:rPr>
                <w:rFonts w:asciiTheme="minorHAnsi" w:hAnsiTheme="minorHAnsi"/>
                <w:sz w:val="20"/>
                <w:szCs w:val="20"/>
              </w:rPr>
            </w:pPr>
            <w:r>
              <w:rPr>
                <w:rFonts w:asciiTheme="minorHAnsi" w:hAnsiTheme="minorHAnsi"/>
                <w:sz w:val="20"/>
              </w:rPr>
              <w:t>in paragraph 2, subparagraph 3, the sentence “The first report shall be submitted to the Government no later than 1st September 2014.” is repealed;</w:t>
            </w:r>
          </w:p>
          <w:p w14:paraId="6F3601A3" w14:textId="77777777" w:rsidR="00873667" w:rsidRDefault="00873667">
            <w:pPr>
              <w:pStyle w:val="ListParagraph"/>
              <w:rPr>
                <w:rFonts w:asciiTheme="minorHAnsi" w:hAnsiTheme="minorHAnsi"/>
                <w:sz w:val="20"/>
                <w:szCs w:val="20"/>
              </w:rPr>
            </w:pPr>
          </w:p>
          <w:p w14:paraId="05E9C0C1" w14:textId="77777777" w:rsidR="00873667" w:rsidRDefault="00873667" w:rsidP="00242999">
            <w:pPr>
              <w:pStyle w:val="ListParagraph"/>
              <w:widowControl/>
              <w:numPr>
                <w:ilvl w:val="0"/>
                <w:numId w:val="2"/>
              </w:numPr>
              <w:suppressAutoHyphens w:val="0"/>
              <w:spacing w:after="0" w:line="240" w:lineRule="auto"/>
              <w:jc w:val="both"/>
              <w:rPr>
                <w:rFonts w:asciiTheme="minorHAnsi" w:hAnsiTheme="minorHAnsi"/>
                <w:sz w:val="20"/>
                <w:szCs w:val="20"/>
              </w:rPr>
            </w:pPr>
            <w:r>
              <w:rPr>
                <w:rFonts w:asciiTheme="minorHAnsi" w:hAnsiTheme="minorHAnsi"/>
                <w:sz w:val="20"/>
              </w:rPr>
              <w:t>in paragraph 2, subparagraph 4, the words “operators of installations capable of producing or transmitting non-ionising radiation” and “Brussels Environment” are replaced by the words “operators and broadcasters” and “Brussels Environment and Brussels Town-planning and Heritage”;</w:t>
            </w:r>
          </w:p>
          <w:p w14:paraId="73946D5F" w14:textId="77777777" w:rsidR="00873667" w:rsidRDefault="00873667">
            <w:pPr>
              <w:pStyle w:val="ListParagraph"/>
              <w:rPr>
                <w:rFonts w:asciiTheme="minorHAnsi" w:hAnsiTheme="minorHAnsi"/>
                <w:sz w:val="20"/>
                <w:szCs w:val="20"/>
              </w:rPr>
            </w:pPr>
          </w:p>
          <w:p w14:paraId="2034DDBC" w14:textId="77777777" w:rsidR="00873667" w:rsidRDefault="00873667" w:rsidP="00C4092C">
            <w:pPr>
              <w:pStyle w:val="ListParagraph"/>
              <w:keepNext/>
              <w:widowControl/>
              <w:numPr>
                <w:ilvl w:val="0"/>
                <w:numId w:val="2"/>
              </w:numPr>
              <w:suppressAutoHyphens w:val="0"/>
              <w:spacing w:after="0" w:line="240" w:lineRule="auto"/>
              <w:ind w:left="357" w:hanging="357"/>
              <w:jc w:val="both"/>
              <w:rPr>
                <w:rFonts w:asciiTheme="minorHAnsi" w:hAnsiTheme="minorHAnsi"/>
                <w:sz w:val="20"/>
                <w:szCs w:val="20"/>
              </w:rPr>
            </w:pPr>
            <w:r>
              <w:rPr>
                <w:rFonts w:asciiTheme="minorHAnsi" w:hAnsiTheme="minorHAnsi"/>
                <w:sz w:val="20"/>
              </w:rPr>
              <w:lastRenderedPageBreak/>
              <w:t>paragraph 2 is supplemented by a new subparagraph, which reads as follows:</w:t>
            </w:r>
          </w:p>
          <w:p w14:paraId="272B3177" w14:textId="77777777" w:rsidR="00873667" w:rsidRDefault="00873667">
            <w:pPr>
              <w:pStyle w:val="ListParagraph"/>
              <w:widowControl/>
              <w:suppressAutoHyphens w:val="0"/>
              <w:spacing w:after="0" w:line="240" w:lineRule="auto"/>
              <w:ind w:left="360"/>
              <w:jc w:val="both"/>
              <w:rPr>
                <w:rFonts w:asciiTheme="minorHAnsi" w:hAnsiTheme="minorHAnsi"/>
                <w:sz w:val="20"/>
                <w:szCs w:val="20"/>
              </w:rPr>
            </w:pPr>
            <w:r>
              <w:rPr>
                <w:rFonts w:asciiTheme="minorHAnsi" w:hAnsiTheme="minorHAnsi"/>
                <w:sz w:val="20"/>
              </w:rPr>
              <w:t>“ The Committee shall give an opinion on all draft amendments to this Ordinance and on the adoption or amendment of its implementing measures. </w:t>
            </w:r>
          </w:p>
          <w:p w14:paraId="3F15769A" w14:textId="77777777" w:rsidR="00873667" w:rsidRDefault="00873667">
            <w:pPr>
              <w:pStyle w:val="ListParagraph"/>
              <w:widowControl/>
              <w:suppressAutoHyphens w:val="0"/>
              <w:spacing w:after="0" w:line="240" w:lineRule="auto"/>
              <w:ind w:left="360"/>
              <w:jc w:val="both"/>
              <w:rPr>
                <w:rFonts w:asciiTheme="minorHAnsi" w:hAnsiTheme="minorHAnsi"/>
                <w:sz w:val="20"/>
                <w:szCs w:val="20"/>
              </w:rPr>
            </w:pPr>
            <w:r>
              <w:rPr>
                <w:rFonts w:asciiTheme="minorHAnsi" w:hAnsiTheme="minorHAnsi"/>
                <w:sz w:val="20"/>
              </w:rPr>
              <w:t>The Committee may collaborate with any scientific expert or expert group established at international, federal, regional or local level.”;</w:t>
            </w:r>
          </w:p>
          <w:p w14:paraId="3573B9A7" w14:textId="77777777" w:rsidR="00873667" w:rsidRDefault="00873667">
            <w:pPr>
              <w:widowControl/>
              <w:suppressAutoHyphens w:val="0"/>
              <w:spacing w:after="0" w:line="240" w:lineRule="auto"/>
              <w:jc w:val="both"/>
              <w:rPr>
                <w:rFonts w:asciiTheme="minorHAnsi" w:hAnsiTheme="minorHAnsi"/>
                <w:sz w:val="20"/>
                <w:szCs w:val="20"/>
                <w:lang w:val="fr-BE"/>
              </w:rPr>
            </w:pPr>
          </w:p>
          <w:p w14:paraId="33A60EFD" w14:textId="77777777" w:rsidR="00873667" w:rsidRDefault="00873667" w:rsidP="00242999">
            <w:pPr>
              <w:pStyle w:val="ListParagraph"/>
              <w:widowControl/>
              <w:numPr>
                <w:ilvl w:val="0"/>
                <w:numId w:val="2"/>
              </w:numPr>
              <w:suppressAutoHyphens w:val="0"/>
              <w:spacing w:after="0" w:line="240" w:lineRule="auto"/>
              <w:jc w:val="both"/>
              <w:rPr>
                <w:rFonts w:asciiTheme="minorHAnsi" w:hAnsiTheme="minorHAnsi"/>
                <w:sz w:val="20"/>
                <w:szCs w:val="20"/>
              </w:rPr>
            </w:pPr>
            <w:r>
              <w:rPr>
                <w:rFonts w:asciiTheme="minorHAnsi" w:hAnsiTheme="minorHAnsi"/>
                <w:sz w:val="20"/>
              </w:rPr>
              <w:t xml:space="preserve">a paragraph 3 shall be inserted as follows: </w:t>
            </w:r>
          </w:p>
          <w:p w14:paraId="0499D927" w14:textId="77777777" w:rsidR="00873667" w:rsidRDefault="00873667">
            <w:pPr>
              <w:spacing w:after="0" w:line="240" w:lineRule="auto"/>
              <w:ind w:left="352"/>
              <w:jc w:val="both"/>
              <w:rPr>
                <w:rFonts w:asciiTheme="minorHAnsi" w:hAnsiTheme="minorHAnsi"/>
                <w:sz w:val="20"/>
                <w:szCs w:val="20"/>
              </w:rPr>
            </w:pPr>
            <w:r>
              <w:rPr>
                <w:rFonts w:asciiTheme="minorHAnsi" w:hAnsiTheme="minorHAnsi"/>
                <w:sz w:val="20"/>
              </w:rPr>
              <w:t>“§ 3. The Government concludes with operators a charter of good conduct aimed, in particular, at providing citizens with the greatest possible transparency regarding the development of mobile telephone networks, establishing one or more lines of conduct for operators, at technical, environmental as well as public health levels, and/or setting targets for operators relating to waste management related to the development of mobile telephone networks.</w:t>
            </w:r>
          </w:p>
          <w:p w14:paraId="1D2C6D75" w14:textId="77777777" w:rsidR="00873667" w:rsidRDefault="00873667">
            <w:pPr>
              <w:spacing w:after="0" w:line="240" w:lineRule="auto"/>
              <w:ind w:left="352"/>
              <w:jc w:val="both"/>
              <w:rPr>
                <w:rFonts w:asciiTheme="minorHAnsi" w:hAnsiTheme="minorHAnsi"/>
                <w:sz w:val="20"/>
                <w:szCs w:val="20"/>
              </w:rPr>
            </w:pPr>
            <w:r>
              <w:rPr>
                <w:rFonts w:asciiTheme="minorHAnsi" w:hAnsiTheme="minorHAnsi"/>
                <w:sz w:val="20"/>
              </w:rPr>
              <w:t>Operators collectively may conclude, amend or renew an environmental agreement with the Region in accordance with the provisions of the Ordinance of 29 April 2004 relating to environmental agreements.”;</w:t>
            </w:r>
          </w:p>
          <w:p w14:paraId="4C6FF580" w14:textId="77777777" w:rsidR="00873667" w:rsidRDefault="00873667">
            <w:pPr>
              <w:spacing w:after="0" w:line="240" w:lineRule="auto"/>
              <w:ind w:left="352"/>
              <w:jc w:val="both"/>
              <w:rPr>
                <w:rFonts w:asciiTheme="minorHAnsi" w:hAnsiTheme="minorHAnsi"/>
                <w:sz w:val="20"/>
                <w:szCs w:val="20"/>
                <w:lang w:val="fr-BE"/>
              </w:rPr>
            </w:pPr>
          </w:p>
          <w:p w14:paraId="7E29FAB9" w14:textId="77777777" w:rsidR="00873667" w:rsidRDefault="00873667" w:rsidP="00242999">
            <w:pPr>
              <w:pStyle w:val="ListParagraph"/>
              <w:numPr>
                <w:ilvl w:val="0"/>
                <w:numId w:val="2"/>
              </w:numPr>
              <w:spacing w:after="0" w:line="240" w:lineRule="auto"/>
              <w:jc w:val="both"/>
              <w:rPr>
                <w:rFonts w:asciiTheme="minorHAnsi" w:hAnsiTheme="minorHAnsi"/>
                <w:sz w:val="20"/>
                <w:szCs w:val="20"/>
              </w:rPr>
            </w:pPr>
            <w:r>
              <w:rPr>
                <w:rFonts w:asciiTheme="minorHAnsi" w:hAnsiTheme="minorHAnsi"/>
                <w:sz w:val="20"/>
              </w:rPr>
              <w:t>a paragraph 4 shall be inserted as follows:</w:t>
            </w:r>
          </w:p>
          <w:p w14:paraId="2B84997F" w14:textId="77777777" w:rsidR="00873667" w:rsidRDefault="00873667">
            <w:pPr>
              <w:pStyle w:val="ListParagraph"/>
              <w:spacing w:after="0" w:line="240" w:lineRule="auto"/>
              <w:ind w:left="360"/>
              <w:jc w:val="both"/>
              <w:rPr>
                <w:rFonts w:asciiTheme="minorHAnsi" w:hAnsiTheme="minorHAnsi"/>
                <w:sz w:val="20"/>
                <w:szCs w:val="20"/>
              </w:rPr>
            </w:pPr>
            <w:r>
              <w:rPr>
                <w:rFonts w:asciiTheme="minorHAnsi" w:hAnsiTheme="minorHAnsi"/>
                <w:sz w:val="20"/>
              </w:rPr>
              <w:t xml:space="preserve">“§ 4. Where the standards referred to in paragraph 1a are exceeded, this paragraph shall apply. </w:t>
            </w:r>
          </w:p>
          <w:p w14:paraId="19017495" w14:textId="77777777" w:rsidR="00873667" w:rsidRDefault="00873667">
            <w:pPr>
              <w:pStyle w:val="ListParagraph"/>
              <w:spacing w:after="0" w:line="240" w:lineRule="auto"/>
              <w:ind w:left="360"/>
              <w:jc w:val="both"/>
              <w:rPr>
                <w:rFonts w:asciiTheme="minorHAnsi" w:hAnsiTheme="minorHAnsi"/>
                <w:sz w:val="20"/>
                <w:szCs w:val="20"/>
              </w:rPr>
            </w:pPr>
            <w:r>
              <w:rPr>
                <w:rFonts w:asciiTheme="minorHAnsi" w:hAnsiTheme="minorHAnsi"/>
                <w:sz w:val="20"/>
              </w:rPr>
              <w:t>Operators whose antennas contribute to exceeding the standards referred to in paragraph 1a shall reduce the electric field emitted by their antennas so that the standards referred to in paragraph 1a are complied with, where appropriate by consultation with each other and with broadcasters.</w:t>
            </w:r>
          </w:p>
          <w:p w14:paraId="67E22AA1" w14:textId="77777777" w:rsidR="00873667" w:rsidRDefault="00873667">
            <w:pPr>
              <w:pStyle w:val="ListParagraph"/>
              <w:spacing w:after="0" w:line="240" w:lineRule="auto"/>
              <w:ind w:left="360"/>
              <w:jc w:val="both"/>
              <w:rPr>
                <w:rFonts w:asciiTheme="minorHAnsi" w:hAnsiTheme="minorHAnsi"/>
                <w:sz w:val="20"/>
                <w:szCs w:val="20"/>
              </w:rPr>
            </w:pPr>
            <w:r>
              <w:rPr>
                <w:rFonts w:asciiTheme="minorHAnsi" w:hAnsiTheme="minorHAnsi"/>
                <w:sz w:val="20"/>
              </w:rPr>
              <w:t xml:space="preserve">Broadcasters whose antennas contribute to exceeding the standards referred to in paragraph 1a shall provide operators and Brussels Environment with all technical information related to non-ionising radiation from the antennas concerned if they are different from those provided pursuant to Article 4. </w:t>
            </w:r>
          </w:p>
          <w:p w14:paraId="6A8A4CA9" w14:textId="77777777" w:rsidR="00873667" w:rsidRDefault="00873667">
            <w:pPr>
              <w:pStyle w:val="ListParagraph"/>
              <w:spacing w:after="0" w:line="240" w:lineRule="auto"/>
              <w:ind w:left="360"/>
              <w:jc w:val="both"/>
              <w:rPr>
                <w:rFonts w:asciiTheme="minorHAnsi" w:hAnsiTheme="minorHAnsi"/>
                <w:sz w:val="20"/>
                <w:szCs w:val="20"/>
              </w:rPr>
            </w:pPr>
            <w:r>
              <w:rPr>
                <w:rFonts w:asciiTheme="minorHAnsi" w:hAnsiTheme="minorHAnsi"/>
                <w:sz w:val="20"/>
              </w:rPr>
              <w:t xml:space="preserve">The Government may specify the conditions of this consultation and the method to be applied by operators in order, where appropriate, to reduce their respective share in relation to the power density involving exceeding of the standards referred to in paragraph 1a. The Government shall specify the terms and conditions in the event of agreement between the operators and, in the absence of agreement, the obligations that may be imposed on them. </w:t>
            </w:r>
          </w:p>
          <w:p w14:paraId="56ABD7FE" w14:textId="77777777" w:rsidR="00873667" w:rsidRDefault="00873667">
            <w:pPr>
              <w:pStyle w:val="ListParagraph"/>
              <w:spacing w:after="0" w:line="240" w:lineRule="auto"/>
              <w:ind w:left="360"/>
              <w:jc w:val="both"/>
              <w:rPr>
                <w:rFonts w:asciiTheme="minorHAnsi" w:hAnsiTheme="minorHAnsi"/>
                <w:sz w:val="20"/>
                <w:szCs w:val="20"/>
              </w:rPr>
            </w:pPr>
            <w:r>
              <w:rPr>
                <w:rFonts w:asciiTheme="minorHAnsi" w:hAnsiTheme="minorHAnsi"/>
                <w:sz w:val="20"/>
              </w:rPr>
              <w:t xml:space="preserve">By way of derogation from paragraph 1a, if the obligations imposed on operators under the preceding subparagraph or any other measures implemented by the operators or broadcaster do not allow the power density of the antennas concerned to be reduced sufficiently to ensure compliance with the standards referred to in paragraph 1a, only the operators involved in the exceeding shall be obliged to comply, together and taking into account the information provided in accordance with paragraph 3 and Article 4, with 42.6% and 17% of the standards referred to in paragraph 1a respectively in areas accessible to the public indoors and in areas accessible to the public outdoors. </w:t>
            </w:r>
          </w:p>
          <w:p w14:paraId="198A1AFF" w14:textId="77777777" w:rsidR="00873667" w:rsidRDefault="00873667">
            <w:pPr>
              <w:pStyle w:val="ListParagraph"/>
              <w:spacing w:after="0" w:line="240" w:lineRule="auto"/>
              <w:ind w:left="360"/>
              <w:jc w:val="both"/>
              <w:rPr>
                <w:rFonts w:asciiTheme="minorHAnsi" w:hAnsiTheme="minorHAnsi"/>
                <w:sz w:val="20"/>
                <w:szCs w:val="20"/>
              </w:rPr>
            </w:pPr>
            <w:r>
              <w:rPr>
                <w:rFonts w:asciiTheme="minorHAnsi" w:hAnsiTheme="minorHAnsi"/>
                <w:sz w:val="20"/>
              </w:rPr>
              <w:t>The exception regime referred to in the preceding subparagraph may not at any time involve radiation densities of non-ionising radiation in areas accessible to the public indoors and in areas accessible to the public outdoors higher than those referred to in Council Recommendation 1999/519/EC of 12 July 1999 on the limitation of exposure of the public to electromagnetic fields (from 0 Hz to 300 GHz) and its future developments, and may concern only 0.0065 % of the ground surfaces and envelopes of buildings in the Urbis-</w:t>
            </w:r>
            <w:proofErr w:type="spellStart"/>
            <w:r>
              <w:rPr>
                <w:rFonts w:asciiTheme="minorHAnsi" w:hAnsiTheme="minorHAnsi"/>
                <w:sz w:val="20"/>
              </w:rPr>
              <w:t>Adm</w:t>
            </w:r>
            <w:proofErr w:type="spellEnd"/>
            <w:r>
              <w:rPr>
                <w:rFonts w:asciiTheme="minorHAnsi" w:hAnsiTheme="minorHAnsi"/>
                <w:sz w:val="20"/>
              </w:rPr>
              <w:t xml:space="preserve"> 3D database. The Government has the authority to set lower limits. Brussels Environment maintains a list for the Government and the Committee, listing the cases of application referred to in subparagraph 5.”.</w:t>
            </w:r>
          </w:p>
          <w:p w14:paraId="623A5571" w14:textId="77777777" w:rsidR="00873667" w:rsidRDefault="00873667">
            <w:pPr>
              <w:spacing w:after="0" w:line="240" w:lineRule="auto"/>
              <w:jc w:val="both"/>
              <w:rPr>
                <w:rFonts w:asciiTheme="minorHAnsi" w:hAnsiTheme="minorHAnsi"/>
                <w:sz w:val="20"/>
                <w:szCs w:val="20"/>
                <w:lang w:val="fr-BE"/>
              </w:rPr>
            </w:pPr>
          </w:p>
        </w:tc>
      </w:tr>
      <w:tr w:rsidR="00873667" w:rsidRPr="00404725" w14:paraId="7F775EBA"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0785F" w14:textId="77777777" w:rsidR="00873667" w:rsidRDefault="00873667">
            <w:pPr>
              <w:spacing w:after="0" w:line="240" w:lineRule="auto"/>
              <w:jc w:val="both"/>
              <w:rPr>
                <w:rFonts w:asciiTheme="minorHAnsi" w:hAnsiTheme="minorHAnsi"/>
                <w:b/>
                <w:sz w:val="20"/>
                <w:szCs w:val="20"/>
              </w:rPr>
            </w:pPr>
            <w:r>
              <w:rPr>
                <w:rFonts w:asciiTheme="minorHAnsi" w:hAnsiTheme="minorHAnsi"/>
                <w:b/>
                <w:sz w:val="20"/>
              </w:rPr>
              <w:lastRenderedPageBreak/>
              <w:t>Article 4.</w:t>
            </w:r>
          </w:p>
          <w:p w14:paraId="7BA6CE1E" w14:textId="77777777" w:rsidR="00873667" w:rsidRDefault="00873667">
            <w:pPr>
              <w:spacing w:after="0" w:line="240" w:lineRule="auto"/>
              <w:jc w:val="both"/>
              <w:rPr>
                <w:rFonts w:asciiTheme="minorHAnsi" w:hAnsiTheme="minorHAnsi"/>
                <w:sz w:val="20"/>
                <w:szCs w:val="20"/>
              </w:rPr>
            </w:pPr>
            <w:r>
              <w:rPr>
                <w:rFonts w:asciiTheme="minorHAnsi" w:hAnsiTheme="minorHAnsi"/>
                <w:sz w:val="20"/>
              </w:rPr>
              <w:t>§ 1. In the same ordinance, the following heading is inserted after Article 3: “ General obligation of operators”.</w:t>
            </w:r>
          </w:p>
          <w:p w14:paraId="493E4D9C" w14:textId="77777777" w:rsidR="00873667" w:rsidRDefault="00873667">
            <w:pPr>
              <w:spacing w:after="0" w:line="240" w:lineRule="auto"/>
              <w:jc w:val="both"/>
              <w:rPr>
                <w:rFonts w:asciiTheme="minorHAnsi" w:hAnsiTheme="minorHAnsi"/>
                <w:sz w:val="20"/>
                <w:szCs w:val="20"/>
                <w:lang w:val="fr-BE"/>
              </w:rPr>
            </w:pPr>
          </w:p>
          <w:p w14:paraId="7634251F" w14:textId="77777777" w:rsidR="00873667" w:rsidRDefault="00873667">
            <w:pPr>
              <w:spacing w:after="0" w:line="240" w:lineRule="auto"/>
              <w:jc w:val="both"/>
              <w:rPr>
                <w:rFonts w:asciiTheme="minorHAnsi" w:hAnsiTheme="minorHAnsi"/>
                <w:sz w:val="20"/>
                <w:szCs w:val="20"/>
                <w:lang w:val="fr-BE"/>
              </w:rPr>
            </w:pPr>
          </w:p>
          <w:p w14:paraId="49811318" w14:textId="77777777" w:rsidR="00873667" w:rsidRDefault="00873667">
            <w:pPr>
              <w:spacing w:after="0" w:line="240" w:lineRule="auto"/>
              <w:jc w:val="both"/>
              <w:rPr>
                <w:rFonts w:asciiTheme="minorHAnsi" w:hAnsiTheme="minorHAnsi"/>
                <w:sz w:val="20"/>
                <w:szCs w:val="20"/>
              </w:rPr>
            </w:pPr>
            <w:r>
              <w:rPr>
                <w:rFonts w:asciiTheme="minorHAnsi" w:hAnsiTheme="minorHAnsi"/>
                <w:sz w:val="20"/>
              </w:rPr>
              <w:t>§ 2. In the same ordinance, Article 3a is inserted, under the heading inserted by paragraph 1, as follows:</w:t>
            </w:r>
          </w:p>
          <w:p w14:paraId="77C64ADE" w14:textId="77777777" w:rsidR="00873667" w:rsidRDefault="00873667">
            <w:pPr>
              <w:spacing w:after="0" w:line="240" w:lineRule="auto"/>
              <w:ind w:left="200"/>
              <w:jc w:val="both"/>
              <w:rPr>
                <w:rFonts w:asciiTheme="minorHAnsi" w:hAnsiTheme="minorHAnsi"/>
                <w:sz w:val="20"/>
                <w:szCs w:val="20"/>
              </w:rPr>
            </w:pPr>
            <w:r>
              <w:rPr>
                <w:rFonts w:asciiTheme="minorHAnsi" w:hAnsiTheme="minorHAnsi"/>
                <w:sz w:val="20"/>
              </w:rPr>
              <w:t xml:space="preserve">“ Article 3a. Without prejudice to Article 3, any operator and broadcaster operating an antenna in the territory of the Brussels-Capital Region shall be able at any time to justify compliance with the </w:t>
            </w:r>
            <w:proofErr w:type="spellStart"/>
            <w:r>
              <w:rPr>
                <w:rFonts w:asciiTheme="minorHAnsi" w:hAnsiTheme="minorHAnsi"/>
                <w:sz w:val="20"/>
              </w:rPr>
              <w:t>immission</w:t>
            </w:r>
            <w:proofErr w:type="spellEnd"/>
            <w:r>
              <w:rPr>
                <w:rFonts w:asciiTheme="minorHAnsi" w:hAnsiTheme="minorHAnsi"/>
                <w:sz w:val="20"/>
              </w:rPr>
              <w:t xml:space="preserve"> standard referred to in Article 3 and to immediately take all necessary measures where it is aware, by any means whatsoever, that the </w:t>
            </w:r>
            <w:proofErr w:type="spellStart"/>
            <w:r>
              <w:rPr>
                <w:rFonts w:asciiTheme="minorHAnsi" w:hAnsiTheme="minorHAnsi"/>
                <w:sz w:val="20"/>
              </w:rPr>
              <w:t>immission</w:t>
            </w:r>
            <w:proofErr w:type="spellEnd"/>
            <w:r>
              <w:rPr>
                <w:rFonts w:asciiTheme="minorHAnsi" w:hAnsiTheme="minorHAnsi"/>
                <w:sz w:val="20"/>
              </w:rPr>
              <w:t xml:space="preserve"> standard referred to in Article 3 is not being complied with.”.</w:t>
            </w:r>
          </w:p>
          <w:p w14:paraId="0D332DF9" w14:textId="77777777" w:rsidR="00873667" w:rsidRDefault="00873667">
            <w:pPr>
              <w:spacing w:after="0" w:line="240" w:lineRule="auto"/>
              <w:jc w:val="both"/>
              <w:rPr>
                <w:rFonts w:asciiTheme="minorHAnsi" w:hAnsiTheme="minorHAnsi"/>
                <w:sz w:val="20"/>
                <w:szCs w:val="20"/>
                <w:lang w:val="fr-BE"/>
              </w:rPr>
            </w:pPr>
          </w:p>
        </w:tc>
      </w:tr>
      <w:tr w:rsidR="00873667" w14:paraId="32D11D43"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A0B65" w14:textId="77777777" w:rsidR="00873667" w:rsidRDefault="00873667">
            <w:pPr>
              <w:spacing w:after="0" w:line="240" w:lineRule="auto"/>
              <w:jc w:val="both"/>
              <w:rPr>
                <w:rFonts w:asciiTheme="minorHAnsi" w:hAnsiTheme="minorHAnsi"/>
                <w:b/>
                <w:sz w:val="20"/>
                <w:szCs w:val="20"/>
              </w:rPr>
            </w:pPr>
            <w:r>
              <w:rPr>
                <w:rFonts w:asciiTheme="minorHAnsi" w:hAnsiTheme="minorHAnsi"/>
                <w:b/>
                <w:sz w:val="20"/>
              </w:rPr>
              <w:t>Article 5.</w:t>
            </w:r>
          </w:p>
          <w:p w14:paraId="6213E50D" w14:textId="77777777" w:rsidR="00873667" w:rsidRDefault="00873667">
            <w:pPr>
              <w:spacing w:after="0" w:line="240" w:lineRule="auto"/>
              <w:jc w:val="both"/>
              <w:rPr>
                <w:rFonts w:asciiTheme="minorHAnsi" w:hAnsiTheme="minorHAnsi"/>
                <w:sz w:val="20"/>
                <w:szCs w:val="20"/>
              </w:rPr>
            </w:pPr>
            <w:r>
              <w:rPr>
                <w:rFonts w:asciiTheme="minorHAnsi" w:hAnsiTheme="minorHAnsi"/>
                <w:sz w:val="20"/>
              </w:rPr>
              <w:t>§ 1. The heading “Information obligations on operators” between Article 3a and Article 4 of that ordinance is replaced by the heading “Information obligation on operators and broadcasters”.</w:t>
            </w:r>
          </w:p>
          <w:p w14:paraId="304708E1" w14:textId="77777777" w:rsidR="00873667" w:rsidRDefault="00873667">
            <w:pPr>
              <w:spacing w:after="0" w:line="240" w:lineRule="auto"/>
              <w:jc w:val="both"/>
              <w:rPr>
                <w:rFonts w:asciiTheme="minorHAnsi" w:hAnsiTheme="minorHAnsi"/>
                <w:sz w:val="20"/>
                <w:szCs w:val="20"/>
                <w:lang w:val="fr-BE"/>
              </w:rPr>
            </w:pPr>
          </w:p>
          <w:p w14:paraId="302C5B75" w14:textId="77777777" w:rsidR="00873667" w:rsidRDefault="00873667">
            <w:pPr>
              <w:spacing w:after="0" w:line="240" w:lineRule="auto"/>
              <w:jc w:val="both"/>
              <w:rPr>
                <w:rFonts w:asciiTheme="minorHAnsi" w:hAnsiTheme="minorHAnsi"/>
                <w:sz w:val="20"/>
                <w:szCs w:val="20"/>
              </w:rPr>
            </w:pPr>
            <w:r>
              <w:rPr>
                <w:rFonts w:asciiTheme="minorHAnsi" w:hAnsiTheme="minorHAnsi"/>
                <w:sz w:val="20"/>
              </w:rPr>
              <w:lastRenderedPageBreak/>
              <w:t xml:space="preserve">§ 2. Article 4 of the same ordinance is replaced by the following: </w:t>
            </w:r>
          </w:p>
          <w:p w14:paraId="30BD686D" w14:textId="77777777" w:rsidR="00873667" w:rsidRDefault="00873667">
            <w:pPr>
              <w:spacing w:after="0" w:line="240" w:lineRule="auto"/>
              <w:ind w:left="200"/>
              <w:jc w:val="both"/>
              <w:rPr>
                <w:rFonts w:asciiTheme="minorHAnsi" w:hAnsiTheme="minorHAnsi"/>
                <w:sz w:val="20"/>
                <w:szCs w:val="20"/>
              </w:rPr>
            </w:pPr>
            <w:r>
              <w:rPr>
                <w:rFonts w:asciiTheme="minorHAnsi" w:hAnsiTheme="minorHAnsi"/>
                <w:sz w:val="20"/>
              </w:rPr>
              <w:t xml:space="preserve">“ Article 4. § 1.  Operators and broadcasters are required to inform Brussels Environment, Brussels Town-planning and Heritage, and the municipality in whose territory it is located, of any antenna that emits non-ionising radiation, the list of which is determined by the Government, as to the operating characteristics of this antenna. These characteristics include, in particular, the exact location and position of installation, the radiation diagram, the type of antenna, the emission frequencies, the angle of inclination of the antennas, the height and dimension of the antenna, and the radiated power of the radiation. The Government may specify the list of these characteristics, differentiate them according to the receivers or add other characteristics. Brussels Environment, Brussels Town-planning and Heritage and municipalities may provide for the use of a form to send them the information referred to. </w:t>
            </w:r>
          </w:p>
          <w:p w14:paraId="6D5BFE07" w14:textId="77777777" w:rsidR="00873667" w:rsidRDefault="00873667">
            <w:pPr>
              <w:spacing w:after="0" w:line="240" w:lineRule="auto"/>
              <w:ind w:left="200"/>
              <w:jc w:val="both"/>
              <w:rPr>
                <w:rFonts w:asciiTheme="minorHAnsi" w:hAnsiTheme="minorHAnsi"/>
                <w:sz w:val="20"/>
                <w:szCs w:val="20"/>
              </w:rPr>
            </w:pPr>
            <w:r>
              <w:rPr>
                <w:rFonts w:asciiTheme="minorHAnsi" w:hAnsiTheme="minorHAnsi"/>
                <w:sz w:val="20"/>
              </w:rPr>
              <w:t>Where an antenna is less than 200 metres from a municipal limit, that obligation shall be extended in respect of the bordering municipality concerned. </w:t>
            </w:r>
          </w:p>
          <w:p w14:paraId="7D2D49FA" w14:textId="77777777" w:rsidR="00873667" w:rsidRDefault="00873667">
            <w:pPr>
              <w:spacing w:after="0" w:line="240" w:lineRule="auto"/>
              <w:ind w:left="200"/>
              <w:jc w:val="both"/>
              <w:rPr>
                <w:rFonts w:asciiTheme="minorHAnsi" w:hAnsiTheme="minorHAnsi"/>
                <w:sz w:val="20"/>
                <w:szCs w:val="20"/>
              </w:rPr>
            </w:pPr>
            <w:r>
              <w:rPr>
                <w:rFonts w:asciiTheme="minorHAnsi" w:hAnsiTheme="minorHAnsi"/>
                <w:sz w:val="20"/>
              </w:rPr>
              <w:t>§ 2. Operators and broadcasters must transmit, on first request, to Brussels Environment any information requested, including, where appropriate, an extract from their network configuration databases from the OMC (Operation and Maintenance Centre). This extract or any other information may concern all antennas specified by Brussels Environment and will be provided electronically within 20 days of receipt of the request. This information shall at least contain the maximum beacon power at the output of the technical bays, the number of carrier frequencies and the electric tilts, if these are configured remotely from the OMC (Operation and Maintenance Centre). Brussels Environment may specify the information contained in the extract to be provided and its format.</w:t>
            </w:r>
          </w:p>
          <w:p w14:paraId="4D7BEA57" w14:textId="77777777" w:rsidR="00873667" w:rsidRDefault="00873667">
            <w:pPr>
              <w:spacing w:after="0" w:line="240" w:lineRule="auto"/>
              <w:ind w:left="200"/>
              <w:jc w:val="both"/>
              <w:rPr>
                <w:rFonts w:asciiTheme="minorHAnsi" w:hAnsiTheme="minorHAnsi"/>
                <w:sz w:val="20"/>
                <w:szCs w:val="20"/>
              </w:rPr>
            </w:pPr>
            <w:r>
              <w:rPr>
                <w:rFonts w:asciiTheme="minorHAnsi" w:hAnsiTheme="minorHAnsi"/>
                <w:sz w:val="20"/>
              </w:rPr>
              <w:t>§ 3. The operators whose list is fixed by the Government shall transmit annually to Brussels Environment a report on energy efficiency by technology and energy consumption of antennas and their network. The Government shall determine the minimum content of the report.”.</w:t>
            </w:r>
          </w:p>
          <w:p w14:paraId="25D9E273" w14:textId="77777777" w:rsidR="00873667" w:rsidRDefault="00873667">
            <w:pPr>
              <w:spacing w:after="0" w:line="240" w:lineRule="auto"/>
              <w:jc w:val="both"/>
              <w:rPr>
                <w:rFonts w:asciiTheme="minorHAnsi" w:hAnsiTheme="minorHAnsi"/>
                <w:sz w:val="20"/>
                <w:szCs w:val="20"/>
                <w:lang w:val="nl-NL"/>
              </w:rPr>
            </w:pPr>
          </w:p>
        </w:tc>
      </w:tr>
      <w:tr w:rsidR="00873667" w:rsidRPr="00404725" w14:paraId="39830A33"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5C51C2" w14:textId="77777777" w:rsidR="00873667" w:rsidRDefault="00873667">
            <w:pPr>
              <w:spacing w:after="0" w:line="240" w:lineRule="auto"/>
              <w:jc w:val="both"/>
              <w:rPr>
                <w:rFonts w:asciiTheme="minorHAnsi" w:hAnsiTheme="minorHAnsi"/>
                <w:b/>
                <w:sz w:val="20"/>
                <w:szCs w:val="20"/>
              </w:rPr>
            </w:pPr>
            <w:r>
              <w:rPr>
                <w:rFonts w:asciiTheme="minorHAnsi" w:hAnsiTheme="minorHAnsi"/>
                <w:b/>
                <w:sz w:val="20"/>
              </w:rPr>
              <w:lastRenderedPageBreak/>
              <w:t>Article 6.</w:t>
            </w:r>
          </w:p>
          <w:p w14:paraId="3FB93EB7" w14:textId="77777777" w:rsidR="00873667" w:rsidRDefault="00873667">
            <w:pPr>
              <w:spacing w:after="0" w:line="240" w:lineRule="auto"/>
              <w:jc w:val="both"/>
              <w:rPr>
                <w:rFonts w:asciiTheme="minorHAnsi" w:hAnsiTheme="minorHAnsi"/>
                <w:sz w:val="20"/>
                <w:szCs w:val="20"/>
              </w:rPr>
            </w:pPr>
            <w:r>
              <w:rPr>
                <w:rFonts w:asciiTheme="minorHAnsi" w:hAnsiTheme="minorHAnsi"/>
                <w:sz w:val="20"/>
              </w:rPr>
              <w:t xml:space="preserve">Article 5 of that ordinance is supplemented by a subparagraph which reads as follows: </w:t>
            </w:r>
          </w:p>
          <w:p w14:paraId="40A7D802" w14:textId="77777777" w:rsidR="00873667" w:rsidRDefault="00873667">
            <w:pPr>
              <w:spacing w:after="0" w:line="240" w:lineRule="auto"/>
              <w:ind w:left="200"/>
              <w:jc w:val="both"/>
              <w:rPr>
                <w:rFonts w:asciiTheme="minorHAnsi" w:hAnsiTheme="minorHAnsi"/>
                <w:sz w:val="20"/>
                <w:szCs w:val="20"/>
              </w:rPr>
            </w:pPr>
            <w:r>
              <w:rPr>
                <w:rFonts w:asciiTheme="minorHAnsi" w:hAnsiTheme="minorHAnsi"/>
                <w:sz w:val="20"/>
              </w:rPr>
              <w:t xml:space="preserve">“ The Government may provide for differentiated and specific regimes for certain types of antennas according to their specific characteristics.”. </w:t>
            </w:r>
          </w:p>
          <w:p w14:paraId="0216A34A" w14:textId="77777777" w:rsidR="00873667" w:rsidRDefault="00873667">
            <w:pPr>
              <w:spacing w:after="0" w:line="240" w:lineRule="auto"/>
              <w:jc w:val="both"/>
              <w:rPr>
                <w:rFonts w:asciiTheme="minorHAnsi" w:hAnsiTheme="minorHAnsi"/>
                <w:sz w:val="20"/>
                <w:szCs w:val="20"/>
                <w:lang w:val="fr-BE"/>
              </w:rPr>
            </w:pPr>
          </w:p>
        </w:tc>
      </w:tr>
      <w:tr w:rsidR="00873667" w14:paraId="752366D5"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B28D5" w14:textId="77777777" w:rsidR="00873667" w:rsidRDefault="00873667">
            <w:pPr>
              <w:spacing w:after="0" w:line="240" w:lineRule="auto"/>
              <w:jc w:val="both"/>
              <w:rPr>
                <w:rFonts w:asciiTheme="minorHAnsi" w:hAnsiTheme="minorHAnsi"/>
                <w:b/>
                <w:sz w:val="20"/>
                <w:szCs w:val="20"/>
              </w:rPr>
            </w:pPr>
            <w:r>
              <w:rPr>
                <w:rFonts w:asciiTheme="minorHAnsi" w:hAnsiTheme="minorHAnsi"/>
                <w:b/>
                <w:sz w:val="20"/>
              </w:rPr>
              <w:t>Article 7.</w:t>
            </w:r>
          </w:p>
          <w:p w14:paraId="59CA7035" w14:textId="77777777" w:rsidR="00873667" w:rsidRDefault="00873667">
            <w:pPr>
              <w:spacing w:after="0" w:line="240" w:lineRule="auto"/>
              <w:jc w:val="both"/>
              <w:rPr>
                <w:rFonts w:asciiTheme="minorHAnsi" w:hAnsiTheme="minorHAnsi"/>
                <w:sz w:val="20"/>
                <w:szCs w:val="20"/>
              </w:rPr>
            </w:pPr>
            <w:r>
              <w:rPr>
                <w:rFonts w:asciiTheme="minorHAnsi" w:hAnsiTheme="minorHAnsi"/>
                <w:sz w:val="20"/>
              </w:rPr>
              <w:t>In Article 8 of this Ordinance, the following amendments are made:</w:t>
            </w:r>
          </w:p>
          <w:p w14:paraId="463F92C5" w14:textId="77777777" w:rsidR="00873667" w:rsidRDefault="00873667">
            <w:pPr>
              <w:spacing w:after="0" w:line="240" w:lineRule="auto"/>
              <w:jc w:val="both"/>
              <w:rPr>
                <w:rFonts w:asciiTheme="minorHAnsi" w:hAnsiTheme="minorHAnsi"/>
                <w:sz w:val="20"/>
                <w:szCs w:val="20"/>
                <w:lang w:val="fr-BE"/>
              </w:rPr>
            </w:pPr>
          </w:p>
          <w:p w14:paraId="0FEE7087" w14:textId="77777777" w:rsidR="00873667" w:rsidRDefault="00873667" w:rsidP="00242999">
            <w:pPr>
              <w:pStyle w:val="ListParagraph"/>
              <w:widowControl/>
              <w:numPr>
                <w:ilvl w:val="0"/>
                <w:numId w:val="4"/>
              </w:numPr>
              <w:suppressAutoHyphens w:val="0"/>
              <w:spacing w:after="0" w:line="240" w:lineRule="auto"/>
              <w:jc w:val="both"/>
              <w:rPr>
                <w:rFonts w:asciiTheme="minorHAnsi" w:hAnsiTheme="minorHAnsi"/>
                <w:sz w:val="20"/>
                <w:szCs w:val="20"/>
              </w:rPr>
            </w:pPr>
            <w:r>
              <w:rPr>
                <w:rFonts w:asciiTheme="minorHAnsi" w:hAnsiTheme="minorHAnsi"/>
                <w:sz w:val="20"/>
              </w:rPr>
              <w:t xml:space="preserve">paragraph 1 is replaced by the following: </w:t>
            </w:r>
          </w:p>
          <w:p w14:paraId="495FA02B" w14:textId="77777777" w:rsidR="00873667" w:rsidRDefault="00873667">
            <w:pPr>
              <w:spacing w:after="0" w:line="240" w:lineRule="auto"/>
              <w:ind w:left="352"/>
              <w:jc w:val="both"/>
              <w:rPr>
                <w:rFonts w:asciiTheme="minorHAnsi" w:hAnsiTheme="minorHAnsi"/>
                <w:sz w:val="20"/>
                <w:szCs w:val="20"/>
              </w:rPr>
            </w:pPr>
            <w:r>
              <w:rPr>
                <w:rFonts w:asciiTheme="minorHAnsi" w:hAnsiTheme="minorHAnsi"/>
                <w:sz w:val="20"/>
              </w:rPr>
              <w:t xml:space="preserve">“§ 1. The Government shall be responsible for updating and making public a register of antennas, the list of which shall be determined by the Government. This register includes the technical data of each antenna, in particular the precise location of the antenna, its type, dimensions, orientation, emission power and other technical data to determine the power density in publicly accessible areas. The Government may specify the technical data and add other features. </w:t>
            </w:r>
          </w:p>
          <w:p w14:paraId="74906324" w14:textId="77777777" w:rsidR="00873667" w:rsidRDefault="00873667">
            <w:pPr>
              <w:spacing w:after="0" w:line="240" w:lineRule="auto"/>
              <w:ind w:left="352"/>
              <w:jc w:val="both"/>
              <w:rPr>
                <w:rFonts w:asciiTheme="minorHAnsi" w:hAnsiTheme="minorHAnsi"/>
                <w:sz w:val="20"/>
                <w:szCs w:val="20"/>
              </w:rPr>
            </w:pPr>
            <w:r>
              <w:rPr>
                <w:rFonts w:asciiTheme="minorHAnsi" w:hAnsiTheme="minorHAnsi"/>
                <w:sz w:val="20"/>
              </w:rPr>
              <w:t xml:space="preserve">This register of transmitters shall be published on the Brussels Environment website to enable any citizen to lodge a complaint at any time with Brussels Environment concerning compliance with the </w:t>
            </w:r>
            <w:proofErr w:type="spellStart"/>
            <w:r>
              <w:rPr>
                <w:rFonts w:asciiTheme="minorHAnsi" w:hAnsiTheme="minorHAnsi"/>
                <w:sz w:val="20"/>
              </w:rPr>
              <w:t>immission</w:t>
            </w:r>
            <w:proofErr w:type="spellEnd"/>
            <w:r>
              <w:rPr>
                <w:rFonts w:asciiTheme="minorHAnsi" w:hAnsiTheme="minorHAnsi"/>
                <w:sz w:val="20"/>
              </w:rPr>
              <w:t xml:space="preserve"> standard referred to in Article 3 and/or compliance with the operating conditions of the antennas concerned. Without prejudice to the applicable penalties and other measures provided for in this ordinance, if it considers this complaint to be well founded, Brussels Environment shall take the measures to ensure compliance with the provisions of this ordinance.”;</w:t>
            </w:r>
          </w:p>
          <w:p w14:paraId="62384DE4" w14:textId="77777777" w:rsidR="00873667" w:rsidRDefault="00873667">
            <w:pPr>
              <w:spacing w:after="0" w:line="240" w:lineRule="auto"/>
              <w:ind w:left="352"/>
              <w:jc w:val="both"/>
              <w:rPr>
                <w:rFonts w:asciiTheme="minorHAnsi" w:hAnsiTheme="minorHAnsi"/>
                <w:sz w:val="20"/>
                <w:szCs w:val="20"/>
                <w:lang w:val="fr-BE"/>
              </w:rPr>
            </w:pPr>
          </w:p>
          <w:p w14:paraId="251120BC" w14:textId="77777777" w:rsidR="00873667" w:rsidRDefault="00873667" w:rsidP="00242999">
            <w:pPr>
              <w:pStyle w:val="ListParagraph"/>
              <w:widowControl/>
              <w:numPr>
                <w:ilvl w:val="0"/>
                <w:numId w:val="4"/>
              </w:numPr>
              <w:suppressAutoHyphens w:val="0"/>
              <w:spacing w:after="0" w:line="240" w:lineRule="auto"/>
              <w:jc w:val="both"/>
              <w:rPr>
                <w:rFonts w:asciiTheme="minorHAnsi" w:hAnsiTheme="minorHAnsi"/>
                <w:sz w:val="20"/>
                <w:szCs w:val="20"/>
              </w:rPr>
            </w:pPr>
            <w:r>
              <w:rPr>
                <w:rFonts w:asciiTheme="minorHAnsi" w:hAnsiTheme="minorHAnsi"/>
                <w:sz w:val="20"/>
              </w:rPr>
              <w:t xml:space="preserve">paragraph 2, subparagraph 1, is replaced by the following: </w:t>
            </w:r>
          </w:p>
          <w:p w14:paraId="1D219E45" w14:textId="77777777" w:rsidR="00873667" w:rsidRDefault="00873667">
            <w:pPr>
              <w:spacing w:after="0" w:line="240" w:lineRule="auto"/>
              <w:ind w:left="352"/>
              <w:jc w:val="both"/>
              <w:rPr>
                <w:rFonts w:asciiTheme="minorHAnsi" w:hAnsiTheme="minorHAnsi"/>
                <w:sz w:val="20"/>
                <w:szCs w:val="20"/>
              </w:rPr>
            </w:pPr>
            <w:r>
              <w:rPr>
                <w:rFonts w:asciiTheme="minorHAnsi" w:hAnsiTheme="minorHAnsi"/>
                <w:sz w:val="20"/>
              </w:rPr>
              <w:t>“§ 2. The Government is setting up a register of roofs of buildings occupied by public authorities and which could accommodate antennas. This register is updated regularly.”.</w:t>
            </w:r>
          </w:p>
          <w:p w14:paraId="2DC18BF8" w14:textId="77777777" w:rsidR="00873667" w:rsidRDefault="00873667">
            <w:pPr>
              <w:spacing w:after="0" w:line="240" w:lineRule="auto"/>
              <w:jc w:val="both"/>
              <w:rPr>
                <w:rFonts w:asciiTheme="minorHAnsi" w:hAnsiTheme="minorHAnsi"/>
                <w:sz w:val="20"/>
                <w:szCs w:val="20"/>
                <w:lang w:val="nl-NL"/>
              </w:rPr>
            </w:pPr>
          </w:p>
        </w:tc>
      </w:tr>
      <w:tr w:rsidR="00873667" w:rsidRPr="00404725" w14:paraId="3C371DE5"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2CECFE" w14:textId="77777777" w:rsidR="00873667" w:rsidRDefault="00873667">
            <w:pPr>
              <w:spacing w:after="0" w:line="240" w:lineRule="auto"/>
              <w:jc w:val="both"/>
              <w:rPr>
                <w:rFonts w:asciiTheme="minorHAnsi" w:hAnsiTheme="minorHAnsi"/>
                <w:b/>
                <w:sz w:val="20"/>
                <w:szCs w:val="20"/>
              </w:rPr>
            </w:pPr>
            <w:r>
              <w:rPr>
                <w:rFonts w:asciiTheme="minorHAnsi" w:hAnsiTheme="minorHAnsi"/>
                <w:b/>
                <w:sz w:val="20"/>
              </w:rPr>
              <w:t>Article 8.</w:t>
            </w:r>
          </w:p>
          <w:p w14:paraId="588CB09A" w14:textId="77777777" w:rsidR="00873667" w:rsidRDefault="00873667">
            <w:pPr>
              <w:spacing w:after="0" w:line="240" w:lineRule="auto"/>
              <w:jc w:val="both"/>
              <w:rPr>
                <w:rFonts w:asciiTheme="minorHAnsi" w:hAnsiTheme="minorHAnsi"/>
                <w:bCs/>
                <w:sz w:val="20"/>
                <w:szCs w:val="20"/>
              </w:rPr>
            </w:pPr>
            <w:r>
              <w:rPr>
                <w:rFonts w:asciiTheme="minorHAnsi" w:hAnsiTheme="minorHAnsi"/>
                <w:sz w:val="20"/>
              </w:rPr>
              <w:t>§ 1. In the same ordinance, the following heading is inserted after Article 8: “ General obligation of operators”.</w:t>
            </w:r>
          </w:p>
          <w:p w14:paraId="020B4B57" w14:textId="77777777" w:rsidR="00873667" w:rsidRDefault="00873667">
            <w:pPr>
              <w:spacing w:after="0" w:line="240" w:lineRule="auto"/>
              <w:jc w:val="both"/>
              <w:rPr>
                <w:rFonts w:asciiTheme="minorHAnsi" w:hAnsiTheme="minorHAnsi"/>
                <w:bCs/>
                <w:sz w:val="20"/>
                <w:szCs w:val="20"/>
                <w:lang w:val="fr-BE"/>
              </w:rPr>
            </w:pPr>
          </w:p>
          <w:p w14:paraId="0655FE8F" w14:textId="77777777" w:rsidR="00873667" w:rsidRDefault="00873667">
            <w:pPr>
              <w:spacing w:after="0" w:line="240" w:lineRule="auto"/>
              <w:jc w:val="both"/>
              <w:rPr>
                <w:rFonts w:asciiTheme="minorHAnsi" w:hAnsiTheme="minorHAnsi"/>
                <w:bCs/>
                <w:sz w:val="20"/>
                <w:szCs w:val="20"/>
              </w:rPr>
            </w:pPr>
            <w:r>
              <w:rPr>
                <w:rFonts w:asciiTheme="minorHAnsi" w:hAnsiTheme="minorHAnsi"/>
                <w:sz w:val="20"/>
              </w:rPr>
              <w:t>§ 2. In the same ordinance, Article 8a is inserted, under the heading inserted by paragraph 1, as follows:</w:t>
            </w:r>
          </w:p>
          <w:p w14:paraId="2C135F09" w14:textId="77777777" w:rsidR="00873667" w:rsidRDefault="00873667">
            <w:pPr>
              <w:spacing w:after="0" w:line="240" w:lineRule="auto"/>
              <w:ind w:left="200"/>
              <w:jc w:val="both"/>
              <w:rPr>
                <w:rFonts w:asciiTheme="minorHAnsi" w:hAnsiTheme="minorHAnsi"/>
                <w:bCs/>
                <w:sz w:val="20"/>
                <w:szCs w:val="20"/>
              </w:rPr>
            </w:pPr>
            <w:r>
              <w:rPr>
                <w:rFonts w:asciiTheme="minorHAnsi" w:hAnsiTheme="minorHAnsi"/>
                <w:sz w:val="20"/>
              </w:rPr>
              <w:t xml:space="preserve">“ Article 8a. Operators whose list is set by the Government are required to set up and support information campaigns in order to raise awareness on the prevention of waste resulting from their activities, particularly in view of technological developments and the renewal of connected devices. </w:t>
            </w:r>
          </w:p>
          <w:p w14:paraId="7E31B7BE" w14:textId="77777777" w:rsidR="00873667" w:rsidRDefault="00873667">
            <w:pPr>
              <w:spacing w:after="0" w:line="240" w:lineRule="auto"/>
              <w:ind w:left="200"/>
              <w:jc w:val="both"/>
              <w:rPr>
                <w:rFonts w:asciiTheme="minorHAnsi" w:hAnsiTheme="minorHAnsi"/>
                <w:bCs/>
                <w:sz w:val="20"/>
                <w:szCs w:val="20"/>
              </w:rPr>
            </w:pPr>
            <w:r>
              <w:rPr>
                <w:rFonts w:asciiTheme="minorHAnsi" w:hAnsiTheme="minorHAnsi"/>
                <w:sz w:val="20"/>
              </w:rPr>
              <w:t xml:space="preserve">These information campaigns inform the public of, in particular, the environmentally rational use of devices, the value of re-use and preparation for re-use of connected devices and, ultimately, waste collection and management systems. </w:t>
            </w:r>
          </w:p>
          <w:p w14:paraId="54630306" w14:textId="77777777" w:rsidR="00873667" w:rsidRDefault="00873667">
            <w:pPr>
              <w:spacing w:after="0" w:line="240" w:lineRule="auto"/>
              <w:ind w:left="200"/>
              <w:jc w:val="both"/>
              <w:rPr>
                <w:rFonts w:asciiTheme="minorHAnsi" w:hAnsiTheme="minorHAnsi"/>
                <w:bCs/>
                <w:sz w:val="20"/>
                <w:szCs w:val="20"/>
              </w:rPr>
            </w:pPr>
            <w:r>
              <w:rPr>
                <w:rFonts w:asciiTheme="minorHAnsi" w:hAnsiTheme="minorHAnsi"/>
                <w:sz w:val="20"/>
              </w:rPr>
              <w:t xml:space="preserve">The Government may specify the content, frequency and terms of the information campaigns to be implemented, </w:t>
            </w:r>
            <w:r>
              <w:rPr>
                <w:rFonts w:asciiTheme="minorHAnsi" w:hAnsiTheme="minorHAnsi"/>
                <w:sz w:val="20"/>
              </w:rPr>
              <w:lastRenderedPageBreak/>
              <w:t>as well as their target audiences according to the desired objectives.”;</w:t>
            </w:r>
          </w:p>
          <w:p w14:paraId="7577DD4F" w14:textId="77777777" w:rsidR="00873667" w:rsidRDefault="00873667">
            <w:pPr>
              <w:spacing w:after="0" w:line="240" w:lineRule="auto"/>
              <w:jc w:val="both"/>
              <w:rPr>
                <w:rFonts w:asciiTheme="minorHAnsi" w:hAnsiTheme="minorHAnsi"/>
                <w:bCs/>
                <w:sz w:val="20"/>
                <w:szCs w:val="20"/>
                <w:lang w:val="fr-BE"/>
              </w:rPr>
            </w:pPr>
          </w:p>
          <w:p w14:paraId="127221A1" w14:textId="77777777" w:rsidR="00873667" w:rsidRDefault="00873667">
            <w:pPr>
              <w:spacing w:after="0" w:line="240" w:lineRule="auto"/>
              <w:jc w:val="both"/>
              <w:rPr>
                <w:rFonts w:asciiTheme="minorHAnsi" w:hAnsiTheme="minorHAnsi"/>
                <w:bCs/>
                <w:sz w:val="20"/>
                <w:szCs w:val="20"/>
              </w:rPr>
            </w:pPr>
            <w:r>
              <w:rPr>
                <w:rFonts w:asciiTheme="minorHAnsi" w:hAnsiTheme="minorHAnsi"/>
                <w:sz w:val="20"/>
              </w:rPr>
              <w:t xml:space="preserve">§ 3. In the same ordinance, is inserted, under the heading inserted by paragraph 1, Article 8b, which reads as follows: </w:t>
            </w:r>
          </w:p>
          <w:p w14:paraId="3F80CFC4" w14:textId="77777777" w:rsidR="00873667" w:rsidRDefault="00873667">
            <w:pPr>
              <w:spacing w:after="0" w:line="240" w:lineRule="auto"/>
              <w:ind w:left="200"/>
              <w:jc w:val="both"/>
              <w:rPr>
                <w:rFonts w:asciiTheme="minorHAnsi" w:hAnsiTheme="minorHAnsi"/>
                <w:bCs/>
                <w:sz w:val="20"/>
                <w:szCs w:val="20"/>
              </w:rPr>
            </w:pPr>
            <w:r>
              <w:rPr>
                <w:rFonts w:asciiTheme="minorHAnsi" w:hAnsiTheme="minorHAnsi"/>
                <w:sz w:val="20"/>
              </w:rPr>
              <w:t xml:space="preserve">“ Article 8b. Operators whose list is set by the Government are required to compile statistics on devices which they place on the market and which are collected as waste or are being reused, within the meaning of the provisions of the Ordinance of 14 June 2012 on waste.”; </w:t>
            </w:r>
          </w:p>
          <w:p w14:paraId="4BAF6779" w14:textId="77777777" w:rsidR="00873667" w:rsidRDefault="00873667">
            <w:pPr>
              <w:spacing w:after="0" w:line="240" w:lineRule="auto"/>
              <w:jc w:val="both"/>
              <w:rPr>
                <w:rFonts w:asciiTheme="minorHAnsi" w:hAnsiTheme="minorHAnsi"/>
                <w:bCs/>
                <w:sz w:val="20"/>
                <w:szCs w:val="20"/>
                <w:lang w:val="fr-BE"/>
              </w:rPr>
            </w:pPr>
          </w:p>
          <w:p w14:paraId="23215B8F" w14:textId="77777777" w:rsidR="00873667" w:rsidRDefault="00873667">
            <w:pPr>
              <w:spacing w:after="0" w:line="240" w:lineRule="auto"/>
              <w:jc w:val="both"/>
              <w:rPr>
                <w:rFonts w:asciiTheme="minorHAnsi" w:hAnsiTheme="minorHAnsi"/>
                <w:bCs/>
                <w:sz w:val="20"/>
                <w:szCs w:val="20"/>
              </w:rPr>
            </w:pPr>
            <w:r>
              <w:rPr>
                <w:rFonts w:asciiTheme="minorHAnsi" w:hAnsiTheme="minorHAnsi"/>
                <w:sz w:val="20"/>
              </w:rPr>
              <w:t xml:space="preserve">§ 4. In the same ordinance, Article 8c, which reads as follows, is inserted under the heading inserted by paragraph 1: </w:t>
            </w:r>
          </w:p>
          <w:p w14:paraId="51C2452E" w14:textId="77777777" w:rsidR="00873667" w:rsidRDefault="00873667">
            <w:pPr>
              <w:spacing w:after="0" w:line="240" w:lineRule="auto"/>
              <w:ind w:left="200"/>
              <w:jc w:val="both"/>
              <w:rPr>
                <w:rFonts w:asciiTheme="minorHAnsi" w:hAnsiTheme="minorHAnsi"/>
                <w:bCs/>
                <w:sz w:val="20"/>
                <w:szCs w:val="20"/>
              </w:rPr>
            </w:pPr>
            <w:r>
              <w:rPr>
                <w:rFonts w:asciiTheme="minorHAnsi" w:hAnsiTheme="minorHAnsi"/>
                <w:sz w:val="20"/>
              </w:rPr>
              <w:t>“ Article 8c. At the latest by 1</w:t>
            </w:r>
            <w:r>
              <w:rPr>
                <w:rFonts w:asciiTheme="minorHAnsi" w:hAnsiTheme="minorHAnsi"/>
                <w:sz w:val="20"/>
                <w:vertAlign w:val="superscript"/>
              </w:rPr>
              <w:t>st</w:t>
            </w:r>
            <w:r>
              <w:rPr>
                <w:rFonts w:asciiTheme="minorHAnsi" w:hAnsiTheme="minorHAnsi"/>
                <w:sz w:val="20"/>
              </w:rPr>
              <w:t xml:space="preserve"> April of each year, operators, separately or collectively, shall submit to Brussels Environment an annual report relating to the previous year (period from 1</w:t>
            </w:r>
            <w:r>
              <w:rPr>
                <w:rFonts w:asciiTheme="minorHAnsi" w:hAnsiTheme="minorHAnsi"/>
                <w:sz w:val="20"/>
                <w:vertAlign w:val="superscript"/>
              </w:rPr>
              <w:t>st</w:t>
            </w:r>
            <w:r>
              <w:rPr>
                <w:rFonts w:asciiTheme="minorHAnsi" w:hAnsiTheme="minorHAnsi"/>
                <w:sz w:val="20"/>
              </w:rPr>
              <w:t xml:space="preserve"> January to 31 December) giving details in particular of the actions implemented, the amounts spent and the impacts noted in relation to the measures implemented under Article 8a, as well as a report on the statistical data referred to in Article 8b.</w:t>
            </w:r>
          </w:p>
          <w:p w14:paraId="24E4D373" w14:textId="77777777" w:rsidR="00873667" w:rsidRDefault="00873667">
            <w:pPr>
              <w:spacing w:after="0" w:line="240" w:lineRule="auto"/>
              <w:ind w:left="200"/>
              <w:jc w:val="both"/>
              <w:rPr>
                <w:rFonts w:asciiTheme="minorHAnsi" w:hAnsiTheme="minorHAnsi"/>
                <w:bCs/>
                <w:sz w:val="20"/>
                <w:szCs w:val="20"/>
              </w:rPr>
            </w:pPr>
            <w:r>
              <w:rPr>
                <w:rFonts w:asciiTheme="minorHAnsi" w:hAnsiTheme="minorHAnsi"/>
                <w:sz w:val="20"/>
              </w:rPr>
              <w:t xml:space="preserve">The Government may specify the content of the annual report referred to in the preceding subparagraph and provide for further information to be included in this report.”. </w:t>
            </w:r>
          </w:p>
          <w:p w14:paraId="79909F2B" w14:textId="77777777" w:rsidR="00873667" w:rsidRDefault="00873667">
            <w:pPr>
              <w:spacing w:after="0" w:line="240" w:lineRule="auto"/>
              <w:jc w:val="both"/>
              <w:rPr>
                <w:rFonts w:asciiTheme="minorHAnsi" w:hAnsiTheme="minorHAnsi"/>
                <w:b/>
                <w:sz w:val="20"/>
                <w:szCs w:val="20"/>
                <w:lang w:val="fr-BE"/>
              </w:rPr>
            </w:pPr>
          </w:p>
        </w:tc>
      </w:tr>
      <w:tr w:rsidR="00873667" w:rsidRPr="00404725" w14:paraId="471265F9"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82BBF9" w14:textId="77777777" w:rsidR="00873667" w:rsidRDefault="00873667">
            <w:pPr>
              <w:spacing w:after="0" w:line="240" w:lineRule="auto"/>
              <w:jc w:val="both"/>
              <w:rPr>
                <w:rFonts w:asciiTheme="minorHAnsi" w:hAnsiTheme="minorHAnsi"/>
                <w:b/>
                <w:sz w:val="20"/>
                <w:szCs w:val="20"/>
              </w:rPr>
            </w:pPr>
            <w:r>
              <w:rPr>
                <w:rFonts w:asciiTheme="minorHAnsi" w:hAnsiTheme="minorHAnsi"/>
                <w:b/>
                <w:sz w:val="20"/>
              </w:rPr>
              <w:lastRenderedPageBreak/>
              <w:t>Article 9.</w:t>
            </w:r>
          </w:p>
          <w:p w14:paraId="17721ADF" w14:textId="77777777" w:rsidR="00873667" w:rsidRDefault="00873667">
            <w:pPr>
              <w:spacing w:after="0" w:line="240" w:lineRule="auto"/>
              <w:jc w:val="both"/>
              <w:rPr>
                <w:rFonts w:asciiTheme="minorHAnsi" w:hAnsiTheme="minorHAnsi"/>
                <w:sz w:val="20"/>
                <w:szCs w:val="20"/>
              </w:rPr>
            </w:pPr>
            <w:r>
              <w:rPr>
                <w:rFonts w:asciiTheme="minorHAnsi" w:hAnsiTheme="minorHAnsi"/>
                <w:sz w:val="20"/>
              </w:rPr>
              <w:t xml:space="preserve">§ 1. The heading “Infringements and criminal penalties” between Article 8 and Article 9 of that ordinance is replaced by the heading “Infringements”. </w:t>
            </w:r>
          </w:p>
          <w:p w14:paraId="0F7DA792" w14:textId="77777777" w:rsidR="00873667" w:rsidRDefault="00873667">
            <w:pPr>
              <w:spacing w:after="0" w:line="240" w:lineRule="auto"/>
              <w:jc w:val="both"/>
              <w:rPr>
                <w:rFonts w:asciiTheme="minorHAnsi" w:hAnsiTheme="minorHAnsi"/>
                <w:sz w:val="20"/>
                <w:szCs w:val="20"/>
                <w:lang w:val="fr-BE"/>
              </w:rPr>
            </w:pPr>
          </w:p>
          <w:p w14:paraId="6292353F" w14:textId="77777777" w:rsidR="00873667" w:rsidRDefault="00873667">
            <w:pPr>
              <w:spacing w:after="0" w:line="240" w:lineRule="auto"/>
              <w:jc w:val="both"/>
              <w:rPr>
                <w:rFonts w:asciiTheme="minorHAnsi" w:hAnsiTheme="minorHAnsi"/>
                <w:sz w:val="20"/>
                <w:szCs w:val="20"/>
              </w:rPr>
            </w:pPr>
            <w:r>
              <w:rPr>
                <w:rFonts w:asciiTheme="minorHAnsi" w:hAnsiTheme="minorHAnsi"/>
                <w:sz w:val="20"/>
              </w:rPr>
              <w:t xml:space="preserve">§ 2. Article 9 of the same ordinance is replaced by the following: </w:t>
            </w:r>
          </w:p>
          <w:p w14:paraId="1E11AE58" w14:textId="77777777" w:rsidR="00873667" w:rsidRDefault="00873667">
            <w:pPr>
              <w:spacing w:after="0" w:line="240" w:lineRule="auto"/>
              <w:ind w:left="200"/>
              <w:jc w:val="both"/>
              <w:rPr>
                <w:rFonts w:asciiTheme="minorHAnsi" w:hAnsiTheme="minorHAnsi"/>
                <w:sz w:val="20"/>
                <w:szCs w:val="20"/>
              </w:rPr>
            </w:pPr>
            <w:r>
              <w:rPr>
                <w:rFonts w:asciiTheme="minorHAnsi" w:hAnsiTheme="minorHAnsi"/>
                <w:sz w:val="20"/>
              </w:rPr>
              <w:t>“ Is punishable by the penalty provided for in Article 31(1), of the Code of 25 March 1999 on the inspection, prevention, detection and punishment of environmental offences and environmental liability, the one who:</w:t>
            </w:r>
          </w:p>
          <w:p w14:paraId="275A347F" w14:textId="77777777" w:rsidR="00873667" w:rsidRDefault="00873667" w:rsidP="00242999">
            <w:pPr>
              <w:pStyle w:val="ListParagraph"/>
              <w:numPr>
                <w:ilvl w:val="0"/>
                <w:numId w:val="5"/>
              </w:numPr>
              <w:spacing w:after="0" w:line="240" w:lineRule="auto"/>
              <w:jc w:val="both"/>
              <w:rPr>
                <w:rFonts w:asciiTheme="minorHAnsi" w:hAnsiTheme="minorHAnsi"/>
                <w:sz w:val="20"/>
                <w:szCs w:val="20"/>
              </w:rPr>
            </w:pPr>
            <w:r>
              <w:rPr>
                <w:rFonts w:asciiTheme="minorHAnsi" w:hAnsiTheme="minorHAnsi"/>
                <w:sz w:val="20"/>
              </w:rPr>
              <w:t>does not comply with the standards referred to in Article 3 or its implementing measures;</w:t>
            </w:r>
          </w:p>
          <w:p w14:paraId="4A9CAD66" w14:textId="77777777" w:rsidR="00873667" w:rsidRDefault="00873667" w:rsidP="00242999">
            <w:pPr>
              <w:pStyle w:val="ListParagraph"/>
              <w:numPr>
                <w:ilvl w:val="0"/>
                <w:numId w:val="5"/>
              </w:numPr>
              <w:spacing w:after="0" w:line="240" w:lineRule="auto"/>
              <w:jc w:val="both"/>
              <w:rPr>
                <w:rFonts w:asciiTheme="minorHAnsi" w:hAnsiTheme="minorHAnsi"/>
                <w:sz w:val="20"/>
                <w:szCs w:val="20"/>
              </w:rPr>
            </w:pPr>
            <w:r>
              <w:rPr>
                <w:rFonts w:asciiTheme="minorHAnsi" w:hAnsiTheme="minorHAnsi"/>
                <w:sz w:val="20"/>
              </w:rPr>
              <w:t>does not comply with the information obligations referred to in Article 4 or its implementing measures;</w:t>
            </w:r>
          </w:p>
          <w:p w14:paraId="77B503E8" w14:textId="77777777" w:rsidR="00873667" w:rsidRDefault="00873667" w:rsidP="00242999">
            <w:pPr>
              <w:pStyle w:val="ListParagraph"/>
              <w:numPr>
                <w:ilvl w:val="0"/>
                <w:numId w:val="5"/>
              </w:numPr>
              <w:spacing w:after="0" w:line="240" w:lineRule="auto"/>
              <w:jc w:val="both"/>
              <w:rPr>
                <w:rFonts w:asciiTheme="minorHAnsi" w:hAnsiTheme="minorHAnsi"/>
                <w:sz w:val="20"/>
                <w:szCs w:val="20"/>
              </w:rPr>
            </w:pPr>
            <w:r>
              <w:rPr>
                <w:rFonts w:asciiTheme="minorHAnsi" w:hAnsiTheme="minorHAnsi"/>
                <w:sz w:val="20"/>
              </w:rPr>
              <w:t>does not comply with the operating standards referred to in Article 5 or its implementing measures;</w:t>
            </w:r>
          </w:p>
          <w:p w14:paraId="7663E406" w14:textId="77777777" w:rsidR="00873667" w:rsidRDefault="00873667" w:rsidP="00242999">
            <w:pPr>
              <w:pStyle w:val="ListParagraph"/>
              <w:numPr>
                <w:ilvl w:val="0"/>
                <w:numId w:val="5"/>
              </w:numPr>
              <w:spacing w:after="0" w:line="240" w:lineRule="auto"/>
              <w:jc w:val="both"/>
              <w:rPr>
                <w:rFonts w:asciiTheme="minorHAnsi" w:hAnsiTheme="minorHAnsi"/>
                <w:sz w:val="20"/>
                <w:szCs w:val="20"/>
              </w:rPr>
            </w:pPr>
            <w:r>
              <w:rPr>
                <w:rFonts w:asciiTheme="minorHAnsi" w:hAnsiTheme="minorHAnsi"/>
                <w:sz w:val="20"/>
              </w:rPr>
              <w:t xml:space="preserve">does not comply with the communication and reporting obligations referred to in Articles 8a, 8b and 8c or their implementing measures; </w:t>
            </w:r>
          </w:p>
          <w:p w14:paraId="712FA70C" w14:textId="77777777" w:rsidR="00873667" w:rsidRDefault="00873667" w:rsidP="00242999">
            <w:pPr>
              <w:pStyle w:val="ListParagraph"/>
              <w:numPr>
                <w:ilvl w:val="0"/>
                <w:numId w:val="5"/>
              </w:numPr>
              <w:spacing w:after="0" w:line="240" w:lineRule="auto"/>
              <w:jc w:val="both"/>
              <w:rPr>
                <w:rFonts w:asciiTheme="minorHAnsi" w:hAnsiTheme="minorHAnsi"/>
                <w:sz w:val="20"/>
                <w:szCs w:val="20"/>
              </w:rPr>
            </w:pPr>
            <w:r>
              <w:rPr>
                <w:rFonts w:asciiTheme="minorHAnsi" w:hAnsiTheme="minorHAnsi"/>
                <w:sz w:val="20"/>
              </w:rPr>
              <w:t>does not comply with the general standards or conditions referred to in Article 7 or its implementing measures.”.</w:t>
            </w:r>
          </w:p>
          <w:p w14:paraId="4C2874B7" w14:textId="77777777" w:rsidR="00873667" w:rsidRDefault="00873667">
            <w:pPr>
              <w:spacing w:after="0" w:line="240" w:lineRule="auto"/>
              <w:jc w:val="both"/>
              <w:rPr>
                <w:rFonts w:asciiTheme="minorHAnsi" w:hAnsiTheme="minorHAnsi"/>
                <w:b/>
                <w:sz w:val="20"/>
                <w:szCs w:val="20"/>
                <w:lang w:val="fr-BE"/>
              </w:rPr>
            </w:pPr>
          </w:p>
        </w:tc>
      </w:tr>
      <w:tr w:rsidR="00873667" w:rsidRPr="00404725" w14:paraId="2D02939A"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DEE4F7" w14:textId="77777777" w:rsidR="00873667" w:rsidRDefault="00873667">
            <w:pPr>
              <w:spacing w:after="0" w:line="240" w:lineRule="auto"/>
              <w:jc w:val="both"/>
              <w:rPr>
                <w:rFonts w:asciiTheme="minorHAnsi" w:hAnsiTheme="minorHAnsi"/>
                <w:b/>
                <w:sz w:val="20"/>
                <w:szCs w:val="20"/>
              </w:rPr>
            </w:pPr>
            <w:r>
              <w:rPr>
                <w:rFonts w:asciiTheme="minorHAnsi" w:hAnsiTheme="minorHAnsi"/>
                <w:b/>
                <w:sz w:val="20"/>
              </w:rPr>
              <w:t>Chapter 3. Amendment of the Environmental Permits Ordinance of 5 June 1997</w:t>
            </w:r>
          </w:p>
        </w:tc>
      </w:tr>
      <w:tr w:rsidR="00873667" w:rsidRPr="00404725" w14:paraId="26B50698"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53371" w14:textId="77777777" w:rsidR="00873667" w:rsidRDefault="00873667">
            <w:pPr>
              <w:spacing w:after="0" w:line="240" w:lineRule="auto"/>
              <w:jc w:val="both"/>
              <w:rPr>
                <w:rFonts w:asciiTheme="minorHAnsi" w:hAnsiTheme="minorHAnsi"/>
                <w:b/>
                <w:sz w:val="20"/>
                <w:szCs w:val="20"/>
              </w:rPr>
            </w:pPr>
            <w:r>
              <w:rPr>
                <w:rFonts w:asciiTheme="minorHAnsi" w:hAnsiTheme="minorHAnsi"/>
                <w:b/>
                <w:sz w:val="20"/>
              </w:rPr>
              <w:t>Article 10.</w:t>
            </w:r>
          </w:p>
          <w:p w14:paraId="31F34E3E" w14:textId="77777777" w:rsidR="00873667" w:rsidRDefault="00873667">
            <w:pPr>
              <w:spacing w:after="0" w:line="240" w:lineRule="auto"/>
              <w:jc w:val="both"/>
              <w:rPr>
                <w:rFonts w:asciiTheme="minorHAnsi" w:hAnsiTheme="minorHAnsi"/>
                <w:bCs/>
                <w:sz w:val="20"/>
                <w:szCs w:val="20"/>
              </w:rPr>
            </w:pPr>
            <w:r>
              <w:rPr>
                <w:rFonts w:asciiTheme="minorHAnsi" w:hAnsiTheme="minorHAnsi"/>
                <w:sz w:val="20"/>
              </w:rPr>
              <w:t xml:space="preserve">Article 100(1) of the Ordinance of 5 June 1997 on environmental permits is supplemented by a subparagraph which reads as follows: </w:t>
            </w:r>
          </w:p>
          <w:p w14:paraId="5E0D7258" w14:textId="77777777" w:rsidR="00873667" w:rsidRDefault="00873667">
            <w:pPr>
              <w:spacing w:after="0" w:line="240" w:lineRule="auto"/>
              <w:ind w:left="200"/>
              <w:jc w:val="both"/>
              <w:rPr>
                <w:rFonts w:asciiTheme="minorHAnsi" w:hAnsiTheme="minorHAnsi"/>
                <w:bCs/>
                <w:sz w:val="20"/>
                <w:szCs w:val="20"/>
              </w:rPr>
            </w:pPr>
            <w:r>
              <w:rPr>
                <w:rFonts w:asciiTheme="minorHAnsi" w:hAnsiTheme="minorHAnsi"/>
                <w:sz w:val="20"/>
              </w:rPr>
              <w:t>“ By way of derogation from subparagraph 1, no application fee is payable for a Class III or Class IC declaration.”.</w:t>
            </w:r>
          </w:p>
          <w:p w14:paraId="44E8814B" w14:textId="77777777" w:rsidR="00873667" w:rsidRDefault="00873667">
            <w:pPr>
              <w:spacing w:after="0" w:line="240" w:lineRule="auto"/>
              <w:jc w:val="both"/>
              <w:rPr>
                <w:rFonts w:asciiTheme="minorHAnsi" w:hAnsiTheme="minorHAnsi"/>
                <w:b/>
                <w:sz w:val="20"/>
                <w:szCs w:val="20"/>
                <w:lang w:val="fr-BE"/>
              </w:rPr>
            </w:pPr>
          </w:p>
        </w:tc>
      </w:tr>
      <w:tr w:rsidR="00873667" w:rsidRPr="00404725" w14:paraId="42769B24"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CAC1B9" w14:textId="77777777" w:rsidR="00873667" w:rsidRDefault="00873667">
            <w:pPr>
              <w:spacing w:after="0" w:line="240" w:lineRule="auto"/>
              <w:jc w:val="both"/>
              <w:rPr>
                <w:rFonts w:asciiTheme="minorHAnsi" w:hAnsiTheme="minorHAnsi"/>
                <w:b/>
                <w:sz w:val="20"/>
                <w:szCs w:val="20"/>
              </w:rPr>
            </w:pPr>
            <w:r>
              <w:rPr>
                <w:rFonts w:asciiTheme="minorHAnsi" w:hAnsiTheme="minorHAnsi"/>
                <w:b/>
                <w:sz w:val="20"/>
              </w:rPr>
              <w:t>Chapter 4. Amendment of</w:t>
            </w:r>
            <w:r>
              <w:rPr>
                <w:b/>
                <w:sz w:val="20"/>
              </w:rPr>
              <w:t xml:space="preserve"> </w:t>
            </w:r>
            <w:r>
              <w:rPr>
                <w:rFonts w:asciiTheme="minorHAnsi" w:hAnsiTheme="minorHAnsi"/>
                <w:b/>
                <w:sz w:val="20"/>
              </w:rPr>
              <w:t>the Ordinance of 2 May 2013 on the Brussels Air, Climate and Energy Control Code</w:t>
            </w:r>
          </w:p>
        </w:tc>
      </w:tr>
      <w:tr w:rsidR="00873667" w:rsidRPr="00404725" w14:paraId="7CDD59C4"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A921D" w14:textId="77777777" w:rsidR="00873667" w:rsidRDefault="00873667">
            <w:pPr>
              <w:spacing w:after="0" w:line="240" w:lineRule="auto"/>
              <w:jc w:val="both"/>
              <w:rPr>
                <w:rFonts w:asciiTheme="minorHAnsi" w:hAnsiTheme="minorHAnsi"/>
                <w:b/>
                <w:sz w:val="20"/>
                <w:szCs w:val="20"/>
              </w:rPr>
            </w:pPr>
            <w:r>
              <w:rPr>
                <w:rFonts w:asciiTheme="minorHAnsi" w:hAnsiTheme="minorHAnsi"/>
                <w:b/>
                <w:sz w:val="20"/>
              </w:rPr>
              <w:t xml:space="preserve">Article 11. </w:t>
            </w:r>
          </w:p>
          <w:p w14:paraId="0B343ACE" w14:textId="77777777" w:rsidR="00873667" w:rsidRDefault="00873667">
            <w:pPr>
              <w:spacing w:after="0" w:line="240" w:lineRule="auto"/>
              <w:jc w:val="both"/>
              <w:rPr>
                <w:rFonts w:asciiTheme="minorHAnsi" w:hAnsiTheme="minorHAnsi"/>
                <w:bCs/>
                <w:sz w:val="20"/>
                <w:szCs w:val="20"/>
              </w:rPr>
            </w:pPr>
            <w:r>
              <w:rPr>
                <w:rFonts w:asciiTheme="minorHAnsi" w:hAnsiTheme="minorHAnsi"/>
                <w:sz w:val="20"/>
              </w:rPr>
              <w:t>§ 1. In Book 2, Title 5, of the Ordinance of 2 May 2013 on the Brussels Air, Climate and Energy Control Code, a chapter 3 is inserted entitled “Chapter 3. - Sustainable and responsible digital plan”.</w:t>
            </w:r>
          </w:p>
          <w:p w14:paraId="6DC0A343" w14:textId="77777777" w:rsidR="00873667" w:rsidRDefault="00873667">
            <w:pPr>
              <w:spacing w:after="0" w:line="240" w:lineRule="auto"/>
              <w:jc w:val="both"/>
              <w:rPr>
                <w:rFonts w:asciiTheme="minorHAnsi" w:hAnsiTheme="minorHAnsi"/>
                <w:bCs/>
                <w:sz w:val="20"/>
                <w:szCs w:val="20"/>
                <w:lang w:val="fr-BE"/>
              </w:rPr>
            </w:pPr>
          </w:p>
          <w:p w14:paraId="1244248C" w14:textId="77777777" w:rsidR="00873667" w:rsidRDefault="00873667">
            <w:pPr>
              <w:spacing w:after="0" w:line="240" w:lineRule="auto"/>
              <w:jc w:val="both"/>
              <w:rPr>
                <w:rFonts w:asciiTheme="minorHAnsi" w:hAnsiTheme="minorHAnsi"/>
                <w:bCs/>
                <w:sz w:val="20"/>
                <w:szCs w:val="20"/>
              </w:rPr>
            </w:pPr>
            <w:r>
              <w:rPr>
                <w:rFonts w:asciiTheme="minorHAnsi" w:hAnsiTheme="minorHAnsi"/>
                <w:sz w:val="20"/>
              </w:rPr>
              <w:t xml:space="preserve">§ 2. In Chapter 3 inserted by paragraph 1, Article 2.5.8 is inserted as follows: </w:t>
            </w:r>
          </w:p>
          <w:p w14:paraId="5B3AD537" w14:textId="77777777" w:rsidR="00873667" w:rsidRDefault="00873667">
            <w:pPr>
              <w:spacing w:after="0" w:line="240" w:lineRule="auto"/>
              <w:ind w:left="200"/>
              <w:jc w:val="both"/>
              <w:rPr>
                <w:rFonts w:asciiTheme="minorHAnsi" w:hAnsiTheme="minorHAnsi"/>
                <w:bCs/>
                <w:sz w:val="20"/>
                <w:szCs w:val="20"/>
              </w:rPr>
            </w:pPr>
            <w:r>
              <w:rPr>
                <w:rFonts w:asciiTheme="minorHAnsi" w:hAnsiTheme="minorHAnsi"/>
                <w:sz w:val="20"/>
              </w:rPr>
              <w:t>“ Article 2.5.8. Operators and broadcasters referred to in the Ordinance of 1</w:t>
            </w:r>
            <w:r>
              <w:rPr>
                <w:rFonts w:asciiTheme="minorHAnsi" w:hAnsiTheme="minorHAnsi"/>
                <w:sz w:val="20"/>
                <w:vertAlign w:val="superscript"/>
              </w:rPr>
              <w:t>st</w:t>
            </w:r>
            <w:r>
              <w:rPr>
                <w:rFonts w:asciiTheme="minorHAnsi" w:hAnsiTheme="minorHAnsi"/>
                <w:sz w:val="20"/>
              </w:rPr>
              <w:t xml:space="preserve"> March 2007 on the protection of the environment against possible harmful effects and nuisances caused by non-ionising radiation and listed by the Government shall be required to implement by the date set by the Government and at the latest within 2 years of the entry into force of this Article a “sustainable and responsible digital plan” with a view to reducing the energy consumption and greenhouse gas emissions of their activities, in particular by raising awareness of the increase in consumption of mobile data. The plan is intended for a period of 5 years and is renewed for each successive period of 5 years. The plan is approved by Brussels Environment before its implementation. </w:t>
            </w:r>
          </w:p>
          <w:p w14:paraId="7B128E52" w14:textId="77777777" w:rsidR="00873667" w:rsidRDefault="00873667">
            <w:pPr>
              <w:spacing w:after="0" w:line="240" w:lineRule="auto"/>
              <w:ind w:left="200"/>
              <w:jc w:val="both"/>
              <w:rPr>
                <w:rFonts w:asciiTheme="minorHAnsi" w:hAnsiTheme="minorHAnsi"/>
                <w:bCs/>
                <w:sz w:val="20"/>
                <w:szCs w:val="20"/>
              </w:rPr>
            </w:pPr>
            <w:r>
              <w:rPr>
                <w:rFonts w:asciiTheme="minorHAnsi" w:hAnsiTheme="minorHAnsi"/>
                <w:sz w:val="20"/>
              </w:rPr>
              <w:t xml:space="preserve">The Government shall determine the terms for the preparation and implementation of this plan. In particular, it shall establish the minimum content of the plan and its terms for adoption, amendment and renewal, as well as the quantified objectives to be pursued by the plan. The Government may also extend the obligation to implement a “sustainable and responsible digital plan” to other legal persons.”. </w:t>
            </w:r>
          </w:p>
          <w:p w14:paraId="11EADCD9" w14:textId="77777777" w:rsidR="00873667" w:rsidRDefault="00873667">
            <w:pPr>
              <w:spacing w:after="0" w:line="240" w:lineRule="auto"/>
              <w:jc w:val="both"/>
              <w:rPr>
                <w:rFonts w:asciiTheme="minorHAnsi" w:hAnsiTheme="minorHAnsi"/>
                <w:b/>
                <w:sz w:val="20"/>
                <w:szCs w:val="20"/>
                <w:lang w:val="fr-BE"/>
              </w:rPr>
            </w:pPr>
          </w:p>
          <w:p w14:paraId="7A272A73" w14:textId="77777777" w:rsidR="00873667" w:rsidRDefault="00873667">
            <w:pPr>
              <w:spacing w:after="0" w:line="240" w:lineRule="auto"/>
              <w:jc w:val="both"/>
              <w:rPr>
                <w:rFonts w:asciiTheme="minorHAnsi" w:hAnsiTheme="minorHAnsi"/>
                <w:bCs/>
                <w:sz w:val="20"/>
                <w:szCs w:val="20"/>
              </w:rPr>
            </w:pPr>
            <w:r>
              <w:rPr>
                <w:rFonts w:asciiTheme="minorHAnsi" w:hAnsiTheme="minorHAnsi"/>
                <w:sz w:val="20"/>
              </w:rPr>
              <w:t>§ 3. Article 2.6.6 of the same ordinance is supplemented by a point (f) which reads as follows:</w:t>
            </w:r>
          </w:p>
          <w:p w14:paraId="4B9471C4" w14:textId="77777777" w:rsidR="00873667" w:rsidRDefault="00873667">
            <w:pPr>
              <w:spacing w:after="0" w:line="240" w:lineRule="auto"/>
              <w:ind w:left="200"/>
              <w:jc w:val="both"/>
              <w:rPr>
                <w:rFonts w:asciiTheme="minorHAnsi" w:hAnsiTheme="minorHAnsi"/>
                <w:bCs/>
                <w:sz w:val="20"/>
                <w:szCs w:val="20"/>
              </w:rPr>
            </w:pPr>
            <w:r>
              <w:rPr>
                <w:rFonts w:asciiTheme="minorHAnsi" w:hAnsiTheme="minorHAnsi"/>
                <w:sz w:val="20"/>
              </w:rPr>
              <w:t>“(f) operators, broadcasters and legal persons who, being subject to the obligation imposed by or pursuant to Article 2.5.8, do not comply with it.”.</w:t>
            </w:r>
          </w:p>
          <w:p w14:paraId="18DD4CF0" w14:textId="77777777" w:rsidR="00873667" w:rsidRDefault="00873667">
            <w:pPr>
              <w:spacing w:after="0" w:line="240" w:lineRule="auto"/>
              <w:jc w:val="both"/>
              <w:rPr>
                <w:rFonts w:asciiTheme="minorHAnsi" w:hAnsiTheme="minorHAnsi"/>
                <w:b/>
                <w:sz w:val="20"/>
                <w:szCs w:val="20"/>
                <w:lang w:val="fr-BE"/>
              </w:rPr>
            </w:pPr>
          </w:p>
        </w:tc>
      </w:tr>
      <w:tr w:rsidR="00873667" w:rsidRPr="00404725" w14:paraId="1FB6048C"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C9B873" w14:textId="77777777" w:rsidR="00873667" w:rsidRDefault="00873667">
            <w:pPr>
              <w:spacing w:after="0" w:line="240" w:lineRule="auto"/>
              <w:jc w:val="both"/>
              <w:rPr>
                <w:rFonts w:asciiTheme="minorHAnsi" w:hAnsiTheme="minorHAnsi"/>
                <w:b/>
                <w:sz w:val="20"/>
                <w:szCs w:val="20"/>
              </w:rPr>
            </w:pPr>
            <w:r>
              <w:rPr>
                <w:rFonts w:asciiTheme="minorHAnsi" w:hAnsiTheme="minorHAnsi"/>
                <w:b/>
                <w:sz w:val="20"/>
              </w:rPr>
              <w:lastRenderedPageBreak/>
              <w:t>Chapter 5. Amending, transitional and entry into force provisions</w:t>
            </w:r>
          </w:p>
        </w:tc>
      </w:tr>
      <w:tr w:rsidR="00873667" w:rsidRPr="00404725" w14:paraId="75774D9A"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93080" w14:textId="77777777" w:rsidR="00873667" w:rsidRDefault="00873667">
            <w:pPr>
              <w:spacing w:after="0" w:line="240" w:lineRule="auto"/>
              <w:jc w:val="both"/>
              <w:rPr>
                <w:rFonts w:asciiTheme="minorHAnsi" w:hAnsiTheme="minorHAnsi"/>
                <w:b/>
                <w:sz w:val="20"/>
                <w:szCs w:val="20"/>
              </w:rPr>
            </w:pPr>
            <w:r>
              <w:rPr>
                <w:rFonts w:asciiTheme="minorHAnsi" w:hAnsiTheme="minorHAnsi"/>
                <w:b/>
                <w:sz w:val="20"/>
              </w:rPr>
              <w:t>Article 12.</w:t>
            </w:r>
          </w:p>
          <w:p w14:paraId="3B265679" w14:textId="77777777" w:rsidR="00873667" w:rsidRDefault="00873667">
            <w:pPr>
              <w:spacing w:after="0" w:line="240" w:lineRule="auto"/>
              <w:jc w:val="both"/>
              <w:rPr>
                <w:rFonts w:asciiTheme="minorHAnsi" w:hAnsiTheme="minorHAnsi"/>
                <w:bCs/>
                <w:sz w:val="20"/>
                <w:szCs w:val="20"/>
              </w:rPr>
            </w:pPr>
            <w:r>
              <w:rPr>
                <w:rFonts w:asciiTheme="minorHAnsi" w:hAnsiTheme="minorHAnsi"/>
                <w:sz w:val="20"/>
              </w:rPr>
              <w:t>Article 10 of the Ordinance of 1</w:t>
            </w:r>
            <w:r>
              <w:rPr>
                <w:rFonts w:asciiTheme="minorHAnsi" w:hAnsiTheme="minorHAnsi"/>
                <w:sz w:val="20"/>
                <w:vertAlign w:val="superscript"/>
              </w:rPr>
              <w:t>st</w:t>
            </w:r>
            <w:r>
              <w:rPr>
                <w:rFonts w:asciiTheme="minorHAnsi" w:hAnsiTheme="minorHAnsi"/>
                <w:sz w:val="20"/>
              </w:rPr>
              <w:t xml:space="preserve"> March 2007 on the protection of the environment against any harmful effects and nuisances caused by non-ionising radiation is repealed. </w:t>
            </w:r>
          </w:p>
          <w:p w14:paraId="48D02DBB" w14:textId="77777777" w:rsidR="00873667" w:rsidRDefault="00873667">
            <w:pPr>
              <w:spacing w:after="0" w:line="240" w:lineRule="auto"/>
              <w:jc w:val="both"/>
              <w:rPr>
                <w:rFonts w:asciiTheme="minorHAnsi" w:hAnsiTheme="minorHAnsi"/>
                <w:b/>
                <w:sz w:val="20"/>
                <w:szCs w:val="20"/>
                <w:lang w:val="fr-BE"/>
              </w:rPr>
            </w:pPr>
          </w:p>
        </w:tc>
      </w:tr>
      <w:tr w:rsidR="00873667" w:rsidRPr="00404725" w14:paraId="1453FE58"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8F1A5" w14:textId="77777777" w:rsidR="00873667" w:rsidRDefault="00873667">
            <w:pPr>
              <w:spacing w:after="0" w:line="240" w:lineRule="auto"/>
              <w:jc w:val="both"/>
              <w:rPr>
                <w:rFonts w:asciiTheme="minorHAnsi" w:hAnsiTheme="minorHAnsi"/>
                <w:b/>
                <w:sz w:val="20"/>
                <w:szCs w:val="20"/>
              </w:rPr>
            </w:pPr>
            <w:r>
              <w:rPr>
                <w:rFonts w:asciiTheme="minorHAnsi" w:hAnsiTheme="minorHAnsi"/>
                <w:b/>
                <w:sz w:val="20"/>
              </w:rPr>
              <w:t>Article 13.</w:t>
            </w:r>
          </w:p>
          <w:p w14:paraId="0F8B4BF1" w14:textId="77777777" w:rsidR="00873667" w:rsidRDefault="00873667">
            <w:pPr>
              <w:spacing w:after="0" w:line="240" w:lineRule="auto"/>
              <w:jc w:val="both"/>
              <w:rPr>
                <w:rFonts w:asciiTheme="minorHAnsi" w:hAnsiTheme="minorHAnsi"/>
                <w:sz w:val="20"/>
                <w:szCs w:val="20"/>
              </w:rPr>
            </w:pPr>
            <w:r>
              <w:rPr>
                <w:rFonts w:asciiTheme="minorHAnsi" w:hAnsiTheme="minorHAnsi"/>
                <w:sz w:val="20"/>
              </w:rPr>
              <w:t>Within 30 days of the entry into force of this Ordinance, Brussels Environment shall notify operators whose environmental permits contribute to any exceeding of the standards referred to in Article 3(1a), of the Ordinance of 1</w:t>
            </w:r>
            <w:r>
              <w:rPr>
                <w:rFonts w:asciiTheme="minorHAnsi" w:hAnsiTheme="minorHAnsi"/>
                <w:sz w:val="20"/>
                <w:vertAlign w:val="superscript"/>
              </w:rPr>
              <w:t>st</w:t>
            </w:r>
            <w:r>
              <w:rPr>
                <w:rFonts w:asciiTheme="minorHAnsi" w:hAnsiTheme="minorHAnsi"/>
                <w:sz w:val="20"/>
              </w:rPr>
              <w:t xml:space="preserve"> March 2007 on the protection of the environment against any harmful effects and nuisances caused by non-ionising radiation as inserted by this Ordinance, their obligation to submit, within two months, an application for an environmental permit to comply with the obligations of the Ordinance of 1</w:t>
            </w:r>
            <w:r>
              <w:rPr>
                <w:rFonts w:asciiTheme="minorHAnsi" w:hAnsiTheme="minorHAnsi"/>
                <w:sz w:val="20"/>
                <w:vertAlign w:val="superscript"/>
              </w:rPr>
              <w:t>st</w:t>
            </w:r>
            <w:r>
              <w:rPr>
                <w:rFonts w:asciiTheme="minorHAnsi" w:hAnsiTheme="minorHAnsi"/>
                <w:sz w:val="20"/>
              </w:rPr>
              <w:t xml:space="preserve"> March 2007 on the protection of the environment against possible harmful effects and nuisances caused by non-ionising radiation as amended by this Ordinance. </w:t>
            </w:r>
          </w:p>
          <w:p w14:paraId="6DED1FE9" w14:textId="77777777" w:rsidR="00873667" w:rsidRDefault="00873667">
            <w:pPr>
              <w:spacing w:after="0" w:line="240" w:lineRule="auto"/>
              <w:jc w:val="both"/>
              <w:rPr>
                <w:rFonts w:asciiTheme="minorHAnsi" w:hAnsiTheme="minorHAnsi"/>
                <w:sz w:val="20"/>
                <w:szCs w:val="20"/>
              </w:rPr>
            </w:pPr>
            <w:r>
              <w:rPr>
                <w:rFonts w:asciiTheme="minorHAnsi" w:hAnsiTheme="minorHAnsi"/>
                <w:sz w:val="20"/>
              </w:rPr>
              <w:t>The operation by operators of the antennas concerned may be continued notwithstanding the standards referred to in Article 3(1a), of the Ordinance of 1</w:t>
            </w:r>
            <w:r>
              <w:rPr>
                <w:rFonts w:asciiTheme="minorHAnsi" w:hAnsiTheme="minorHAnsi"/>
                <w:sz w:val="20"/>
                <w:vertAlign w:val="superscript"/>
              </w:rPr>
              <w:t>st</w:t>
            </w:r>
            <w:r>
              <w:rPr>
                <w:rFonts w:asciiTheme="minorHAnsi" w:hAnsiTheme="minorHAnsi"/>
                <w:sz w:val="20"/>
              </w:rPr>
              <w:t xml:space="preserve"> March 2007 on the protection of the environment against any harmful effects and nuisances caused by non-ionising radiation as inserted by this Ordinance until notification of the decision on the application for an environmental permit. </w:t>
            </w:r>
          </w:p>
          <w:p w14:paraId="3CEE12CC" w14:textId="77777777" w:rsidR="00873667" w:rsidRDefault="00873667">
            <w:pPr>
              <w:spacing w:after="0" w:line="240" w:lineRule="auto"/>
              <w:jc w:val="both"/>
              <w:rPr>
                <w:rFonts w:asciiTheme="minorHAnsi" w:hAnsiTheme="minorHAnsi"/>
                <w:b/>
                <w:sz w:val="20"/>
                <w:szCs w:val="20"/>
                <w:lang w:val="fr-BE"/>
              </w:rPr>
            </w:pPr>
          </w:p>
        </w:tc>
      </w:tr>
      <w:tr w:rsidR="00873667" w:rsidRPr="00404725" w14:paraId="6715F848"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12E76" w14:textId="77777777" w:rsidR="00873667" w:rsidRDefault="00873667">
            <w:pPr>
              <w:spacing w:after="0" w:line="240" w:lineRule="auto"/>
              <w:jc w:val="both"/>
              <w:rPr>
                <w:rFonts w:asciiTheme="minorHAnsi" w:hAnsiTheme="minorHAnsi"/>
                <w:b/>
                <w:sz w:val="20"/>
                <w:szCs w:val="20"/>
              </w:rPr>
            </w:pPr>
            <w:r>
              <w:rPr>
                <w:rFonts w:asciiTheme="minorHAnsi" w:hAnsiTheme="minorHAnsi"/>
                <w:b/>
                <w:sz w:val="20"/>
              </w:rPr>
              <w:t xml:space="preserve">Article 14. </w:t>
            </w:r>
          </w:p>
          <w:p w14:paraId="4670636C" w14:textId="77777777" w:rsidR="00873667" w:rsidRDefault="00873667">
            <w:pPr>
              <w:spacing w:after="0" w:line="240" w:lineRule="auto"/>
              <w:jc w:val="both"/>
              <w:rPr>
                <w:rFonts w:asciiTheme="minorHAnsi" w:hAnsiTheme="minorHAnsi"/>
                <w:b/>
                <w:sz w:val="20"/>
                <w:szCs w:val="20"/>
              </w:rPr>
            </w:pPr>
            <w:r>
              <w:rPr>
                <w:rFonts w:asciiTheme="minorHAnsi" w:hAnsiTheme="minorHAnsi"/>
                <w:sz w:val="20"/>
              </w:rPr>
              <w:t>This Ordinance shall enter into force on the first day of the month following the expiry of a period of ten days beginning on the day after its publication in the Belgian Official Gazette, with the exception of Articles 5(2) (only as regards Article 4(3), future of the Ordinance of 1</w:t>
            </w:r>
            <w:r>
              <w:rPr>
                <w:rFonts w:asciiTheme="minorHAnsi" w:hAnsiTheme="minorHAnsi"/>
                <w:sz w:val="20"/>
                <w:vertAlign w:val="superscript"/>
              </w:rPr>
              <w:t>st</w:t>
            </w:r>
            <w:r>
              <w:rPr>
                <w:rFonts w:asciiTheme="minorHAnsi" w:hAnsiTheme="minorHAnsi"/>
                <w:sz w:val="20"/>
              </w:rPr>
              <w:t xml:space="preserve"> March 2007 on the protection of the environment against any harmful effects and nuisances caused by non-ionising radiation), 8 and 11 whose date of entry into force is fixed by the Government. </w:t>
            </w:r>
          </w:p>
          <w:p w14:paraId="60A2F821" w14:textId="77777777" w:rsidR="00873667" w:rsidRDefault="00873667">
            <w:pPr>
              <w:spacing w:after="0" w:line="240" w:lineRule="auto"/>
              <w:jc w:val="both"/>
              <w:rPr>
                <w:rFonts w:asciiTheme="minorHAnsi" w:hAnsiTheme="minorHAnsi"/>
                <w:b/>
                <w:sz w:val="20"/>
                <w:szCs w:val="20"/>
                <w:lang w:val="fr-BE"/>
              </w:rPr>
            </w:pPr>
          </w:p>
        </w:tc>
      </w:tr>
    </w:tbl>
    <w:p w14:paraId="155A3904" w14:textId="414A1C9B" w:rsidR="00873667" w:rsidRDefault="00873667" w:rsidP="00873667">
      <w:pPr>
        <w:rPr>
          <w:lang w:val="fr-BE"/>
        </w:rPr>
      </w:pPr>
    </w:p>
    <w:tbl>
      <w:tblPr>
        <w:tblW w:w="9782" w:type="dxa"/>
        <w:tblInd w:w="-318" w:type="dxa"/>
        <w:tblLayout w:type="fixed"/>
        <w:tblCellMar>
          <w:left w:w="10" w:type="dxa"/>
          <w:right w:w="10" w:type="dxa"/>
        </w:tblCellMar>
        <w:tblLook w:val="04A0" w:firstRow="1" w:lastRow="0" w:firstColumn="1" w:lastColumn="0" w:noHBand="0" w:noVBand="1"/>
      </w:tblPr>
      <w:tblGrid>
        <w:gridCol w:w="4821"/>
        <w:gridCol w:w="4961"/>
      </w:tblGrid>
      <w:tr w:rsidR="00873667" w:rsidRPr="00746272" w14:paraId="3DDA5F8F" w14:textId="77777777" w:rsidTr="00242999">
        <w:trPr>
          <w:gridAfter w:val="1"/>
          <w:wAfter w:w="4961" w:type="dxa"/>
        </w:trPr>
        <w:tc>
          <w:tcPr>
            <w:tcW w:w="4821" w:type="dxa"/>
            <w:tcMar>
              <w:top w:w="0" w:type="dxa"/>
              <w:left w:w="108" w:type="dxa"/>
              <w:bottom w:w="0" w:type="dxa"/>
              <w:right w:w="108" w:type="dxa"/>
            </w:tcMar>
          </w:tcPr>
          <w:p w14:paraId="143E8754" w14:textId="77777777" w:rsidR="00873667" w:rsidRPr="00746272" w:rsidRDefault="00873667" w:rsidP="00242999">
            <w:pPr>
              <w:spacing w:after="0" w:line="240" w:lineRule="auto"/>
              <w:jc w:val="both"/>
              <w:rPr>
                <w:rFonts w:asciiTheme="minorHAnsi" w:hAnsiTheme="minorHAnsi"/>
                <w:sz w:val="20"/>
                <w:szCs w:val="20"/>
              </w:rPr>
            </w:pPr>
            <w:r>
              <w:rPr>
                <w:rFonts w:asciiTheme="minorHAnsi" w:hAnsiTheme="minorHAnsi"/>
                <w:sz w:val="20"/>
              </w:rPr>
              <w:t>Brussels,</w:t>
            </w:r>
          </w:p>
        </w:tc>
      </w:tr>
      <w:tr w:rsidR="00873667" w:rsidRPr="00404725" w14:paraId="334B20E3" w14:textId="77777777" w:rsidTr="00242999">
        <w:trPr>
          <w:gridAfter w:val="1"/>
          <w:wAfter w:w="4961" w:type="dxa"/>
        </w:trPr>
        <w:tc>
          <w:tcPr>
            <w:tcW w:w="4821" w:type="dxa"/>
            <w:tcMar>
              <w:top w:w="0" w:type="dxa"/>
              <w:left w:w="108" w:type="dxa"/>
              <w:bottom w:w="0" w:type="dxa"/>
              <w:right w:w="108" w:type="dxa"/>
            </w:tcMar>
          </w:tcPr>
          <w:p w14:paraId="7D90B3B5" w14:textId="77777777" w:rsidR="00873667" w:rsidRPr="00873667" w:rsidRDefault="00873667" w:rsidP="00242999">
            <w:pPr>
              <w:spacing w:after="0" w:line="240" w:lineRule="auto"/>
              <w:jc w:val="both"/>
              <w:rPr>
                <w:rFonts w:asciiTheme="minorHAnsi" w:hAnsiTheme="minorHAnsi"/>
                <w:sz w:val="20"/>
                <w:szCs w:val="20"/>
              </w:rPr>
            </w:pPr>
            <w:r>
              <w:rPr>
                <w:rFonts w:asciiTheme="minorHAnsi" w:hAnsiTheme="minorHAnsi"/>
                <w:sz w:val="20"/>
              </w:rPr>
              <w:t>For the Government of the Brussels-Capital Region,</w:t>
            </w:r>
          </w:p>
        </w:tc>
      </w:tr>
      <w:tr w:rsidR="00873667" w:rsidRPr="00404725" w14:paraId="55B38421" w14:textId="77777777" w:rsidTr="00242999">
        <w:tc>
          <w:tcPr>
            <w:tcW w:w="4821" w:type="dxa"/>
            <w:shd w:val="clear" w:color="auto" w:fill="auto"/>
            <w:tcMar>
              <w:top w:w="0" w:type="dxa"/>
              <w:left w:w="108" w:type="dxa"/>
              <w:bottom w:w="0" w:type="dxa"/>
              <w:right w:w="108" w:type="dxa"/>
            </w:tcMar>
          </w:tcPr>
          <w:p w14:paraId="52DDBFBC" w14:textId="77777777" w:rsidR="00873667" w:rsidRPr="00873667" w:rsidRDefault="00873667" w:rsidP="00873667">
            <w:pPr>
              <w:spacing w:after="0" w:line="240" w:lineRule="auto"/>
              <w:rPr>
                <w:rFonts w:asciiTheme="minorHAnsi" w:hAnsiTheme="minorHAnsi"/>
                <w:sz w:val="20"/>
                <w:szCs w:val="20"/>
                <w:lang w:val="fr-BE"/>
              </w:rPr>
            </w:pPr>
          </w:p>
        </w:tc>
        <w:tc>
          <w:tcPr>
            <w:tcW w:w="4961" w:type="dxa"/>
            <w:shd w:val="clear" w:color="auto" w:fill="auto"/>
          </w:tcPr>
          <w:p w14:paraId="20116099" w14:textId="77777777" w:rsidR="00873667" w:rsidRPr="00873667" w:rsidRDefault="00873667" w:rsidP="00242999">
            <w:pPr>
              <w:suppressAutoHyphens w:val="0"/>
              <w:autoSpaceDE w:val="0"/>
              <w:adjustRightInd w:val="0"/>
              <w:spacing w:after="0" w:line="240" w:lineRule="auto"/>
              <w:jc w:val="both"/>
              <w:rPr>
                <w:rFonts w:asciiTheme="minorHAnsi" w:eastAsiaTheme="minorHAnsi" w:hAnsiTheme="minorHAnsi" w:cs="TimesNewRoman"/>
                <w:kern w:val="0"/>
                <w:sz w:val="20"/>
                <w:szCs w:val="20"/>
                <w:lang w:val="fr-BE"/>
              </w:rPr>
            </w:pPr>
          </w:p>
        </w:tc>
      </w:tr>
    </w:tbl>
    <w:p w14:paraId="62E0C8D1" w14:textId="77777777" w:rsidR="00873667" w:rsidRPr="00873667" w:rsidRDefault="00873667" w:rsidP="00873667">
      <w:pPr>
        <w:spacing w:after="0" w:line="240" w:lineRule="auto"/>
        <w:jc w:val="both"/>
        <w:rPr>
          <w:rFonts w:asciiTheme="minorHAnsi" w:hAnsiTheme="minorHAnsi" w:cstheme="minorHAnsi"/>
          <w:sz w:val="20"/>
          <w:szCs w:val="20"/>
          <w:lang w:val="fr-BE"/>
        </w:rPr>
      </w:pPr>
    </w:p>
    <w:p w14:paraId="6484EA2B" w14:textId="77777777" w:rsidR="00873667" w:rsidRPr="00873667" w:rsidRDefault="00873667" w:rsidP="00873667">
      <w:pPr>
        <w:spacing w:after="0" w:line="240" w:lineRule="auto"/>
        <w:jc w:val="both"/>
        <w:rPr>
          <w:rFonts w:asciiTheme="minorHAnsi" w:hAnsiTheme="minorHAnsi" w:cstheme="minorHAnsi"/>
          <w:sz w:val="20"/>
          <w:szCs w:val="20"/>
          <w:lang w:val="fr-BE"/>
        </w:rPr>
      </w:pPr>
    </w:p>
    <w:p w14:paraId="5A185135" w14:textId="77777777" w:rsidR="00873667" w:rsidRPr="00B93F33" w:rsidRDefault="00873667" w:rsidP="00873667">
      <w:pPr>
        <w:spacing w:after="0" w:line="240" w:lineRule="auto"/>
        <w:jc w:val="center"/>
        <w:rPr>
          <w:rFonts w:asciiTheme="minorHAnsi" w:hAnsiTheme="minorHAnsi" w:cstheme="minorHAnsi"/>
          <w:b/>
          <w:bCs/>
          <w:sz w:val="20"/>
          <w:szCs w:val="20"/>
        </w:rPr>
      </w:pPr>
      <w:r>
        <w:rPr>
          <w:rFonts w:asciiTheme="minorHAnsi" w:hAnsiTheme="minorHAnsi"/>
          <w:b/>
          <w:sz w:val="20"/>
        </w:rPr>
        <w:t>R. VERVOORT</w:t>
      </w:r>
    </w:p>
    <w:p w14:paraId="4D31CE76" w14:textId="3E9F61CF" w:rsidR="00873667" w:rsidRPr="00873667" w:rsidRDefault="00873667" w:rsidP="00873667">
      <w:pPr>
        <w:spacing w:after="0" w:line="240" w:lineRule="auto"/>
        <w:jc w:val="center"/>
        <w:rPr>
          <w:rFonts w:asciiTheme="minorHAnsi" w:hAnsiTheme="minorHAnsi" w:cstheme="minorHAnsi"/>
          <w:sz w:val="20"/>
          <w:szCs w:val="20"/>
        </w:rPr>
      </w:pPr>
      <w:r>
        <w:rPr>
          <w:rFonts w:asciiTheme="minorHAnsi" w:hAnsiTheme="minorHAnsi"/>
          <w:sz w:val="20"/>
        </w:rPr>
        <w:t>Minister-President of the Brussels-Capital Region.</w:t>
      </w:r>
    </w:p>
    <w:p w14:paraId="0ACA50B3" w14:textId="77777777" w:rsidR="00873667" w:rsidRPr="00404725" w:rsidRDefault="00873667" w:rsidP="00873667">
      <w:pPr>
        <w:spacing w:after="0" w:line="240" w:lineRule="auto"/>
        <w:jc w:val="center"/>
        <w:rPr>
          <w:rFonts w:asciiTheme="minorHAnsi" w:hAnsiTheme="minorHAnsi" w:cstheme="minorHAnsi"/>
          <w:sz w:val="20"/>
          <w:szCs w:val="20"/>
          <w:lang w:val="fr-FR"/>
        </w:rPr>
      </w:pPr>
    </w:p>
    <w:p w14:paraId="0E868F9D" w14:textId="77777777" w:rsidR="00873667" w:rsidRPr="00B93F33" w:rsidRDefault="00873667" w:rsidP="00873667">
      <w:pPr>
        <w:spacing w:after="0" w:line="240" w:lineRule="auto"/>
        <w:jc w:val="center"/>
        <w:rPr>
          <w:rFonts w:asciiTheme="minorHAnsi" w:hAnsiTheme="minorHAnsi" w:cstheme="minorHAnsi"/>
          <w:b/>
          <w:bCs/>
          <w:sz w:val="20"/>
          <w:szCs w:val="20"/>
        </w:rPr>
      </w:pPr>
      <w:r>
        <w:rPr>
          <w:rFonts w:asciiTheme="minorHAnsi" w:hAnsiTheme="minorHAnsi"/>
          <w:b/>
          <w:sz w:val="20"/>
        </w:rPr>
        <w:t>E. VAN DEN BRANDT</w:t>
      </w:r>
    </w:p>
    <w:p w14:paraId="0FD79330" w14:textId="037809FC" w:rsidR="00873667" w:rsidRDefault="00873667" w:rsidP="00873667">
      <w:pPr>
        <w:spacing w:after="0" w:line="240" w:lineRule="auto"/>
        <w:jc w:val="center"/>
        <w:rPr>
          <w:rFonts w:asciiTheme="minorHAnsi" w:hAnsiTheme="minorHAnsi" w:cstheme="minorHAnsi"/>
          <w:sz w:val="20"/>
          <w:szCs w:val="20"/>
        </w:rPr>
      </w:pPr>
      <w:r>
        <w:rPr>
          <w:rFonts w:asciiTheme="minorHAnsi" w:hAnsiTheme="minorHAnsi"/>
          <w:sz w:val="20"/>
        </w:rPr>
        <w:t>Minister for Mobility, Public Works and Road Safety.</w:t>
      </w:r>
    </w:p>
    <w:p w14:paraId="2F23BC79" w14:textId="77777777" w:rsidR="00873667" w:rsidRPr="00873667" w:rsidRDefault="00873667" w:rsidP="00873667">
      <w:pPr>
        <w:spacing w:after="0" w:line="240" w:lineRule="auto"/>
        <w:jc w:val="center"/>
        <w:rPr>
          <w:rFonts w:asciiTheme="minorHAnsi" w:hAnsiTheme="minorHAnsi" w:cstheme="minorHAnsi"/>
          <w:sz w:val="20"/>
          <w:szCs w:val="20"/>
          <w:lang w:val="fr-BE"/>
        </w:rPr>
      </w:pPr>
    </w:p>
    <w:p w14:paraId="5C36561A" w14:textId="77777777" w:rsidR="00873667" w:rsidRPr="00404725" w:rsidRDefault="00873667" w:rsidP="00873667">
      <w:pPr>
        <w:spacing w:after="0" w:line="240" w:lineRule="auto"/>
        <w:jc w:val="center"/>
        <w:rPr>
          <w:rFonts w:asciiTheme="minorHAnsi" w:hAnsiTheme="minorHAnsi" w:cstheme="minorHAnsi"/>
          <w:b/>
          <w:bCs/>
          <w:sz w:val="20"/>
          <w:szCs w:val="20"/>
        </w:rPr>
      </w:pPr>
      <w:r>
        <w:rPr>
          <w:rFonts w:asciiTheme="minorHAnsi" w:hAnsiTheme="minorHAnsi"/>
          <w:b/>
          <w:sz w:val="20"/>
        </w:rPr>
        <w:t>A. MARON</w:t>
      </w:r>
    </w:p>
    <w:p w14:paraId="67F20717" w14:textId="3CC9598F" w:rsidR="00873667" w:rsidRPr="00AD5588" w:rsidRDefault="00873667" w:rsidP="00873667">
      <w:pPr>
        <w:spacing w:after="0" w:line="240" w:lineRule="auto"/>
        <w:jc w:val="center"/>
        <w:rPr>
          <w:rFonts w:asciiTheme="minorHAnsi" w:hAnsiTheme="minorHAnsi" w:cstheme="minorHAnsi"/>
          <w:sz w:val="20"/>
          <w:szCs w:val="20"/>
        </w:rPr>
      </w:pPr>
      <w:r>
        <w:rPr>
          <w:rFonts w:asciiTheme="minorHAnsi" w:hAnsiTheme="minorHAnsi"/>
          <w:sz w:val="20"/>
        </w:rPr>
        <w:t>Minister for Climate Transition, Environment, Energy and Participatory Democracy.</w:t>
      </w:r>
    </w:p>
    <w:p w14:paraId="4B06F6AA" w14:textId="77777777" w:rsidR="00873667" w:rsidRPr="00B93F33" w:rsidRDefault="00873667" w:rsidP="00873667">
      <w:pPr>
        <w:spacing w:after="0" w:line="240" w:lineRule="auto"/>
        <w:jc w:val="center"/>
        <w:rPr>
          <w:rFonts w:asciiTheme="minorHAnsi" w:hAnsiTheme="minorHAnsi" w:cstheme="minorHAnsi"/>
          <w:b/>
          <w:bCs/>
          <w:sz w:val="20"/>
          <w:szCs w:val="20"/>
        </w:rPr>
      </w:pPr>
      <w:r>
        <w:rPr>
          <w:rFonts w:asciiTheme="minorHAnsi" w:hAnsiTheme="minorHAnsi"/>
          <w:b/>
          <w:sz w:val="20"/>
        </w:rPr>
        <w:t>S. GATZ</w:t>
      </w:r>
    </w:p>
    <w:p w14:paraId="215BED01" w14:textId="5190AA1C" w:rsidR="00873667" w:rsidRPr="00873667" w:rsidRDefault="00873667" w:rsidP="00873667">
      <w:pPr>
        <w:spacing w:after="0" w:line="240" w:lineRule="auto"/>
        <w:jc w:val="center"/>
        <w:rPr>
          <w:rFonts w:asciiTheme="minorHAnsi" w:hAnsiTheme="minorHAnsi" w:cstheme="minorHAnsi"/>
          <w:sz w:val="20"/>
          <w:szCs w:val="20"/>
        </w:rPr>
      </w:pPr>
      <w:r>
        <w:rPr>
          <w:rFonts w:asciiTheme="minorHAnsi" w:hAnsiTheme="minorHAnsi"/>
          <w:sz w:val="20"/>
        </w:rPr>
        <w:t>Minister</w:t>
      </w:r>
      <w:r>
        <w:rPr>
          <w:rFonts w:asciiTheme="minorHAnsi" w:hAnsiTheme="minorHAnsi"/>
          <w:color w:val="333333"/>
          <w:sz w:val="20"/>
          <w:shd w:val="clear" w:color="auto" w:fill="FFFFFF"/>
        </w:rPr>
        <w:t xml:space="preserve"> </w:t>
      </w:r>
      <w:r>
        <w:rPr>
          <w:rFonts w:asciiTheme="minorHAnsi" w:hAnsiTheme="minorHAnsi"/>
          <w:sz w:val="20"/>
        </w:rPr>
        <w:t>for Finance, Budget, Civil Service, Promotion of Multilingualism and Image of Brussels.</w:t>
      </w:r>
    </w:p>
    <w:p w14:paraId="5E9FF636" w14:textId="77777777" w:rsidR="00873667" w:rsidRPr="00404725" w:rsidRDefault="00873667" w:rsidP="00873667">
      <w:pPr>
        <w:spacing w:after="0" w:line="240" w:lineRule="auto"/>
        <w:jc w:val="center"/>
        <w:rPr>
          <w:rFonts w:asciiTheme="minorHAnsi" w:hAnsiTheme="minorHAnsi" w:cstheme="minorHAnsi"/>
          <w:sz w:val="20"/>
          <w:szCs w:val="20"/>
          <w:lang w:val="fr-FR"/>
        </w:rPr>
      </w:pPr>
    </w:p>
    <w:p w14:paraId="39B54DF5" w14:textId="77777777" w:rsidR="00873667" w:rsidRPr="00B93F33" w:rsidRDefault="00873667" w:rsidP="00873667">
      <w:pPr>
        <w:spacing w:after="0" w:line="240" w:lineRule="auto"/>
        <w:jc w:val="center"/>
        <w:rPr>
          <w:rFonts w:asciiTheme="minorHAnsi" w:hAnsiTheme="minorHAnsi" w:cstheme="minorHAnsi"/>
          <w:b/>
          <w:bCs/>
          <w:sz w:val="20"/>
          <w:szCs w:val="20"/>
        </w:rPr>
      </w:pPr>
      <w:r>
        <w:rPr>
          <w:rFonts w:asciiTheme="minorHAnsi" w:hAnsiTheme="minorHAnsi"/>
          <w:b/>
          <w:sz w:val="20"/>
        </w:rPr>
        <w:t>B. CERLFAYT</w:t>
      </w:r>
    </w:p>
    <w:p w14:paraId="5443ECE7" w14:textId="4C81C041" w:rsidR="00873667" w:rsidRPr="00873667" w:rsidRDefault="00873667" w:rsidP="00873667">
      <w:pPr>
        <w:spacing w:after="0" w:line="240" w:lineRule="auto"/>
        <w:jc w:val="center"/>
        <w:rPr>
          <w:rFonts w:asciiTheme="minorHAnsi" w:hAnsiTheme="minorHAnsi" w:cstheme="minorHAnsi"/>
          <w:sz w:val="20"/>
          <w:szCs w:val="20"/>
        </w:rPr>
      </w:pPr>
      <w:r>
        <w:rPr>
          <w:rFonts w:asciiTheme="minorHAnsi" w:hAnsiTheme="minorHAnsi"/>
          <w:sz w:val="20"/>
        </w:rPr>
        <w:t>Minister for Employment and Vocational Training, Digital Transition, Local Authorities and Animal Welfare.</w:t>
      </w:r>
    </w:p>
    <w:p w14:paraId="76D391AC" w14:textId="77777777" w:rsidR="00873667" w:rsidRPr="00873667" w:rsidRDefault="00873667" w:rsidP="00873667">
      <w:pPr>
        <w:spacing w:after="0" w:line="240" w:lineRule="auto"/>
        <w:jc w:val="center"/>
        <w:rPr>
          <w:rFonts w:asciiTheme="minorHAnsi" w:hAnsiTheme="minorHAnsi" w:cstheme="minorHAnsi"/>
          <w:sz w:val="20"/>
          <w:szCs w:val="20"/>
          <w:lang w:val="fr-BE"/>
        </w:rPr>
      </w:pPr>
    </w:p>
    <w:p w14:paraId="2D887231" w14:textId="77777777" w:rsidR="00873667" w:rsidRPr="00B93F33" w:rsidRDefault="00873667" w:rsidP="00873667">
      <w:pPr>
        <w:spacing w:after="0" w:line="240" w:lineRule="auto"/>
        <w:jc w:val="center"/>
        <w:rPr>
          <w:rFonts w:asciiTheme="minorHAnsi" w:hAnsiTheme="minorHAnsi" w:cstheme="minorHAnsi"/>
          <w:b/>
          <w:bCs/>
          <w:sz w:val="20"/>
          <w:szCs w:val="20"/>
        </w:rPr>
      </w:pPr>
      <w:r>
        <w:rPr>
          <w:rFonts w:asciiTheme="minorHAnsi" w:hAnsiTheme="minorHAnsi"/>
          <w:b/>
          <w:sz w:val="20"/>
        </w:rPr>
        <w:t>N. BEN HAMOU</w:t>
      </w:r>
    </w:p>
    <w:p w14:paraId="66917B45" w14:textId="77777777" w:rsidR="00873667" w:rsidRPr="00B93F33" w:rsidRDefault="00873667" w:rsidP="00873667">
      <w:pPr>
        <w:spacing w:after="0" w:line="240" w:lineRule="auto"/>
        <w:jc w:val="center"/>
        <w:rPr>
          <w:rFonts w:asciiTheme="minorHAnsi" w:hAnsiTheme="minorHAnsi" w:cstheme="minorHAnsi"/>
          <w:sz w:val="20"/>
          <w:szCs w:val="20"/>
        </w:rPr>
      </w:pPr>
      <w:r>
        <w:rPr>
          <w:rFonts w:asciiTheme="minorHAnsi" w:hAnsiTheme="minorHAnsi"/>
          <w:sz w:val="20"/>
        </w:rPr>
        <w:t>Secretary of State for Housing and Equal Opportunities.</w:t>
      </w:r>
    </w:p>
    <w:p w14:paraId="6FA2FE24" w14:textId="77777777" w:rsidR="00873667" w:rsidRPr="00404725" w:rsidRDefault="00873667" w:rsidP="00873667">
      <w:pPr>
        <w:spacing w:after="0" w:line="240" w:lineRule="auto"/>
        <w:jc w:val="center"/>
        <w:rPr>
          <w:rFonts w:asciiTheme="minorHAnsi" w:hAnsiTheme="minorHAnsi" w:cstheme="minorHAnsi"/>
          <w:sz w:val="20"/>
          <w:szCs w:val="20"/>
          <w:lang w:val="fr-FR"/>
        </w:rPr>
      </w:pPr>
    </w:p>
    <w:p w14:paraId="5AFC9699" w14:textId="77777777" w:rsidR="00873667" w:rsidRPr="00B93F33" w:rsidRDefault="00873667" w:rsidP="00873667">
      <w:pPr>
        <w:spacing w:after="0" w:line="240" w:lineRule="auto"/>
        <w:jc w:val="center"/>
        <w:rPr>
          <w:rFonts w:asciiTheme="minorHAnsi" w:hAnsiTheme="minorHAnsi" w:cstheme="minorHAnsi"/>
          <w:b/>
          <w:bCs/>
          <w:sz w:val="20"/>
          <w:szCs w:val="20"/>
        </w:rPr>
      </w:pPr>
      <w:r>
        <w:rPr>
          <w:rFonts w:asciiTheme="minorHAnsi" w:hAnsiTheme="minorHAnsi"/>
          <w:b/>
          <w:sz w:val="20"/>
        </w:rPr>
        <w:t>B. TRACHTE</w:t>
      </w:r>
    </w:p>
    <w:p w14:paraId="272A5E99" w14:textId="77777777" w:rsidR="00873667" w:rsidRPr="00B93F33" w:rsidRDefault="00873667" w:rsidP="00873667">
      <w:pPr>
        <w:spacing w:after="0" w:line="240" w:lineRule="auto"/>
        <w:jc w:val="center"/>
        <w:rPr>
          <w:rFonts w:asciiTheme="minorHAnsi" w:hAnsiTheme="minorHAnsi" w:cstheme="minorHAnsi"/>
          <w:sz w:val="20"/>
          <w:szCs w:val="20"/>
        </w:rPr>
      </w:pPr>
      <w:r>
        <w:rPr>
          <w:rFonts w:asciiTheme="minorHAnsi" w:hAnsiTheme="minorHAnsi"/>
          <w:sz w:val="20"/>
        </w:rPr>
        <w:t>Secretary of State for Economic Transition and Scientific Research.</w:t>
      </w:r>
    </w:p>
    <w:p w14:paraId="42F74CF6" w14:textId="77777777" w:rsidR="00873667" w:rsidRPr="00404725" w:rsidRDefault="00873667" w:rsidP="00873667">
      <w:pPr>
        <w:spacing w:after="0" w:line="240" w:lineRule="auto"/>
        <w:rPr>
          <w:rFonts w:asciiTheme="minorHAnsi" w:hAnsiTheme="minorHAnsi" w:cstheme="minorHAnsi"/>
          <w:sz w:val="20"/>
          <w:szCs w:val="20"/>
          <w:lang w:val="fr-FR"/>
        </w:rPr>
      </w:pPr>
    </w:p>
    <w:p w14:paraId="03B3C3B2" w14:textId="77777777" w:rsidR="00873667" w:rsidRPr="00B93F33" w:rsidRDefault="00873667" w:rsidP="00873667">
      <w:pPr>
        <w:spacing w:after="0" w:line="240" w:lineRule="auto"/>
        <w:jc w:val="center"/>
        <w:rPr>
          <w:rFonts w:asciiTheme="minorHAnsi" w:hAnsiTheme="minorHAnsi" w:cstheme="minorHAnsi"/>
          <w:b/>
          <w:bCs/>
          <w:sz w:val="20"/>
          <w:szCs w:val="20"/>
        </w:rPr>
      </w:pPr>
      <w:r>
        <w:rPr>
          <w:rFonts w:asciiTheme="minorHAnsi" w:hAnsiTheme="minorHAnsi"/>
          <w:b/>
          <w:sz w:val="20"/>
        </w:rPr>
        <w:t>P. SMET</w:t>
      </w:r>
    </w:p>
    <w:p w14:paraId="2267296E" w14:textId="77777777" w:rsidR="00873667" w:rsidRPr="00B93F33" w:rsidRDefault="00873667" w:rsidP="00873667">
      <w:pPr>
        <w:spacing w:after="0" w:line="240" w:lineRule="auto"/>
        <w:jc w:val="center"/>
        <w:rPr>
          <w:rFonts w:asciiTheme="minorHAnsi" w:hAnsiTheme="minorHAnsi" w:cstheme="minorHAnsi"/>
          <w:b/>
          <w:bCs/>
          <w:caps/>
          <w:sz w:val="20"/>
          <w:szCs w:val="20"/>
          <w:u w:val="single"/>
        </w:rPr>
      </w:pPr>
      <w:r>
        <w:rPr>
          <w:rFonts w:asciiTheme="minorHAnsi" w:hAnsiTheme="minorHAnsi"/>
          <w:sz w:val="20"/>
        </w:rPr>
        <w:t>Secretary of State for Town-planning and Heritage, European and International Relations, Foreign Trade and the Fight against Fire and Emergency Medical Aid.</w:t>
      </w:r>
    </w:p>
    <w:p w14:paraId="53382B18" w14:textId="28B96DA2" w:rsidR="00873667" w:rsidRPr="00404725" w:rsidRDefault="00873667" w:rsidP="00873667">
      <w:pPr>
        <w:rPr>
          <w:lang w:val="fr-FR"/>
        </w:rPr>
      </w:pPr>
    </w:p>
    <w:sectPr w:rsidR="00873667" w:rsidRPr="004047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B379A7"/>
    <w:multiLevelType w:val="hybridMultilevel"/>
    <w:tmpl w:val="7E88C574"/>
    <w:lvl w:ilvl="0" w:tplc="3982BAE0">
      <w:numFmt w:val="bullet"/>
      <w:lvlText w:val="-"/>
      <w:lvlJc w:val="left"/>
      <w:pPr>
        <w:ind w:left="712" w:hanging="360"/>
      </w:pPr>
      <w:rPr>
        <w:rFonts w:ascii="Arial" w:eastAsia="Times New Roman" w:hAnsi="Arial" w:cs="Arial" w:hint="default"/>
      </w:rPr>
    </w:lvl>
    <w:lvl w:ilvl="1" w:tplc="080C0003">
      <w:start w:val="1"/>
      <w:numFmt w:val="bullet"/>
      <w:lvlText w:val="o"/>
      <w:lvlJc w:val="left"/>
      <w:pPr>
        <w:ind w:left="1432" w:hanging="360"/>
      </w:pPr>
      <w:rPr>
        <w:rFonts w:ascii="Courier New" w:hAnsi="Courier New" w:cs="Courier New" w:hint="default"/>
      </w:rPr>
    </w:lvl>
    <w:lvl w:ilvl="2" w:tplc="080C0005">
      <w:start w:val="1"/>
      <w:numFmt w:val="bullet"/>
      <w:lvlText w:val=""/>
      <w:lvlJc w:val="left"/>
      <w:pPr>
        <w:ind w:left="2152" w:hanging="360"/>
      </w:pPr>
      <w:rPr>
        <w:rFonts w:ascii="Wingdings" w:hAnsi="Wingdings" w:hint="default"/>
      </w:rPr>
    </w:lvl>
    <w:lvl w:ilvl="3" w:tplc="080C0001">
      <w:start w:val="1"/>
      <w:numFmt w:val="bullet"/>
      <w:lvlText w:val=""/>
      <w:lvlJc w:val="left"/>
      <w:pPr>
        <w:ind w:left="2872" w:hanging="360"/>
      </w:pPr>
      <w:rPr>
        <w:rFonts w:ascii="Symbol" w:hAnsi="Symbol" w:hint="default"/>
      </w:rPr>
    </w:lvl>
    <w:lvl w:ilvl="4" w:tplc="080C0003">
      <w:start w:val="1"/>
      <w:numFmt w:val="bullet"/>
      <w:lvlText w:val="o"/>
      <w:lvlJc w:val="left"/>
      <w:pPr>
        <w:ind w:left="3592" w:hanging="360"/>
      </w:pPr>
      <w:rPr>
        <w:rFonts w:ascii="Courier New" w:hAnsi="Courier New" w:cs="Courier New" w:hint="default"/>
      </w:rPr>
    </w:lvl>
    <w:lvl w:ilvl="5" w:tplc="080C0005">
      <w:start w:val="1"/>
      <w:numFmt w:val="bullet"/>
      <w:lvlText w:val=""/>
      <w:lvlJc w:val="left"/>
      <w:pPr>
        <w:ind w:left="4312" w:hanging="360"/>
      </w:pPr>
      <w:rPr>
        <w:rFonts w:ascii="Wingdings" w:hAnsi="Wingdings" w:hint="default"/>
      </w:rPr>
    </w:lvl>
    <w:lvl w:ilvl="6" w:tplc="080C0001">
      <w:start w:val="1"/>
      <w:numFmt w:val="bullet"/>
      <w:lvlText w:val=""/>
      <w:lvlJc w:val="left"/>
      <w:pPr>
        <w:ind w:left="5032" w:hanging="360"/>
      </w:pPr>
      <w:rPr>
        <w:rFonts w:ascii="Symbol" w:hAnsi="Symbol" w:hint="default"/>
      </w:rPr>
    </w:lvl>
    <w:lvl w:ilvl="7" w:tplc="080C0003">
      <w:start w:val="1"/>
      <w:numFmt w:val="bullet"/>
      <w:lvlText w:val="o"/>
      <w:lvlJc w:val="left"/>
      <w:pPr>
        <w:ind w:left="5752" w:hanging="360"/>
      </w:pPr>
      <w:rPr>
        <w:rFonts w:ascii="Courier New" w:hAnsi="Courier New" w:cs="Courier New" w:hint="default"/>
      </w:rPr>
    </w:lvl>
    <w:lvl w:ilvl="8" w:tplc="080C0005">
      <w:start w:val="1"/>
      <w:numFmt w:val="bullet"/>
      <w:lvlText w:val=""/>
      <w:lvlJc w:val="left"/>
      <w:pPr>
        <w:ind w:left="6472" w:hanging="360"/>
      </w:pPr>
      <w:rPr>
        <w:rFonts w:ascii="Wingdings" w:hAnsi="Wingdings" w:hint="default"/>
      </w:rPr>
    </w:lvl>
  </w:abstractNum>
  <w:abstractNum w:abstractNumId="1" w15:restartNumberingAfterBreak="0">
    <w:nsid w:val="358434A5"/>
    <w:multiLevelType w:val="hybridMultilevel"/>
    <w:tmpl w:val="BDD2A55E"/>
    <w:lvl w:ilvl="0" w:tplc="080C0017">
      <w:start w:val="1"/>
      <w:numFmt w:val="lowerLetter"/>
      <w:lvlText w:val="%1)"/>
      <w:lvlJc w:val="left"/>
      <w:pPr>
        <w:ind w:left="360" w:hanging="360"/>
      </w:pPr>
    </w:lvl>
    <w:lvl w:ilvl="1" w:tplc="080C0019">
      <w:start w:val="1"/>
      <w:numFmt w:val="lowerLetter"/>
      <w:lvlText w:val="%2."/>
      <w:lvlJc w:val="left"/>
      <w:pPr>
        <w:ind w:left="1080" w:hanging="360"/>
      </w:pPr>
    </w:lvl>
    <w:lvl w:ilvl="2" w:tplc="080C001B">
      <w:start w:val="1"/>
      <w:numFmt w:val="lowerRoman"/>
      <w:lvlText w:val="%3."/>
      <w:lvlJc w:val="right"/>
      <w:pPr>
        <w:ind w:left="1800" w:hanging="180"/>
      </w:pPr>
    </w:lvl>
    <w:lvl w:ilvl="3" w:tplc="080C000F">
      <w:start w:val="1"/>
      <w:numFmt w:val="decimal"/>
      <w:lvlText w:val="%4."/>
      <w:lvlJc w:val="left"/>
      <w:pPr>
        <w:ind w:left="2520" w:hanging="360"/>
      </w:pPr>
    </w:lvl>
    <w:lvl w:ilvl="4" w:tplc="080C0019">
      <w:start w:val="1"/>
      <w:numFmt w:val="lowerLetter"/>
      <w:lvlText w:val="%5."/>
      <w:lvlJc w:val="left"/>
      <w:pPr>
        <w:ind w:left="3240" w:hanging="360"/>
      </w:pPr>
    </w:lvl>
    <w:lvl w:ilvl="5" w:tplc="080C001B">
      <w:start w:val="1"/>
      <w:numFmt w:val="lowerRoman"/>
      <w:lvlText w:val="%6."/>
      <w:lvlJc w:val="right"/>
      <w:pPr>
        <w:ind w:left="3960" w:hanging="180"/>
      </w:pPr>
    </w:lvl>
    <w:lvl w:ilvl="6" w:tplc="080C000F">
      <w:start w:val="1"/>
      <w:numFmt w:val="decimal"/>
      <w:lvlText w:val="%7."/>
      <w:lvlJc w:val="left"/>
      <w:pPr>
        <w:ind w:left="4680" w:hanging="360"/>
      </w:pPr>
    </w:lvl>
    <w:lvl w:ilvl="7" w:tplc="080C0019">
      <w:start w:val="1"/>
      <w:numFmt w:val="lowerLetter"/>
      <w:lvlText w:val="%8."/>
      <w:lvlJc w:val="left"/>
      <w:pPr>
        <w:ind w:left="5400" w:hanging="360"/>
      </w:pPr>
    </w:lvl>
    <w:lvl w:ilvl="8" w:tplc="080C001B">
      <w:start w:val="1"/>
      <w:numFmt w:val="lowerRoman"/>
      <w:lvlText w:val="%9."/>
      <w:lvlJc w:val="right"/>
      <w:pPr>
        <w:ind w:left="6120" w:hanging="180"/>
      </w:pPr>
    </w:lvl>
  </w:abstractNum>
  <w:abstractNum w:abstractNumId="2" w15:restartNumberingAfterBreak="0">
    <w:nsid w:val="35FC517B"/>
    <w:multiLevelType w:val="hybridMultilevel"/>
    <w:tmpl w:val="C5BE886A"/>
    <w:lvl w:ilvl="0" w:tplc="BB6A7E18">
      <w:start w:val="1"/>
      <w:numFmt w:val="decimal"/>
      <w:lvlText w:val="%1."/>
      <w:lvlJc w:val="left"/>
      <w:pPr>
        <w:ind w:left="560" w:hanging="360"/>
      </w:pPr>
    </w:lvl>
    <w:lvl w:ilvl="1" w:tplc="080C0019">
      <w:start w:val="1"/>
      <w:numFmt w:val="lowerLetter"/>
      <w:lvlText w:val="%2."/>
      <w:lvlJc w:val="left"/>
      <w:pPr>
        <w:ind w:left="1280" w:hanging="360"/>
      </w:pPr>
    </w:lvl>
    <w:lvl w:ilvl="2" w:tplc="080C001B">
      <w:start w:val="1"/>
      <w:numFmt w:val="lowerRoman"/>
      <w:lvlText w:val="%3."/>
      <w:lvlJc w:val="right"/>
      <w:pPr>
        <w:ind w:left="2000" w:hanging="180"/>
      </w:pPr>
    </w:lvl>
    <w:lvl w:ilvl="3" w:tplc="080C000F">
      <w:start w:val="1"/>
      <w:numFmt w:val="decimal"/>
      <w:lvlText w:val="%4."/>
      <w:lvlJc w:val="left"/>
      <w:pPr>
        <w:ind w:left="2720" w:hanging="360"/>
      </w:pPr>
    </w:lvl>
    <w:lvl w:ilvl="4" w:tplc="080C0019">
      <w:start w:val="1"/>
      <w:numFmt w:val="lowerLetter"/>
      <w:lvlText w:val="%5."/>
      <w:lvlJc w:val="left"/>
      <w:pPr>
        <w:ind w:left="3440" w:hanging="360"/>
      </w:pPr>
    </w:lvl>
    <w:lvl w:ilvl="5" w:tplc="080C001B">
      <w:start w:val="1"/>
      <w:numFmt w:val="lowerRoman"/>
      <w:lvlText w:val="%6."/>
      <w:lvlJc w:val="right"/>
      <w:pPr>
        <w:ind w:left="4160" w:hanging="180"/>
      </w:pPr>
    </w:lvl>
    <w:lvl w:ilvl="6" w:tplc="080C000F">
      <w:start w:val="1"/>
      <w:numFmt w:val="decimal"/>
      <w:lvlText w:val="%7."/>
      <w:lvlJc w:val="left"/>
      <w:pPr>
        <w:ind w:left="4880" w:hanging="360"/>
      </w:pPr>
    </w:lvl>
    <w:lvl w:ilvl="7" w:tplc="080C0019">
      <w:start w:val="1"/>
      <w:numFmt w:val="lowerLetter"/>
      <w:lvlText w:val="%8."/>
      <w:lvlJc w:val="left"/>
      <w:pPr>
        <w:ind w:left="5600" w:hanging="360"/>
      </w:pPr>
    </w:lvl>
    <w:lvl w:ilvl="8" w:tplc="080C001B">
      <w:start w:val="1"/>
      <w:numFmt w:val="lowerRoman"/>
      <w:lvlText w:val="%9."/>
      <w:lvlJc w:val="right"/>
      <w:pPr>
        <w:ind w:left="6320" w:hanging="180"/>
      </w:pPr>
    </w:lvl>
  </w:abstractNum>
  <w:abstractNum w:abstractNumId="3" w15:restartNumberingAfterBreak="0">
    <w:nsid w:val="4DB14E4F"/>
    <w:multiLevelType w:val="hybridMultilevel"/>
    <w:tmpl w:val="BDD2A55E"/>
    <w:lvl w:ilvl="0" w:tplc="080C0017">
      <w:start w:val="1"/>
      <w:numFmt w:val="lowerLetter"/>
      <w:lvlText w:val="%1)"/>
      <w:lvlJc w:val="left"/>
      <w:pPr>
        <w:ind w:left="360" w:hanging="360"/>
      </w:pPr>
    </w:lvl>
    <w:lvl w:ilvl="1" w:tplc="080C0019">
      <w:start w:val="1"/>
      <w:numFmt w:val="lowerLetter"/>
      <w:lvlText w:val="%2."/>
      <w:lvlJc w:val="left"/>
      <w:pPr>
        <w:ind w:left="1080" w:hanging="360"/>
      </w:pPr>
    </w:lvl>
    <w:lvl w:ilvl="2" w:tplc="080C001B">
      <w:start w:val="1"/>
      <w:numFmt w:val="lowerRoman"/>
      <w:lvlText w:val="%3."/>
      <w:lvlJc w:val="right"/>
      <w:pPr>
        <w:ind w:left="1800" w:hanging="180"/>
      </w:pPr>
    </w:lvl>
    <w:lvl w:ilvl="3" w:tplc="080C000F">
      <w:start w:val="1"/>
      <w:numFmt w:val="decimal"/>
      <w:lvlText w:val="%4."/>
      <w:lvlJc w:val="left"/>
      <w:pPr>
        <w:ind w:left="2520" w:hanging="360"/>
      </w:pPr>
    </w:lvl>
    <w:lvl w:ilvl="4" w:tplc="080C0019">
      <w:start w:val="1"/>
      <w:numFmt w:val="lowerLetter"/>
      <w:lvlText w:val="%5."/>
      <w:lvlJc w:val="left"/>
      <w:pPr>
        <w:ind w:left="3240" w:hanging="360"/>
      </w:pPr>
    </w:lvl>
    <w:lvl w:ilvl="5" w:tplc="080C001B">
      <w:start w:val="1"/>
      <w:numFmt w:val="lowerRoman"/>
      <w:lvlText w:val="%6."/>
      <w:lvlJc w:val="right"/>
      <w:pPr>
        <w:ind w:left="3960" w:hanging="180"/>
      </w:pPr>
    </w:lvl>
    <w:lvl w:ilvl="6" w:tplc="080C000F">
      <w:start w:val="1"/>
      <w:numFmt w:val="decimal"/>
      <w:lvlText w:val="%7."/>
      <w:lvlJc w:val="left"/>
      <w:pPr>
        <w:ind w:left="4680" w:hanging="360"/>
      </w:pPr>
    </w:lvl>
    <w:lvl w:ilvl="7" w:tplc="080C0019">
      <w:start w:val="1"/>
      <w:numFmt w:val="lowerLetter"/>
      <w:lvlText w:val="%8."/>
      <w:lvlJc w:val="left"/>
      <w:pPr>
        <w:ind w:left="5400" w:hanging="360"/>
      </w:pPr>
    </w:lvl>
    <w:lvl w:ilvl="8" w:tplc="080C001B">
      <w:start w:val="1"/>
      <w:numFmt w:val="lowerRoman"/>
      <w:lvlText w:val="%9."/>
      <w:lvlJc w:val="right"/>
      <w:pPr>
        <w:ind w:left="6120" w:hanging="180"/>
      </w:pPr>
    </w:lvl>
  </w:abstractNum>
  <w:abstractNum w:abstractNumId="4" w15:restartNumberingAfterBreak="0">
    <w:nsid w:val="539B2EF4"/>
    <w:multiLevelType w:val="hybridMultilevel"/>
    <w:tmpl w:val="BDD2A55E"/>
    <w:lvl w:ilvl="0" w:tplc="080C0017">
      <w:start w:val="1"/>
      <w:numFmt w:val="lowerLetter"/>
      <w:lvlText w:val="%1)"/>
      <w:lvlJc w:val="left"/>
      <w:pPr>
        <w:ind w:left="360" w:hanging="360"/>
      </w:pPr>
    </w:lvl>
    <w:lvl w:ilvl="1" w:tplc="080C0019">
      <w:start w:val="1"/>
      <w:numFmt w:val="lowerLetter"/>
      <w:lvlText w:val="%2."/>
      <w:lvlJc w:val="left"/>
      <w:pPr>
        <w:ind w:left="1080" w:hanging="360"/>
      </w:pPr>
    </w:lvl>
    <w:lvl w:ilvl="2" w:tplc="080C001B">
      <w:start w:val="1"/>
      <w:numFmt w:val="lowerRoman"/>
      <w:lvlText w:val="%3."/>
      <w:lvlJc w:val="right"/>
      <w:pPr>
        <w:ind w:left="1800" w:hanging="180"/>
      </w:pPr>
    </w:lvl>
    <w:lvl w:ilvl="3" w:tplc="080C000F">
      <w:start w:val="1"/>
      <w:numFmt w:val="decimal"/>
      <w:lvlText w:val="%4."/>
      <w:lvlJc w:val="left"/>
      <w:pPr>
        <w:ind w:left="2520" w:hanging="360"/>
      </w:pPr>
    </w:lvl>
    <w:lvl w:ilvl="4" w:tplc="080C0019">
      <w:start w:val="1"/>
      <w:numFmt w:val="lowerLetter"/>
      <w:lvlText w:val="%5."/>
      <w:lvlJc w:val="left"/>
      <w:pPr>
        <w:ind w:left="3240" w:hanging="360"/>
      </w:pPr>
    </w:lvl>
    <w:lvl w:ilvl="5" w:tplc="080C001B">
      <w:start w:val="1"/>
      <w:numFmt w:val="lowerRoman"/>
      <w:lvlText w:val="%6."/>
      <w:lvlJc w:val="right"/>
      <w:pPr>
        <w:ind w:left="3960" w:hanging="180"/>
      </w:pPr>
    </w:lvl>
    <w:lvl w:ilvl="6" w:tplc="080C000F">
      <w:start w:val="1"/>
      <w:numFmt w:val="decimal"/>
      <w:lvlText w:val="%7."/>
      <w:lvlJc w:val="left"/>
      <w:pPr>
        <w:ind w:left="4680" w:hanging="360"/>
      </w:pPr>
    </w:lvl>
    <w:lvl w:ilvl="7" w:tplc="080C0019">
      <w:start w:val="1"/>
      <w:numFmt w:val="lowerLetter"/>
      <w:lvlText w:val="%8."/>
      <w:lvlJc w:val="left"/>
      <w:pPr>
        <w:ind w:left="5400" w:hanging="360"/>
      </w:pPr>
    </w:lvl>
    <w:lvl w:ilvl="8" w:tplc="080C001B">
      <w:start w:val="1"/>
      <w:numFmt w:val="lowerRoman"/>
      <w:lvlText w:val="%9."/>
      <w:lvlJc w:val="right"/>
      <w:pPr>
        <w:ind w:left="6120" w:hanging="180"/>
      </w:pPr>
    </w:lvl>
  </w:abstractNum>
  <w:num w:numId="1" w16cid:durableId="1961630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740342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46330790">
    <w:abstractNumId w:val="0"/>
  </w:num>
  <w:num w:numId="4" w16cid:durableId="16636991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62919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667"/>
    <w:rsid w:val="003D1F7F"/>
    <w:rsid w:val="00404725"/>
    <w:rsid w:val="00457E53"/>
    <w:rsid w:val="00873667"/>
    <w:rsid w:val="00AC2FE0"/>
    <w:rsid w:val="00C4092C"/>
    <w:rsid w:val="00DA344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E94F7"/>
  <w15:chartTrackingRefBased/>
  <w15:docId w15:val="{36913070-18DD-44A6-BEE9-0B7FBDBFE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667"/>
    <w:pPr>
      <w:widowControl w:val="0"/>
      <w:suppressAutoHyphens/>
      <w:autoSpaceDN w:val="0"/>
      <w:spacing w:after="200" w:line="276" w:lineRule="auto"/>
    </w:pPr>
    <w:rPr>
      <w:rFonts w:ascii="Calibri" w:eastAsia="SimSun" w:hAnsi="Calibri" w:cs="Calibri"/>
      <w:kern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uiPriority w:val="34"/>
    <w:locked/>
    <w:rsid w:val="00873667"/>
    <w:rPr>
      <w:rFonts w:ascii="Calibri" w:eastAsia="SimSun" w:hAnsi="Calibri" w:cs="Calibri"/>
      <w:kern w:val="3"/>
    </w:rPr>
  </w:style>
  <w:style w:type="paragraph" w:styleId="ListParagraph">
    <w:name w:val="List Paragraph"/>
    <w:basedOn w:val="Normal"/>
    <w:link w:val="ListParagraphChar"/>
    <w:uiPriority w:val="34"/>
    <w:qFormat/>
    <w:rsid w:val="00873667"/>
    <w:pPr>
      <w:ind w:left="720"/>
      <w:contextualSpacing/>
    </w:pPr>
  </w:style>
  <w:style w:type="paragraph" w:customStyle="1" w:styleId="Textbody">
    <w:name w:val="Text body"/>
    <w:basedOn w:val="Normal"/>
    <w:rsid w:val="00873667"/>
    <w:pPr>
      <w:widowControl/>
      <w:spacing w:after="120" w:line="200" w:lineRule="exact"/>
    </w:pPr>
    <w:rPr>
      <w:rFonts w:ascii="Times New Roman" w:eastAsia="Times New Roman" w:hAnsi="Times New Roman" w:cs="Times New Roman"/>
      <w:sz w:val="18"/>
      <w:szCs w:val="24"/>
      <w:lang w:eastAsia="ar-SA"/>
    </w:rPr>
  </w:style>
  <w:style w:type="table" w:styleId="TableGrid">
    <w:name w:val="Table Grid"/>
    <w:basedOn w:val="TableNormal"/>
    <w:uiPriority w:val="59"/>
    <w:rsid w:val="0087366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73667"/>
    <w:pPr>
      <w:widowControl/>
      <w:suppressAutoHyphens w:val="0"/>
      <w:autoSpaceDN/>
      <w:spacing w:before="100" w:beforeAutospacing="1" w:after="100" w:afterAutospacing="1" w:line="240" w:lineRule="auto"/>
    </w:pPr>
    <w:rPr>
      <w:rFonts w:ascii="Times New Roman" w:eastAsia="Times New Roman" w:hAnsi="Times New Roman" w:cs="Times New Roman"/>
      <w:kern w:val="0"/>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1978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3878</Words>
  <Characters>22107</Characters>
  <Application>Microsoft Office Word</Application>
  <DocSecurity>0</DocSecurity>
  <Lines>184</Lines>
  <Paragraphs>51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CHEIKH Naim</dc:creator>
  <cp:keywords/>
  <dc:description/>
  <cp:lastModifiedBy>Liana Brili</cp:lastModifiedBy>
  <cp:revision>5</cp:revision>
  <dcterms:created xsi:type="dcterms:W3CDTF">2022-10-04T13:25:00Z</dcterms:created>
  <dcterms:modified xsi:type="dcterms:W3CDTF">2022-10-12T11:00:00Z</dcterms:modified>
</cp:coreProperties>
</file>