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rFonts w:ascii="Calibri" w:hAnsi="Calibri"/>
                <w:b/>
                <w:bCs/>
                <w:sz w:val="20"/>
                <w:szCs w:val="20"/>
              </w:rPr>
            </w:pPr>
            <w:r>
              <w:rPr>
                <w:rFonts w:ascii="Calibri" w:hAnsi="Calibri"/>
                <w:b/>
                <w:sz w:val="20"/>
              </w:rPr>
              <w:t>PROGETTO PRELIMINARE DI DECRETO RECANTE MODIFICA DEL DECRETO DEL 1° MARZO 2007 SULLA TUTELA DELL'AMBIENTE CONTRO I POTENZIALI EFFETTI NOCIVI E NEGATIVI CAUSATI DALLE RADIAZIONI NON IONIZZANTI, DEL DECRETO DEL 5 GIUGNO 1997 RELATIVO ALLE AUTORIZZAZIONI AMBIENTALI E</w:t>
            </w:r>
            <w:r>
              <w:rPr>
                <w:rFonts w:ascii="Calibri" w:hAnsi="Calibri"/>
                <w:sz w:val="22"/>
              </w:rPr>
              <w:t xml:space="preserve"> </w:t>
            </w:r>
            <w:r>
              <w:rPr>
                <w:rFonts w:ascii="Calibri" w:hAnsi="Calibri"/>
                <w:b/>
                <w:sz w:val="20"/>
              </w:rPr>
              <w:t>DEL DECRETO DEL 2 MAGGIO 2013 SUL CODICE DI BRUXELLES IN MATERIA DI GESTIONE DELL'ARIA, DEL CLIMA E DELL'ENERGIA</w:t>
            </w:r>
          </w:p>
          <w:p w14:paraId="38F78F38" w14:textId="77777777" w:rsidR="00873667" w:rsidRPr="00003EC3" w:rsidRDefault="00873667">
            <w:pPr>
              <w:pStyle w:val="Textbody"/>
              <w:spacing w:after="0" w:line="276" w:lineRule="auto"/>
              <w:jc w:val="both"/>
              <w:rPr>
                <w:rFonts w:ascii="Calibri" w:hAnsi="Calibri"/>
                <w:b/>
                <w:bCs/>
                <w:sz w:val="20"/>
                <w:szCs w:val="20"/>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Il governo della regione di Bruxelles-Capitale,</w:t>
            </w:r>
          </w:p>
          <w:p w14:paraId="6A372BBA" w14:textId="77777777" w:rsidR="00873667" w:rsidRPr="00003EC3" w:rsidRDefault="00873667">
            <w:pPr>
              <w:spacing w:after="0" w:line="240" w:lineRule="auto"/>
              <w:jc w:val="both"/>
              <w:rPr>
                <w:rFonts w:asciiTheme="minorHAnsi" w:hAnsiTheme="minorHAnsi"/>
                <w:color w:val="000000" w:themeColor="text1"/>
                <w:sz w:val="20"/>
                <w:szCs w:val="20"/>
              </w:rPr>
            </w:pPr>
          </w:p>
          <w:p w14:paraId="61958105"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vista la relazione di valutazione, denominata "prova delle pari opportunità", prevista dall'articolo 2, paragrafo 1, del decreto del 4 ottobre 2018 relativo all'introduzione della prova delle pari opportunità nelle linee politiche della regione di Bruxelles-Capitale, e dall'articolo 1 del decreto del governo della regione di Bruxelles-Capitale del 22 novembre 2018 recante attuazione di suddetto decreto; </w:t>
            </w:r>
          </w:p>
          <w:p w14:paraId="3F837FB9" w14:textId="77777777" w:rsidR="00873667" w:rsidRPr="00003EC3" w:rsidRDefault="00873667">
            <w:pPr>
              <w:spacing w:after="0" w:line="240" w:lineRule="auto"/>
              <w:jc w:val="both"/>
              <w:rPr>
                <w:rFonts w:asciiTheme="minorHAnsi" w:hAnsiTheme="minorHAnsi"/>
                <w:color w:val="000000" w:themeColor="text1"/>
                <w:sz w:val="20"/>
                <w:szCs w:val="20"/>
              </w:rPr>
            </w:pPr>
          </w:p>
          <w:p w14:paraId="32C7AD0E"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vista la direttiva (UE) 2018/1972 del Parlamento europeo e del Consiglio, dell'11 dicembre 2018, che istituisce il codice europeo delle comunicazioni elettroniche, in particolare l'articolo 57, paragrafo 5;</w:t>
            </w:r>
          </w:p>
          <w:p w14:paraId="3146CB8D" w14:textId="77777777" w:rsidR="00873667" w:rsidRPr="00003EC3" w:rsidRDefault="00873667">
            <w:pPr>
              <w:spacing w:after="0" w:line="240" w:lineRule="auto"/>
              <w:jc w:val="both"/>
              <w:rPr>
                <w:rFonts w:asciiTheme="minorHAnsi" w:hAnsiTheme="minorHAnsi"/>
                <w:color w:val="000000" w:themeColor="text1"/>
                <w:sz w:val="20"/>
                <w:szCs w:val="20"/>
              </w:rPr>
            </w:pPr>
          </w:p>
          <w:p w14:paraId="03FBB56C" w14:textId="77777777" w:rsidR="00873667" w:rsidRPr="00003EC3" w:rsidRDefault="00873667">
            <w:pPr>
              <w:spacing w:after="0" w:line="240" w:lineRule="auto"/>
              <w:jc w:val="both"/>
              <w:rPr>
                <w:rFonts w:asciiTheme="minorHAnsi" w:hAnsiTheme="minorHAnsi"/>
                <w:color w:val="000000" w:themeColor="text1"/>
                <w:sz w:val="20"/>
                <w:szCs w:val="20"/>
              </w:rPr>
            </w:pPr>
          </w:p>
          <w:p w14:paraId="6A6B918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visto il decreto del 1° marzo 2007 sulla tutela dell'ambiente contro i potenziali effetti nocivi e negativi causati dalle radiazioni non ionizzanti, come modificato dai decreti del 3 aprile 2014, dell'8 maggio 2014 e del 27 giugno 2016;</w:t>
            </w:r>
          </w:p>
          <w:p w14:paraId="3BB9CE37" w14:textId="77777777" w:rsidR="00873667" w:rsidRPr="00003EC3" w:rsidRDefault="00873667">
            <w:pPr>
              <w:spacing w:after="0" w:line="240" w:lineRule="auto"/>
              <w:jc w:val="both"/>
              <w:rPr>
                <w:rFonts w:asciiTheme="minorHAnsi" w:hAnsiTheme="minorHAnsi"/>
                <w:color w:val="000000" w:themeColor="text1"/>
                <w:sz w:val="20"/>
                <w:szCs w:val="20"/>
              </w:rPr>
            </w:pPr>
          </w:p>
          <w:p w14:paraId="6228F157"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visto il parere di Brupartners, espresso il 18 novembre 2021; </w:t>
            </w:r>
          </w:p>
          <w:p w14:paraId="57BF7CE2" w14:textId="77777777" w:rsidR="00873667" w:rsidRPr="00003EC3" w:rsidRDefault="00873667">
            <w:pPr>
              <w:spacing w:after="0" w:line="240" w:lineRule="auto"/>
              <w:jc w:val="both"/>
              <w:rPr>
                <w:rFonts w:asciiTheme="minorHAnsi" w:hAnsiTheme="minorHAnsi"/>
                <w:color w:val="000000" w:themeColor="text1"/>
                <w:sz w:val="20"/>
                <w:szCs w:val="20"/>
              </w:rPr>
            </w:pPr>
          </w:p>
          <w:p w14:paraId="6826C19E" w14:textId="77777777" w:rsidR="00873667" w:rsidRPr="00003EC3" w:rsidRDefault="00873667">
            <w:pPr>
              <w:spacing w:after="0" w:line="240" w:lineRule="auto"/>
              <w:jc w:val="both"/>
              <w:rPr>
                <w:rFonts w:asciiTheme="minorHAnsi" w:hAnsiTheme="minorHAnsi"/>
                <w:color w:val="000000" w:themeColor="text1"/>
                <w:sz w:val="20"/>
                <w:szCs w:val="20"/>
              </w:rPr>
            </w:pPr>
          </w:p>
          <w:p w14:paraId="31DEAA3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visto il parere del Consiglio per l'ambiente, espresso il 25 novembre 2021;</w:t>
            </w:r>
          </w:p>
          <w:p w14:paraId="46357F7C" w14:textId="77777777" w:rsidR="00873667" w:rsidRPr="00003EC3" w:rsidRDefault="00873667">
            <w:pPr>
              <w:spacing w:after="0" w:line="240" w:lineRule="auto"/>
              <w:jc w:val="both"/>
              <w:rPr>
                <w:rFonts w:asciiTheme="minorHAnsi" w:hAnsiTheme="minorHAnsi"/>
                <w:color w:val="000000" w:themeColor="text1"/>
                <w:sz w:val="20"/>
                <w:szCs w:val="20"/>
              </w:rPr>
            </w:pPr>
          </w:p>
          <w:p w14:paraId="0D68A10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visto il parere del comitato di esperti sulle radiazioni non ionizzanti, espresso il 4 febbraio 2022; </w:t>
            </w:r>
          </w:p>
          <w:p w14:paraId="01F62904" w14:textId="77777777" w:rsidR="00873667" w:rsidRPr="00003EC3" w:rsidRDefault="00873667">
            <w:pPr>
              <w:spacing w:after="0" w:line="240" w:lineRule="auto"/>
              <w:jc w:val="both"/>
              <w:rPr>
                <w:rFonts w:asciiTheme="minorHAnsi" w:hAnsiTheme="minorHAnsi"/>
                <w:color w:val="000000" w:themeColor="text1"/>
                <w:sz w:val="20"/>
                <w:szCs w:val="20"/>
              </w:rPr>
            </w:pPr>
          </w:p>
          <w:p w14:paraId="5B903D04"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viste le raccomandazioni del comitato deliberativo competente a formulare raccomandazioni sull'attuazione del 5G nella regione di Bruxelles-Capitale, tenendo conto degli aspetti ambientali, sanitari, economici, occupazionali e tecnologici, del 5 giugno 2021;</w:t>
            </w:r>
          </w:p>
          <w:p w14:paraId="4781B5FF" w14:textId="77777777" w:rsidR="00873667" w:rsidRPr="00003EC3" w:rsidRDefault="00873667">
            <w:pPr>
              <w:spacing w:after="0" w:line="240" w:lineRule="auto"/>
              <w:jc w:val="both"/>
              <w:rPr>
                <w:rFonts w:asciiTheme="minorHAnsi" w:hAnsiTheme="minorHAnsi"/>
                <w:color w:val="000000" w:themeColor="text1"/>
                <w:sz w:val="20"/>
                <w:szCs w:val="20"/>
              </w:rPr>
            </w:pPr>
          </w:p>
          <w:p w14:paraId="562FC59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vista la valutazione ambientale effettuata conformemente alle disposizioni del decreto del 18 marzo 2004 relativo alla valutazione degli effetti di determinati piani e programmi sull'ambiente; </w:t>
            </w:r>
          </w:p>
          <w:p w14:paraId="01BAFB8F" w14:textId="77777777" w:rsidR="00873667" w:rsidRPr="00003EC3" w:rsidRDefault="00873667">
            <w:pPr>
              <w:spacing w:after="0" w:line="240" w:lineRule="auto"/>
              <w:jc w:val="both"/>
              <w:rPr>
                <w:rFonts w:asciiTheme="minorHAnsi" w:hAnsiTheme="minorHAnsi"/>
                <w:color w:val="000000" w:themeColor="text1"/>
                <w:sz w:val="20"/>
                <w:szCs w:val="20"/>
              </w:rPr>
            </w:pPr>
          </w:p>
          <w:p w14:paraId="7D51530B"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viste le leggi sul Consiglio di Stato, coordinate il 12 gennaio 1973, in particolare l'articolo 3, paragrafi 1 e 2;</w:t>
            </w:r>
          </w:p>
          <w:p w14:paraId="33EBD2BF" w14:textId="77777777" w:rsidR="00873667" w:rsidRPr="00003EC3" w:rsidRDefault="00873667">
            <w:pPr>
              <w:spacing w:after="0" w:line="240" w:lineRule="auto"/>
              <w:jc w:val="both"/>
              <w:rPr>
                <w:rFonts w:asciiTheme="minorHAnsi" w:hAnsiTheme="minorHAnsi"/>
                <w:color w:val="000000" w:themeColor="text1"/>
                <w:sz w:val="20"/>
                <w:szCs w:val="20"/>
              </w:rPr>
            </w:pPr>
          </w:p>
          <w:p w14:paraId="7900BCA1"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visto il parere n. [*] del Consiglio di Stato, espresso il [*];</w:t>
            </w:r>
          </w:p>
          <w:p w14:paraId="2C516520" w14:textId="77777777" w:rsidR="00873667" w:rsidRPr="00003EC3" w:rsidRDefault="00873667">
            <w:pPr>
              <w:spacing w:after="0" w:line="240" w:lineRule="auto"/>
              <w:jc w:val="both"/>
              <w:rPr>
                <w:rFonts w:asciiTheme="minorHAnsi" w:hAnsiTheme="minorHAnsi"/>
                <w:color w:val="000000" w:themeColor="text1"/>
                <w:sz w:val="20"/>
                <w:szCs w:val="20"/>
              </w:rPr>
            </w:pPr>
          </w:p>
          <w:p w14:paraId="49A1412F"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considerando che il parere del comitato per la tutela della vita privata non è richiesto in quanto il regolamento (UE) 2016/679 del Parlamento europeo e del Consiglio, del 27 aprile 2016, relativo alla protezione delle persone fisiche con riguardo al trattamento dei dati personali, nonché alla libera circolazione di tali dati, si applica solo ai dati personali delle persone fisiche e non a quelli delle persone giuridiche; considerando che il presente testo riguarda solo le persone giuridiche (operatori) senza incidere sui dati personali delle persone fisiche; </w:t>
            </w:r>
          </w:p>
          <w:p w14:paraId="4A4E89A1" w14:textId="77777777" w:rsidR="00873667" w:rsidRPr="00003EC3" w:rsidRDefault="00873667">
            <w:pPr>
              <w:spacing w:after="0" w:line="240" w:lineRule="auto"/>
              <w:jc w:val="both"/>
              <w:rPr>
                <w:rFonts w:asciiTheme="minorHAnsi" w:hAnsiTheme="minorHAnsi"/>
                <w:color w:val="000000" w:themeColor="text1"/>
                <w:sz w:val="20"/>
                <w:szCs w:val="20"/>
              </w:rPr>
            </w:pPr>
          </w:p>
          <w:p w14:paraId="4202D25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su proposta del ministro-presidente e del ministro dell'Ambiente,</w:t>
            </w:r>
          </w:p>
          <w:p w14:paraId="014CEA58" w14:textId="77777777" w:rsidR="00873667" w:rsidRPr="00003EC3" w:rsidRDefault="00873667">
            <w:pPr>
              <w:spacing w:after="0" w:line="240" w:lineRule="auto"/>
              <w:jc w:val="both"/>
              <w:rPr>
                <w:rFonts w:asciiTheme="minorHAnsi" w:hAnsiTheme="minorHAnsi"/>
                <w:color w:val="000000" w:themeColor="text1"/>
                <w:sz w:val="20"/>
                <w:szCs w:val="20"/>
              </w:rPr>
            </w:pPr>
          </w:p>
          <w:p w14:paraId="7EC6DA0D"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in seguito a delibere,</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rFonts w:asciiTheme="minorHAnsi" w:hAnsiTheme="minorHAnsi"/>
                <w:b/>
                <w:color w:val="000000" w:themeColor="text1"/>
                <w:sz w:val="20"/>
                <w:szCs w:val="20"/>
              </w:rPr>
            </w:pPr>
            <w:r>
              <w:rPr>
                <w:rFonts w:asciiTheme="minorHAnsi" w:hAnsiTheme="minorHAnsi"/>
                <w:b/>
                <w:color w:val="000000" w:themeColor="text1"/>
                <w:sz w:val="20"/>
              </w:rPr>
              <w:t>decreta quanto segue</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Il ministro dell'Ambiente ha il compito di presentare al Parlamento il seguente progetto di decreto: </w:t>
            </w:r>
          </w:p>
          <w:p w14:paraId="20AE67A3" w14:textId="77777777" w:rsidR="00873667" w:rsidRPr="00003EC3" w:rsidRDefault="00873667">
            <w:pPr>
              <w:spacing w:after="0" w:line="240" w:lineRule="auto"/>
              <w:jc w:val="both"/>
              <w:rPr>
                <w:bCs/>
                <w:sz w:val="20"/>
                <w:szCs w:val="20"/>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rFonts w:asciiTheme="minorHAnsi" w:hAnsiTheme="minorHAnsi"/>
                <w:b/>
                <w:bCs/>
                <w:color w:val="000000" w:themeColor="text1"/>
                <w:sz w:val="20"/>
                <w:szCs w:val="20"/>
              </w:rPr>
            </w:pPr>
            <w:r>
              <w:rPr>
                <w:rFonts w:asciiTheme="minorHAnsi" w:hAnsiTheme="minorHAnsi"/>
                <w:b/>
                <w:color w:val="000000" w:themeColor="text1"/>
                <w:sz w:val="20"/>
              </w:rPr>
              <w:t>Capitolo 1. Disposizioni introduttive</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rFonts w:asciiTheme="minorHAnsi" w:hAnsiTheme="minorHAnsi"/>
                <w:b/>
                <w:color w:val="000000" w:themeColor="text1"/>
                <w:sz w:val="20"/>
                <w:szCs w:val="20"/>
              </w:rPr>
            </w:pPr>
            <w:r>
              <w:rPr>
                <w:rFonts w:asciiTheme="minorHAnsi" w:hAnsiTheme="minorHAnsi"/>
                <w:b/>
                <w:color w:val="000000" w:themeColor="text1"/>
                <w:sz w:val="20"/>
              </w:rPr>
              <w:t>Articolo 1.</w:t>
            </w:r>
          </w:p>
          <w:p w14:paraId="7E06BF8C"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Il presente decreto disciplina una questione menzionata all'articolo 39 della Costituzione. </w:t>
            </w:r>
          </w:p>
          <w:p w14:paraId="63EF4B7A" w14:textId="77777777" w:rsidR="00873667" w:rsidRPr="00003EC3" w:rsidRDefault="00873667">
            <w:pPr>
              <w:spacing w:after="0" w:line="240" w:lineRule="auto"/>
              <w:jc w:val="both"/>
              <w:rPr>
                <w:rFonts w:asciiTheme="minorHAnsi" w:hAnsiTheme="minorHAnsi"/>
                <w:sz w:val="20"/>
                <w:szCs w:val="20"/>
              </w:rPr>
            </w:pPr>
          </w:p>
          <w:p w14:paraId="6E2F7DA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lastRenderedPageBreak/>
              <w:t>Il presente decreto recepisce</w:t>
            </w:r>
            <w:r>
              <w:t xml:space="preserve"> </w:t>
            </w:r>
            <w:r>
              <w:rPr>
                <w:rFonts w:asciiTheme="minorHAnsi" w:hAnsiTheme="minorHAnsi"/>
                <w:sz w:val="20"/>
              </w:rPr>
              <w:t>parzialmente la direttiva (UE) 2018/1972 del Parlamento europeo e del Consiglio, dell'11 dicembre 2018, che istituisce il codice europeo delle comunicazioni elettroniche.</w:t>
            </w:r>
          </w:p>
          <w:p w14:paraId="2EF3826D" w14:textId="77777777" w:rsidR="00873667" w:rsidRPr="00003EC3" w:rsidRDefault="00873667">
            <w:pPr>
              <w:spacing w:after="0" w:line="240" w:lineRule="auto"/>
              <w:jc w:val="both"/>
              <w:rPr>
                <w:bCs/>
                <w:sz w:val="20"/>
                <w:szCs w:val="20"/>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Capitolo 2. Modifiche del decreto del 1° marzo 2007 sulla tutela dell'ambiente contro i potenziali effetti nocivi e negativi causati dalle radiazioni non ionizzanti</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Articolo 2.</w:t>
            </w:r>
          </w:p>
          <w:p w14:paraId="53C0BEA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All'articolo 2 del decreto del 1° marzo 2007 sulla tutela dell'ambiente contro i potenziali effetti nocivi e negativi causati dalle radiazioni non ionizzanti, come modificato dal decreto del 3 aprile 2014 e parzialmente annullato con sentenza n. 12/2016 della Corte costituzionale, sono apportate le seguenti modifiche:</w:t>
            </w:r>
          </w:p>
          <w:p w14:paraId="2460015D" w14:textId="77777777" w:rsidR="00873667" w:rsidRPr="00003EC3" w:rsidRDefault="00873667">
            <w:pPr>
              <w:spacing w:after="0" w:line="240" w:lineRule="auto"/>
              <w:jc w:val="both"/>
              <w:rPr>
                <w:rFonts w:asciiTheme="minorHAnsi" w:hAnsiTheme="minorHAnsi"/>
                <w:sz w:val="20"/>
                <w:szCs w:val="20"/>
              </w:rPr>
            </w:pPr>
          </w:p>
          <w:p w14:paraId="122112B2"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al paragrafo 1, il punto 2 è sostituito dal seguente: </w:t>
            </w:r>
          </w:p>
          <w:p w14:paraId="19D6FC33"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"aree accessibili al pubblico all'interno": locali in un edificio che le persone possono frequentare regolarmente, in particolare alloggi, alberghi, scuole, asili nido, ospedali, residenze per anziani ed edifici dedicati alla pratica regolare dello sport o dei giochi;</w:t>
            </w:r>
          </w:p>
          <w:p w14:paraId="6795F99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bis. "aree accessibili al pubblico all'aperto": luoghi esterni o connessi accessibili al pubblico, in particolare giardini, cortili interni, aree parco, parchi giochi e balconi, terrazze coperte e scoperte di edifici, garage, capanni, giardini d'inverno, serre e altre verande simili;";</w:t>
            </w:r>
          </w:p>
          <w:p w14:paraId="7F94A6C9" w14:textId="77777777" w:rsidR="00873667" w:rsidRPr="00003EC3" w:rsidRDefault="00873667">
            <w:pPr>
              <w:spacing w:after="0" w:line="240" w:lineRule="auto"/>
              <w:jc w:val="both"/>
              <w:rPr>
                <w:rFonts w:asciiTheme="minorHAnsi" w:hAnsiTheme="minorHAnsi"/>
                <w:sz w:val="20"/>
                <w:szCs w:val="20"/>
              </w:rPr>
            </w:pPr>
          </w:p>
          <w:p w14:paraId="04CF6F2D"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al paragrafo 1, punto 4, lettera c), il punto finale è sostituito da un punto e virgola;</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al paragrafo 1 sono aggiunti i punti 5, 6, 7, 8, 9 e 10, che recitano come segue: </w:t>
            </w:r>
          </w:p>
          <w:p w14:paraId="719074E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"5. "antenna": sistema di emissione progettato per emettere un segnale di radiotelecomunicazione mediante onde elettromagnetiche;</w:t>
            </w:r>
          </w:p>
          <w:p w14:paraId="4DE0990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6. "operatore": qualsiasi persona giuridica che detiene il diritto di emissione, nonché società collegate o associate ai sensi del Codice delle società, e più in generale, qualsiasi persona che gestisce un'antenna, escluse le emittenti;</w:t>
            </w:r>
          </w:p>
          <w:p w14:paraId="3C5B91D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7. "emittente": operatore di rete di cui all'articolo 1.3-1, punto 33, del decreto della Comunità francese del 4 febbraio 2021 relativo ai servizi di media audiovisivi e ai servizi di condivisione di video o all'articolo 2, punto 22, del decreto fiammingo del 27 marzo 2009 sulla radiodiffusione e la televisione;</w:t>
            </w:r>
          </w:p>
          <w:p w14:paraId="1FF7897A"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8. "situazione di emergenza": qualsiasi evento straordinario che causi o possa provocare conseguenze dannose per la vita sociale, quali un grave disturbo della sicurezza pubblica, una grave minaccia per la vita o la salute delle persone e/o importanti interessi materiali, e che richiede il coordinamento degli attori competenti, anche dal punto di vista normativo, al fine di eliminare la minaccia o limitare le conseguenze negative dell'evento;</w:t>
            </w:r>
          </w:p>
          <w:p w14:paraId="7661DE0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9. " OMC (operation and maintenance center - centro di gestione e manutenzione)": un elemento tecnico di base di una rete, predisposto per garantirne la gestione e comprendente, in particolare, la riflessione delle configurazioni utilizzate sulla rete, sui contatori e sulle statistiche;</w:t>
            </w:r>
          </w:p>
          <w:p w14:paraId="238F3159" w14:textId="77777777" w:rsidR="00873667" w:rsidRPr="00003EC3" w:rsidRDefault="00873667">
            <w:pPr>
              <w:spacing w:after="0" w:line="240" w:lineRule="auto"/>
              <w:ind w:left="352"/>
              <w:jc w:val="both"/>
              <w:rPr>
                <w:rFonts w:asciiTheme="minorHAnsi" w:hAnsiTheme="minorHAnsi"/>
                <w:sz w:val="20"/>
                <w:szCs w:val="20"/>
              </w:rPr>
            </w:pPr>
          </w:p>
          <w:p w14:paraId="4764DA67" w14:textId="768F3E3C"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10. "Banca dati Urbis-Adm 3D": una banca dati contenente informazioni di valore unico e originale per la regione di Bruxelles-Capitale e che fornisce garanzie specifiche in merito all'accuratezza, completezza e disponibilità delle informazioni, di cui all'allegato dell'accordo di cooperazione del 18 aprile 2014</w:t>
            </w:r>
            <w:r>
              <w:t xml:space="preserve"> </w:t>
            </w:r>
            <w:r>
              <w:rPr>
                <w:rFonts w:asciiTheme="minorHAnsi" w:hAnsiTheme="minorHAnsi"/>
                <w:sz w:val="20"/>
              </w:rPr>
              <w:t>tra lo Stato federale, la regione fiamminga, la regione vallonese e la regione di Bruxelles-Capitale per quanto riguarda la struttura di coordinamento delle informazioni sul patrimonio.";</w:t>
            </w:r>
          </w:p>
          <w:p w14:paraId="031B8EAB" w14:textId="77777777" w:rsidR="00873667" w:rsidRPr="00003EC3" w:rsidRDefault="00873667">
            <w:pPr>
              <w:spacing w:after="0" w:line="240" w:lineRule="auto"/>
              <w:jc w:val="both"/>
              <w:rPr>
                <w:rFonts w:asciiTheme="minorHAnsi" w:hAnsiTheme="minorHAnsi"/>
                <w:sz w:val="20"/>
                <w:szCs w:val="20"/>
              </w:rPr>
            </w:pPr>
          </w:p>
          <w:p w14:paraId="533CE327"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al paragrafo 2, il comma 2 è sostituito da quanto segue: </w:t>
            </w:r>
          </w:p>
          <w:p w14:paraId="61E32F6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Le disposizioni del presente decreto non si applicano in situazioni di emergenza.".</w:t>
            </w:r>
          </w:p>
          <w:p w14:paraId="639D6F68" w14:textId="77777777" w:rsidR="00873667" w:rsidRPr="00003EC3" w:rsidRDefault="00873667">
            <w:pPr>
              <w:spacing w:after="0" w:line="240" w:lineRule="auto"/>
              <w:ind w:left="352"/>
              <w:jc w:val="both"/>
              <w:rPr>
                <w:rFonts w:asciiTheme="minorHAnsi" w:hAnsiTheme="minorHAnsi"/>
                <w:sz w:val="20"/>
                <w:szCs w:val="20"/>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Articolo 3.</w:t>
            </w:r>
          </w:p>
          <w:p w14:paraId="697447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All'articolo 3 del decreto sono apportate le seguenti modifiche:</w:t>
            </w:r>
          </w:p>
          <w:p w14:paraId="2CF8E143" w14:textId="77777777" w:rsidR="00873667" w:rsidRPr="00003EC3" w:rsidRDefault="00873667">
            <w:pPr>
              <w:spacing w:after="0" w:line="240" w:lineRule="auto"/>
              <w:jc w:val="both"/>
              <w:rPr>
                <w:rFonts w:asciiTheme="minorHAnsi" w:hAnsiTheme="minorHAnsi"/>
                <w:sz w:val="20"/>
                <w:szCs w:val="20"/>
              </w:rPr>
            </w:pPr>
          </w:p>
          <w:p w14:paraId="62E692B7"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al paragrafo 1, i commi da 2 a 4 sono soppressi;</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è inserito il paragrafo 1 bis come segue:</w:t>
            </w:r>
          </w:p>
          <w:p w14:paraId="76FBDA5D" w14:textId="5D11ADAC" w:rsidR="00873667" w:rsidRDefault="00873667">
            <w:pPr>
              <w:spacing w:after="0" w:line="240" w:lineRule="auto"/>
              <w:ind w:left="352"/>
              <w:jc w:val="both"/>
              <w:rPr>
                <w:rFonts w:asciiTheme="minorHAnsi" w:hAnsiTheme="minorHAnsi"/>
                <w:sz w:val="20"/>
              </w:rPr>
            </w:pPr>
            <w:r>
              <w:rPr>
                <w:rFonts w:asciiTheme="minorHAnsi" w:hAnsiTheme="minorHAnsi"/>
                <w:sz w:val="20"/>
              </w:rPr>
              <w:t>"1 bis. Fatte salve le disposizioni dei paragrafi 1 bis e 4, in tutte le aree accessibili al pubblico all'interno e all'esterno, le densità di potenza delle radiazioni non ionizzanti non superano in nessun momento i seguenti valori nelle aree accessibili al pubblico all'interno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r>
                <w:rPr>
                  <w:rFonts w:ascii="Cambria Math" w:eastAsia="Times New Roman" w:hAnsi="Cambria Math" w:cstheme="minorHAnsi"/>
                  <w:color w:val="000000"/>
                  <w:kern w:val="0"/>
                  <w:sz w:val="20"/>
                  <w:szCs w:val="20"/>
                </w:rPr>
                <m:t>)</m:t>
              </m:r>
            </m:oMath>
            <w:r>
              <w:rPr>
                <w:rFonts w:asciiTheme="minorHAnsi" w:hAnsiTheme="minorHAnsi"/>
                <w:sz w:val="20"/>
              </w:rPr>
              <w:t xml:space="preserve"> e nelle aree accessibili al pubblico all'aperto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r>
                <w:rPr>
                  <w:rFonts w:ascii="Cambria Math" w:eastAsia="Times New Roman" w:hAnsi="Cambria Math" w:cstheme="minorHAnsi"/>
                  <w:sz w:val="20"/>
                  <w:szCs w:val="20"/>
                </w:rPr>
                <m:t>)</m:t>
              </m:r>
            </m:oMath>
            <w:r>
              <w:rPr>
                <w:rFonts w:asciiTheme="minorHAnsi" w:hAnsiTheme="minorHAnsi"/>
                <w:sz w:val="20"/>
              </w:rPr>
              <w:t xml:space="preserve">: </w:t>
            </w:r>
          </w:p>
          <w:p w14:paraId="0A407D39" w14:textId="6710B019" w:rsidR="00003EC3" w:rsidRDefault="00003EC3">
            <w:pPr>
              <w:spacing w:after="0" w:line="240" w:lineRule="auto"/>
              <w:ind w:left="352"/>
              <w:jc w:val="both"/>
              <w:rPr>
                <w:rFonts w:asciiTheme="minorHAnsi" w:hAnsiTheme="minorHAnsi"/>
                <w:sz w:val="20"/>
              </w:rPr>
            </w:pPr>
          </w:p>
          <w:p w14:paraId="0640985C" w14:textId="77777777" w:rsidR="00003EC3" w:rsidRDefault="00003EC3">
            <w:pPr>
              <w:spacing w:after="0" w:line="240" w:lineRule="auto"/>
              <w:ind w:left="352"/>
              <w:jc w:val="both"/>
              <w:rPr>
                <w:rFonts w:asciiTheme="minorHAnsi" w:hAnsiTheme="minorHAnsi"/>
                <w:sz w:val="20"/>
              </w:rPr>
            </w:pP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 xml:space="preserve">Frequenze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da 0,1 a 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da 400 a 2 000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rPr>
                      <m:t xml:space="preserve"> </m:t>
                    </m:r>
                  </m:oMath>
                  <w:r>
                    <w:rPr>
                      <w:rFonts w:asciiTheme="minorHAnsi" w:hAnsiTheme="minorHAnsi"/>
                      <w:color w:val="000000"/>
                      <w:sz w:val="20"/>
                    </w:rPr>
                    <w:t>/1597,28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f/4012,19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da 2 a 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0,4992</w:t>
                  </w:r>
                </w:p>
              </w:tc>
            </w:tr>
          </w:tbl>
          <w:p w14:paraId="674B9356" w14:textId="77777777" w:rsidR="00873667" w:rsidRDefault="00873667">
            <w:pPr>
              <w:spacing w:after="0" w:line="240" w:lineRule="auto"/>
              <w:ind w:left="352"/>
              <w:jc w:val="both"/>
              <w:rPr>
                <w:rFonts w:asciiTheme="minorHAnsi" w:hAnsiTheme="minorHAnsi"/>
                <w:sz w:val="20"/>
                <w:szCs w:val="20"/>
              </w:rPr>
            </w:pPr>
            <w:r>
              <w:rPr>
                <w:rFonts w:ascii="Times New Roman" w:hAnsi="Times New Roman"/>
                <w:sz w:val="20"/>
              </w:rPr>
              <w:t xml:space="preserve">dove </w:t>
            </w:r>
            <m:oMath>
              <m:r>
                <w:rPr>
                  <w:rFonts w:ascii="Cambria Math" w:hAnsi="Cambria Math"/>
                  <w:sz w:val="20"/>
                  <w:szCs w:val="20"/>
                  <w:lang w:val="nl-NL"/>
                </w:rPr>
                <m:t>f</m:t>
              </m:r>
              <m:r>
                <w:rPr>
                  <w:rFonts w:ascii="Cambria Math" w:hAnsi="Cambria Math"/>
                  <w:sz w:val="20"/>
                  <w:szCs w:val="20"/>
                </w:rPr>
                <m:t xml:space="preserve"> </m:t>
              </m:r>
            </m:oMath>
            <w:r>
              <w:rPr>
                <w:rFonts w:asciiTheme="minorHAnsi" w:hAnsiTheme="minorHAnsi"/>
                <w:sz w:val="20"/>
              </w:rPr>
              <w:t>è la frequenza espressa in MHz.</w:t>
            </w:r>
          </w:p>
          <w:p w14:paraId="2801D7D3" w14:textId="77777777" w:rsidR="00AC2FE0" w:rsidRDefault="00873667">
            <w:pPr>
              <w:pStyle w:val="ListParagraph"/>
              <w:widowControl/>
              <w:suppressAutoHyphens w:val="0"/>
              <w:spacing w:after="0" w:line="240" w:lineRule="auto"/>
              <w:ind w:left="360"/>
              <w:jc w:val="both"/>
              <w:rPr>
                <w:rFonts w:asciiTheme="minorHAnsi" w:eastAsia="Times New Roman" w:hAnsiTheme="minorHAnsi" w:cstheme="minorHAnsi"/>
                <w:sz w:val="20"/>
                <w:szCs w:val="20"/>
              </w:rPr>
            </w:pPr>
            <w:r>
              <w:rPr>
                <w:rFonts w:asciiTheme="minorHAnsi" w:hAnsiTheme="minorHAnsi"/>
                <w:sz w:val="20"/>
              </w:rPr>
              <w:t xml:space="preserve">A titolo indicativo, a 900 MHz, la norma </w:t>
            </w:r>
          </w:p>
          <w:p w14:paraId="5960402E" w14:textId="451DEC5F" w:rsidR="00873667" w:rsidRDefault="00000000">
            <w:pPr>
              <w:pStyle w:val="ListParagraph"/>
              <w:widowControl/>
              <w:suppressAutoHyphens w:val="0"/>
              <w:spacing w:after="0" w:line="240" w:lineRule="auto"/>
              <w:ind w:left="360"/>
              <w:jc w:val="both"/>
              <w:rPr>
                <w:rFonts w:asciiTheme="minorHAnsi" w:hAnsiTheme="minorHAnsi"/>
                <w:sz w:val="20"/>
                <w:szCs w:val="20"/>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oMath>
            <w:r w:rsidR="00C4092C">
              <w:rPr>
                <w:rFonts w:asciiTheme="minorHAnsi" w:hAnsiTheme="minorHAnsi"/>
                <w:sz w:val="20"/>
              </w:rPr>
              <w:t xml:space="preserve"> = 0,2243 W/m² corrisponde a un campo elettrico,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int</m:t>
                  </m:r>
                </m:sub>
              </m:sSub>
            </m:oMath>
            <w:r w:rsidR="00C4092C">
              <w:rPr>
                <w:rFonts w:asciiTheme="minorHAnsi" w:hAnsiTheme="minorHAnsi"/>
                <w:sz w:val="20"/>
              </w:rPr>
              <w:t xml:space="preserve"> = 9,19 V/m; mentre la norma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oMath>
            <w:r w:rsidR="00C4092C">
              <w:rPr>
                <w:rFonts w:asciiTheme="minorHAnsi" w:hAnsiTheme="minorHAnsi"/>
                <w:sz w:val="20"/>
              </w:rPr>
              <w:t>= 0,5635 W/m² corrisponde a un campo elettrico,</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ext</m:t>
                  </m:r>
                </m:sub>
              </m:sSub>
            </m:oMath>
            <w:r w:rsidR="00C4092C">
              <w:rPr>
                <w:rFonts w:asciiTheme="minorHAnsi" w:hAnsiTheme="minorHAnsi"/>
                <w:sz w:val="20"/>
              </w:rPr>
              <w:t xml:space="preserve"> = 14,57 V/m.</w:t>
            </w:r>
          </w:p>
          <w:p w14:paraId="5C8AFAC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Contrariamente al comma precedente, le densità di potenza delle radiazioni non ionizzanti applicabili nelle aree accessibili al pubblico all'aperto si applicano anche nelle aree accessibili al pubblico all'interno quando, in tali aree, sono aperte finestre o porte che danno verso l'esterno.";</w:t>
            </w:r>
          </w:p>
          <w:p w14:paraId="5AC47F5C" w14:textId="77777777" w:rsidR="00873667" w:rsidRPr="00003EC3" w:rsidRDefault="00873667">
            <w:pPr>
              <w:widowControl/>
              <w:suppressAutoHyphens w:val="0"/>
              <w:spacing w:after="0" w:line="240" w:lineRule="auto"/>
              <w:jc w:val="both"/>
              <w:rPr>
                <w:rFonts w:asciiTheme="minorHAnsi" w:hAnsiTheme="minorHAnsi"/>
                <w:sz w:val="20"/>
                <w:szCs w:val="20"/>
              </w:rPr>
            </w:pPr>
          </w:p>
          <w:p w14:paraId="3F56D40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è inserito il paragrafo 1 ter, che recita come segue:</w:t>
            </w:r>
          </w:p>
          <w:p w14:paraId="0111B2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 ter. Per i campi elettromagnetici compositi, le seguenti limitazioni si applicano ai campi elettromagnetici in aree accessibili al pubblico all'interno e all'esterno:</w:t>
            </w:r>
          </w:p>
          <w:p w14:paraId="1EEECA5D" w14:textId="77777777" w:rsidR="00873667" w:rsidRDefault="00873667">
            <w:pPr>
              <w:spacing w:after="0" w:line="240" w:lineRule="auto"/>
              <w:ind w:left="352"/>
              <w:jc w:val="both"/>
              <w:rPr>
                <w:rFonts w:asciiTheme="minorHAnsi" w:hAnsiTheme="minorHAnsi"/>
                <w:sz w:val="20"/>
                <w:szCs w:val="20"/>
              </w:rPr>
            </w:pPr>
            <m:oMathPara>
              <m:oMath>
                <m:r>
                  <w:rPr>
                    <w:rFonts w:ascii="Cambria Math" w:hAnsi="Cambria Math"/>
                    <w:sz w:val="20"/>
                    <w:szCs w:val="20"/>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dove:</w:t>
            </w:r>
          </w:p>
          <w:p w14:paraId="356BF7CB"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sidR="00C4092C">
              <w:rPr>
                <w:rFonts w:asciiTheme="minorHAnsi" w:hAnsiTheme="minorHAnsi"/>
                <w:sz w:val="20"/>
              </w:rPr>
              <w:t xml:space="preserve"> è la densità di potenza alla frequenza i;</w:t>
            </w:r>
          </w:p>
          <w:p w14:paraId="0A0E0802"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ri</m:t>
                  </m:r>
                </m:sub>
              </m:sSub>
            </m:oMath>
            <w:r w:rsidR="00C4092C">
              <w:rPr>
                <w:rFonts w:asciiTheme="minorHAnsi" w:hAnsiTheme="minorHAnsi"/>
                <w:sz w:val="20"/>
              </w:rPr>
              <w:t xml:space="preserve"> è il limite della densità di potenza alla frequenza i come definito nella tabella di cui al paragrafo 1 bis del presente articolo. </w:t>
            </w:r>
          </w:p>
          <w:p w14:paraId="5755DF5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La densità di potenza della radiazione è calcolata e/o misurata secondo le procedure stabilite dal governo, in particolare sulla base dei consigli e delle raccomandazioni delle autorità internazionali competenti.";</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è inserito il paragrafo 1 quater, che recita come segue: </w:t>
            </w:r>
          </w:p>
          <w:p w14:paraId="769F464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"1 quater.  Sono vietate le antenne che generano radiazioni non ionizzanti nell'intervallo di frequenza compreso tra 20 GHz e 300 GHz. Il governo ha il potere di autorizzare tali antenne in conformità con le autorizzazioni rilasciate da altri livelli di autorità.</w:t>
            </w:r>
          </w:p>
          <w:p w14:paraId="5757430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Le antenne di collegamento a microonde non rientrano nel divieto di cui al comma precedente.";</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al paragrafo 2, comma 1, la parola "nove" è sostituita dalle parole "tra sette e tredici";</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al paragrafo 2, comma 3, le parole "imperativi economici e di salute pubblica" sono sostituite da "imperativi economici, di salute pubblica e inerenti al rispetto dell'ambientale";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al paragrafo 2, comma 3, la frase "La relazione è pubblicata sul sito web dell'Istituto di gestione ambientale di Bruxelles entro tre mesi dal ricevimento da parte del governo." è sostituita dalla frase "Il governo presenta ogni anno la relazione al Parlamento e l'amministrazione di Bruxelles per l'ambiente la pubblica sul suo sito web entro tre mesi dall'accettazione da parte del governo.";</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al paragrafo 2, comma 3, la frase "La prima relazione è presentata al governo entro il 1º settembre 2014." è soppressa;</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al paragrafo 2, comma 4, le parole "operatori di impianti in grado di produrre o trasmettere radiazioni non ionizzanti" e "l'amministrazione di Bruxelles per l'ambiente" sono sostituite dalle parole "operatori e emittenti" e "le amministrazioni di Bruxelles per l'ambiente e per l'urbanistica e il patrimonio";</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rFonts w:asciiTheme="minorHAnsi" w:hAnsiTheme="minorHAnsi"/>
                <w:sz w:val="20"/>
                <w:szCs w:val="20"/>
              </w:rPr>
            </w:pPr>
            <w:r>
              <w:rPr>
                <w:rFonts w:asciiTheme="minorHAnsi" w:hAnsiTheme="minorHAnsi"/>
                <w:sz w:val="20"/>
              </w:rPr>
              <w:lastRenderedPageBreak/>
              <w:t>al paragrafo 2 è inserito un nuovo comma che recita:</w:t>
            </w:r>
          </w:p>
          <w:p w14:paraId="272B317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Il comitato esprime un parere su tutti i progetti di modifica del presente decreto e sull'adozione o la modifica delle sue misure di attuazione. </w:t>
            </w:r>
          </w:p>
          <w:p w14:paraId="3F15769A"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Il comitato può collaborare con qualsiasi esperto scientifico o gruppo di esperti istituito a livello internazionale, federale, regionale o locale.";</w:t>
            </w:r>
          </w:p>
          <w:p w14:paraId="3573B9A7" w14:textId="77777777" w:rsidR="00873667" w:rsidRPr="00003EC3" w:rsidRDefault="00873667">
            <w:pPr>
              <w:widowControl/>
              <w:suppressAutoHyphens w:val="0"/>
              <w:spacing w:after="0" w:line="240" w:lineRule="auto"/>
              <w:jc w:val="both"/>
              <w:rPr>
                <w:rFonts w:asciiTheme="minorHAnsi" w:hAnsiTheme="minorHAnsi"/>
                <w:sz w:val="20"/>
                <w:szCs w:val="20"/>
              </w:rPr>
            </w:pPr>
          </w:p>
          <w:p w14:paraId="33A60EFD"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è inserito il paragrafo 3 che recita come segue: </w:t>
            </w:r>
          </w:p>
          <w:p w14:paraId="0499D92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"3. Il governo conclude con gli operatori un codice di buona condotta volto, in particolare, a fornire ai cittadini la massima trasparenza possibile per quanto riguarda lo sviluppo delle reti di telefonia mobile, stabilire una o più linee di condotta per gli operatori, a livello tecnico, ambientale e di salute pubblica, e/o fissare obiettivi per gli operatori relativi alla gestione dei rifiuti connessi allo sviluppo di reti di telefonia mobile.</w:t>
            </w:r>
          </w:p>
          <w:p w14:paraId="1D2C6D7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Gli operatori possono concludere, modificare o rinnovare collettivamente un accordo ambientale con la regione conformemente alle disposizioni del decreto del 29 aprile 2004 relativo agli accordi ambientali.";</w:t>
            </w:r>
          </w:p>
          <w:p w14:paraId="4C6FF580" w14:textId="77777777" w:rsidR="00873667" w:rsidRPr="00003EC3" w:rsidRDefault="00873667">
            <w:pPr>
              <w:spacing w:after="0" w:line="240" w:lineRule="auto"/>
              <w:ind w:left="352"/>
              <w:jc w:val="both"/>
              <w:rPr>
                <w:rFonts w:asciiTheme="minorHAnsi" w:hAnsiTheme="minorHAnsi"/>
                <w:sz w:val="20"/>
                <w:szCs w:val="20"/>
              </w:rPr>
            </w:pPr>
          </w:p>
          <w:p w14:paraId="7E29FAB9" w14:textId="77777777" w:rsidR="00873667" w:rsidRDefault="00873667" w:rsidP="00242999">
            <w:pPr>
              <w:pStyle w:val="ListParagraph"/>
              <w:numPr>
                <w:ilvl w:val="0"/>
                <w:numId w:val="2"/>
              </w:numPr>
              <w:spacing w:after="0" w:line="240" w:lineRule="auto"/>
              <w:jc w:val="both"/>
              <w:rPr>
                <w:rFonts w:asciiTheme="minorHAnsi" w:hAnsiTheme="minorHAnsi"/>
                <w:sz w:val="20"/>
                <w:szCs w:val="20"/>
              </w:rPr>
            </w:pPr>
            <w:r>
              <w:rPr>
                <w:rFonts w:asciiTheme="minorHAnsi" w:hAnsiTheme="minorHAnsi"/>
                <w:sz w:val="20"/>
              </w:rPr>
              <w:t>è inserito il paragrafo 4 che recita come segue:</w:t>
            </w:r>
          </w:p>
          <w:p w14:paraId="2B84997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"4. In caso di superamento delle norme di cui al paragrafo 1 bis, si applica il presente paragrafo. </w:t>
            </w:r>
          </w:p>
          <w:p w14:paraId="19017495"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Gli operatori le cui antenne contribuiscono a superare le norme di cui al paragrafo 1 bis riducono il campo elettrico emesso dalle loro antenne in modo da rispettare le norme di cui al paragrafo 1 bis, se del caso consultandosi tra loro e con le emittenti.</w:t>
            </w:r>
          </w:p>
          <w:p w14:paraId="67E22AA1"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Le emittenti le cui antenne contribuiscono a superare le norme di cui al paragrafo 1 bis forniscono agli operatori e all'amministrazione di Bruxelles per l'ambiente tutte le informazioni tecniche relative alle radiazioni non ionizzanti provenienti dalle antenne in questione, se diverse da quelle fornite a norma dell'articolo 4. </w:t>
            </w:r>
          </w:p>
          <w:p w14:paraId="6A8A4CA9"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Il governo può specificare le condizioni di tale consultazione e il metodo che gli operatori devono applicare, se del caso, al fine di ridurre la loro rispettiva quota in relazione alla densità di potenza che comporta il superamento delle norme di cui al paragrafo 1 bis. Il governo precisa i termini e le condizioni in caso di accordo tra gli operatori e, in mancanza di accordo, gli obblighi che possono essere loro imposti. </w:t>
            </w:r>
          </w:p>
          <w:p w14:paraId="56ABD7FE"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In deroga al paragrafo 1 bis, se gli obblighi imposti agli operatori ai sensi del comma precedente o qualsiasi altra misura attuata dagli operatori o dalle emittenti non consentono di ridurre in misura sufficiente la densità di potenza delle antenne in questione per garantire il rispetto delle norme di cui al paragrafo 1 bis, solo gli operatori coinvolti nel superamento sono tenuti a conformarsi, congiuntamente e tenendo conto delle informazioni fornite a norma del paragrafo 3 e dell'articolo 4, al 42,6 % e al 17 % delle norme di cui al paragrafo 1 bis, rispettivamente nelle aree accessibili al pubblico all'interno e nelle aree accessibili al pubblico all'aperto. </w:t>
            </w:r>
          </w:p>
          <w:p w14:paraId="198A1AF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Il regime di eccezione di cui al comma precedente non può in alcun momento comportare densità di radiazione delle radiazioni non ionizzanti in aree accessibili al pubblico all'interno e in aree accessibili al pubblico all'aperto superiori a quelle di cui alla raccomandazione 1999/519/CE del Consiglio, del 12 luglio 1999, relativa alla limitazione dell'esposizione della popolazione ai campi elettromagnetici da 0 Hz a 300 Ghz e ai suoi sviluppi futuri, e può riguardare solo lo 0,0065 % delle superfici di terreno e degli involucri degli edifici inclusi nella banca dati Urbis-Adm 3D. Il governo ha l'autorità di fissare limiti inferiori. L'amministrazione di Bruxelles per l'ambiente mantiene un elenco per il governo e il comitato in cui figurano i casi di applicazione di cui al comma 5.".</w:t>
            </w:r>
          </w:p>
          <w:p w14:paraId="623A5571" w14:textId="77777777" w:rsidR="00873667" w:rsidRPr="00003EC3" w:rsidRDefault="00873667">
            <w:pPr>
              <w:spacing w:after="0" w:line="240" w:lineRule="auto"/>
              <w:jc w:val="both"/>
              <w:rPr>
                <w:rFonts w:asciiTheme="minorHAnsi" w:hAnsiTheme="minorHAnsi"/>
                <w:sz w:val="20"/>
                <w:szCs w:val="20"/>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Articolo 4.</w:t>
            </w:r>
          </w:p>
          <w:p w14:paraId="7BA6CE1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Nel medesimo decreto, dopo l'articolo 3 è inserito il seguente titolo: " Obbligo generale degli operatori".</w:t>
            </w:r>
          </w:p>
          <w:p w14:paraId="493E4D9C" w14:textId="77777777" w:rsidR="00873667" w:rsidRPr="00003EC3" w:rsidRDefault="00873667">
            <w:pPr>
              <w:spacing w:after="0" w:line="240" w:lineRule="auto"/>
              <w:jc w:val="both"/>
              <w:rPr>
                <w:rFonts w:asciiTheme="minorHAnsi" w:hAnsiTheme="minorHAnsi"/>
                <w:sz w:val="20"/>
                <w:szCs w:val="20"/>
              </w:rPr>
            </w:pPr>
          </w:p>
          <w:p w14:paraId="7634251F" w14:textId="77777777" w:rsidR="00873667" w:rsidRPr="00003EC3" w:rsidRDefault="00873667">
            <w:pPr>
              <w:spacing w:after="0" w:line="240" w:lineRule="auto"/>
              <w:jc w:val="both"/>
              <w:rPr>
                <w:rFonts w:asciiTheme="minorHAnsi" w:hAnsiTheme="minorHAnsi"/>
                <w:sz w:val="20"/>
                <w:szCs w:val="20"/>
              </w:rPr>
            </w:pPr>
          </w:p>
          <w:p w14:paraId="49811318"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2. Nel medesimo decreto, sotto il titolo inserito a norma del paragrafo 1, è aggiunto l'articolo 3 bis, che recita come segue:</w:t>
            </w:r>
          </w:p>
          <w:p w14:paraId="77C64ADE"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Articolo 3 bis. Fatto salvo l'articolo 3, gli operatori e le emittenti che gestiscono un'antenna nel territorio della regione di Bruxelles-Capitale sono in grado in qualsiasi momento di dimostrare la conformità alla norma di immissione di cui all'articolo 3 e di adottare immediatamente tutte le misure necessarie qualora si venga a conoscenza, con qualsiasi mezzo, che la norma di immissione di cui all'articolo 3 non è rispettata.".</w:t>
            </w:r>
          </w:p>
          <w:p w14:paraId="0D332DF9" w14:textId="77777777" w:rsidR="00873667" w:rsidRPr="00003EC3" w:rsidRDefault="00873667">
            <w:pPr>
              <w:spacing w:after="0" w:line="240" w:lineRule="auto"/>
              <w:jc w:val="both"/>
              <w:rPr>
                <w:rFonts w:asciiTheme="minorHAnsi" w:hAnsiTheme="minorHAnsi"/>
                <w:sz w:val="20"/>
                <w:szCs w:val="20"/>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Articolo 5.</w:t>
            </w:r>
          </w:p>
          <w:p w14:paraId="6213E50D"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Il titolo "Obblighi di informazione per gli operatori" tra l'articolo 3 bis e l'articolo 4 di tale decreto è sostituito dal titolo "Obblighi di informazione per gli operatori e le emittenti".</w:t>
            </w:r>
          </w:p>
          <w:p w14:paraId="304708E1" w14:textId="77777777" w:rsidR="00873667" w:rsidRPr="00003EC3" w:rsidRDefault="00873667">
            <w:pPr>
              <w:spacing w:after="0" w:line="240" w:lineRule="auto"/>
              <w:jc w:val="both"/>
              <w:rPr>
                <w:rFonts w:asciiTheme="minorHAnsi" w:hAnsiTheme="minorHAnsi"/>
                <w:sz w:val="20"/>
                <w:szCs w:val="20"/>
              </w:rPr>
            </w:pPr>
          </w:p>
          <w:p w14:paraId="302C5B7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2. L'articolo 4 del medesimo decreto è sostituito dal seguente: </w:t>
            </w:r>
          </w:p>
          <w:p w14:paraId="30BD686D"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Articolo 4. 1.  Gli operatori e le emittenti sono tenuti a informare le amministrazioni di Bruxelles per l'ambiente e </w:t>
            </w:r>
            <w:r>
              <w:rPr>
                <w:rFonts w:asciiTheme="minorHAnsi" w:hAnsiTheme="minorHAnsi"/>
                <w:sz w:val="20"/>
              </w:rPr>
              <w:lastRenderedPageBreak/>
              <w:t xml:space="preserve">per l'urbanistica e il patrimonio, nonché il comune del sito di installazione, di qualsiasi antenna che emette radiazioni non ionizzanti, il cui elenco sia determinato dal governo, per quanto riguarda le caratteristiche operative di tale antenna. Suddette caratteristiche includono, in particolare, la posizione e il sito di installazione esatti, lo schema di radiazione, il tipo di antenna, le frequenze di emissione, l'angolo di inclinazione delle antenne, l'altezza e la dimensione dell'antenna e la potenza irradiata della radiazione. Il governo può specificare l'elenco di tali caratteristiche, distinguerle in base ai destinatari o aggiungere altre caratteristiche. Le amministrazioni di Bruxelles per l'ambiente e per l'urbanistica e il patrimonio nonché i comuni possono prevedere l'uso di un modulo per l'invio delle informazioni in questione. </w:t>
            </w:r>
          </w:p>
          <w:p w14:paraId="6D5BFE0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Se un'antenna dista meno di 200 metri da un confine comunale, tale obbligo è esteso al comune confinante interessato. </w:t>
            </w:r>
          </w:p>
          <w:p w14:paraId="7D2D49FA"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2. Gli operatori e le emittenti devono trasmettere, a prima richiesta, all'amministrazione di Bruxelles per l'ambiente tutte le informazioni richieste, compreso, se del caso, un estratto dalle loro banche dati di configurazione della rete dell'OMC (centro di gestione e manutenzione). Tale estratto o qualsiasi altra informazione può riguardare tutte le antenne specificate dall'amministrazione di Bruxelles per l'ambiente ed è fornito per via elettronica entro 20 giorni dal ricevimento della richiesta. Tali informazioni indicano almeno la potenza massima del radiofaro all'uscita dei vani tecnici, il numero delle frequenze portanti e le inclinazioni elettriche, se queste sono configurate a distanza dall'OMC (centro di gestione e manutenzione). L'amministrazione di Bruxelles per l'ambiente può specificare le informazioni contenute nell'estratto da fornire e il relativo formato.</w:t>
            </w:r>
          </w:p>
          <w:p w14:paraId="4D7BEA5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3. Gli operatori il cui elenco è fissato dal governo trasmettono ogni anno all'amministrazione di Bruxelles per l'ambiente una relazione sull'efficienza energetica per tecnologia e sul consumo energetico delle antenne e della loro rete. Il governo stabilisce il contenuto minimo della relazione.".</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Articolo 6.</w:t>
            </w:r>
          </w:p>
          <w:p w14:paraId="3FB93EB7"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All'articolo 5 di tale decreto è inserito un comma che recita: </w:t>
            </w:r>
          </w:p>
          <w:p w14:paraId="40A7D802"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Il governo può prevedere regimi differenziati e particolari per determinati tipi di antenne in base alle loro caratteristiche specifiche.". </w:t>
            </w:r>
          </w:p>
          <w:p w14:paraId="0216A34A" w14:textId="77777777" w:rsidR="00873667" w:rsidRPr="00003EC3" w:rsidRDefault="00873667">
            <w:pPr>
              <w:spacing w:after="0" w:line="240" w:lineRule="auto"/>
              <w:jc w:val="both"/>
              <w:rPr>
                <w:rFonts w:asciiTheme="minorHAnsi" w:hAnsiTheme="minorHAnsi"/>
                <w:sz w:val="20"/>
                <w:szCs w:val="20"/>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Articolo 7.</w:t>
            </w:r>
          </w:p>
          <w:p w14:paraId="59CA703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All'articolo 8 del decreto sono apportate le seguenti modifiche:</w:t>
            </w:r>
          </w:p>
          <w:p w14:paraId="463F92C5" w14:textId="77777777" w:rsidR="00873667" w:rsidRPr="00003EC3" w:rsidRDefault="00873667">
            <w:pPr>
              <w:spacing w:after="0" w:line="240" w:lineRule="auto"/>
              <w:jc w:val="both"/>
              <w:rPr>
                <w:rFonts w:asciiTheme="minorHAnsi" w:hAnsiTheme="minorHAnsi"/>
                <w:sz w:val="20"/>
                <w:szCs w:val="20"/>
              </w:rPr>
            </w:pPr>
          </w:p>
          <w:p w14:paraId="0FEE7087"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il paragrafo 1 è sostituito da quanto segue: </w:t>
            </w:r>
          </w:p>
          <w:p w14:paraId="495FA02B"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"1. Il governo è responsabile dell'aggiornamento e della pubblicazione di un registro delle antenne il cui elenco è stabilito dal governo stesso. Tale registro include i dati tecnici di ciascuna antenna, in particolare la posizione esatta dell'antenna, il tipo, le dimensioni, l'orientamento, la potenza di emissione e altri dati tecnici per determinare la densità di potenza in aree accessibili al pubblico. Il governo può specificare i dati tecnici e aggiungere altre caratteristiche. </w:t>
            </w:r>
          </w:p>
          <w:p w14:paraId="7490632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Il registro dei trasmettitori è pubblicato sul sito web dell'amministrazione di Bruxelles per l'ambiente per consentire a ogni cittadino di presentare, in qualsiasi momento, un reclamo presso l'amministrazione stessa in merito al rispetto della norma di immissione di cui all'articolo 3 e/o al rispetto delle condizioni di funzionamento delle antenne interessate. Fatte salve le sanzioni applicabili e le altre misure previste dal presente decreto, se ritiene che il reclamo sia fondato, l'amministrazione di Bruxelles per l'ambiente adotta le misure atte a garantire il rispetto delle disposizioni del presente decreto.";</w:t>
            </w:r>
          </w:p>
          <w:p w14:paraId="62384DE4" w14:textId="77777777" w:rsidR="00873667" w:rsidRPr="00003EC3" w:rsidRDefault="00873667">
            <w:pPr>
              <w:spacing w:after="0" w:line="240" w:lineRule="auto"/>
              <w:ind w:left="352"/>
              <w:jc w:val="both"/>
              <w:rPr>
                <w:rFonts w:asciiTheme="minorHAnsi" w:hAnsiTheme="minorHAnsi"/>
                <w:sz w:val="20"/>
                <w:szCs w:val="20"/>
              </w:rPr>
            </w:pPr>
          </w:p>
          <w:p w14:paraId="251120BC"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al paragrafo 2, il comma 1 è sostituito da quanto segue: </w:t>
            </w:r>
          </w:p>
          <w:p w14:paraId="1D219E4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Il governo istituisce un registro dei tetti degli edifici occupati dalle autorità pubbliche e su cui potrebbero essere installate antenne. Tale registro è aggiornato regolarmente.".</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Articolo 8.</w:t>
            </w:r>
          </w:p>
          <w:p w14:paraId="588CB09A"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1. Nel medesimo decreto, dopo l'articolo 8 è inserito il seguente titolo: " Obbligo generale degli operatori".</w:t>
            </w:r>
          </w:p>
          <w:p w14:paraId="020B4B57" w14:textId="77777777" w:rsidR="00873667" w:rsidRPr="00003EC3" w:rsidRDefault="00873667">
            <w:pPr>
              <w:spacing w:after="0" w:line="240" w:lineRule="auto"/>
              <w:jc w:val="both"/>
              <w:rPr>
                <w:rFonts w:asciiTheme="minorHAnsi" w:hAnsiTheme="minorHAnsi"/>
                <w:bCs/>
                <w:sz w:val="20"/>
                <w:szCs w:val="20"/>
              </w:rPr>
            </w:pPr>
          </w:p>
          <w:p w14:paraId="0655FE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2. Nel medesimo decreto, sotto il titolo inserito a norma del paragrafo 1, è aggiunto l'articolo 8 bis, che recita come segue:</w:t>
            </w:r>
          </w:p>
          <w:p w14:paraId="2C135F09"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Articolo 8 bis. Gli operatori il cui elenco è stabilito dal governo sono tenuti a mettere a punto e sostenere campagne di informazione al fine di sensibilizzare in merito alla prevenzione dei rifiuti derivanti dalle loro attività, in particolare in considerazione degli sviluppi tecnologici e del rinnovo dei dispositivi connessi. </w:t>
            </w:r>
          </w:p>
          <w:p w14:paraId="7E31B7B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Tali campagne di informazione informano il pubblico, in particolare, dell'uso razionale dal punto di vista ambientale dei dispositivi, del valore del riutilizzo e della preparazione per il riutilizzo dei dispositivi connessi e, in ultima analisi, </w:t>
            </w:r>
            <w:r>
              <w:rPr>
                <w:rFonts w:asciiTheme="minorHAnsi" w:hAnsiTheme="minorHAnsi"/>
                <w:sz w:val="20"/>
              </w:rPr>
              <w:lastRenderedPageBreak/>
              <w:t xml:space="preserve">dei sistemi di raccolta e gestione dei rifiuti. </w:t>
            </w:r>
          </w:p>
          <w:p w14:paraId="54630306"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Il governo può specificare il contenuto, la frequenza e i termini delle campagne di informazione da attuare, nonché i loro destinatari in base agli obiettivi auspicati.";</w:t>
            </w:r>
          </w:p>
          <w:p w14:paraId="7577DD4F" w14:textId="77777777" w:rsidR="00873667" w:rsidRPr="00003EC3" w:rsidRDefault="00873667">
            <w:pPr>
              <w:spacing w:after="0" w:line="240" w:lineRule="auto"/>
              <w:jc w:val="both"/>
              <w:rPr>
                <w:rFonts w:asciiTheme="minorHAnsi" w:hAnsiTheme="minorHAnsi"/>
                <w:bCs/>
                <w:sz w:val="20"/>
                <w:szCs w:val="20"/>
              </w:rPr>
            </w:pPr>
          </w:p>
          <w:p w14:paraId="127221A1"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3. Nel medesimo decreto, sotto il titolo inserito a norma del paragrafo 1, è aggiunto l'articolo 8 ter, che recita come segue: </w:t>
            </w:r>
          </w:p>
          <w:p w14:paraId="3F80CF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Articolo 8 ter. Gli operatori il cui elenco è stabilito dal governo sono tenuti a compilare statistiche sui dispositivi che immettono sul mercato e che sono raccolti come rifiuti o che sono riutilizzati, ai sensi delle disposizioni del decreto del 14 giugno 2012 sui rifiuti."; </w:t>
            </w:r>
          </w:p>
          <w:p w14:paraId="4BAF6779" w14:textId="77777777" w:rsidR="00873667" w:rsidRPr="00003EC3" w:rsidRDefault="00873667">
            <w:pPr>
              <w:spacing w:after="0" w:line="240" w:lineRule="auto"/>
              <w:jc w:val="both"/>
              <w:rPr>
                <w:rFonts w:asciiTheme="minorHAnsi" w:hAnsiTheme="minorHAnsi"/>
                <w:bCs/>
                <w:sz w:val="20"/>
                <w:szCs w:val="20"/>
              </w:rPr>
            </w:pPr>
          </w:p>
          <w:p w14:paraId="23215B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4. Nel medesimo decreto, sotto il titolo inserito a norma del paragrafo 1, è aggiunto l'articolo 8 quater, che recita come segue: </w:t>
            </w:r>
          </w:p>
          <w:p w14:paraId="51C2452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Articolo 8 quater. Al più tardi entro il 1° aprile di ogni anno, gli operatori, separatamente o collettivamente, presentano all'amministrazione di Bruxelles per l'ambiente una relazione annuale relativa all'anno precedente (periodo dal 1° gennaio al 31 dicembre) contenente informazioni dettagliate sulle azioni attuate, sugli importi spesi e sugli impatti rilevati in relazione alle misure attuate a norma dell'articolo 8 bis, nonché una relazione sui dati statistici di cui all'articolo 8 ter.</w:t>
            </w:r>
          </w:p>
          <w:p w14:paraId="24E4D373"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Il governo può specificare il contenuto della relazione annuale di cui al comma precedente e prevedere ulteriori informazioni da includere nella suddetta relazione.". </w:t>
            </w:r>
          </w:p>
          <w:p w14:paraId="79909F2B" w14:textId="77777777" w:rsidR="00873667" w:rsidRPr="00003EC3" w:rsidRDefault="00873667">
            <w:pPr>
              <w:spacing w:after="0" w:line="240" w:lineRule="auto"/>
              <w:jc w:val="both"/>
              <w:rPr>
                <w:rFonts w:asciiTheme="minorHAnsi" w:hAnsiTheme="minorHAnsi"/>
                <w:b/>
                <w:sz w:val="20"/>
                <w:szCs w:val="20"/>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Articolo 9.</w:t>
            </w:r>
          </w:p>
          <w:p w14:paraId="17721AD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1. Il titolo "Infrazioni e sanzioni penali" tra l'articolo 8 e l'articolo 9 di tale decreto è sostituito dal titolo "Infrazioni". </w:t>
            </w:r>
          </w:p>
          <w:p w14:paraId="0F7DA792" w14:textId="77777777" w:rsidR="00873667" w:rsidRPr="00003EC3" w:rsidRDefault="00873667">
            <w:pPr>
              <w:spacing w:after="0" w:line="240" w:lineRule="auto"/>
              <w:jc w:val="both"/>
              <w:rPr>
                <w:rFonts w:asciiTheme="minorHAnsi" w:hAnsiTheme="minorHAnsi"/>
                <w:sz w:val="20"/>
                <w:szCs w:val="20"/>
              </w:rPr>
            </w:pPr>
          </w:p>
          <w:p w14:paraId="6292353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2. L'articolo 9 del medesimo decreto è sostituito dal seguente: </w:t>
            </w:r>
          </w:p>
          <w:p w14:paraId="1E11AE58"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È passibile della sanzione prevista all'articolo 31, paragrafo 1, del codice del 25 marzo 1999 relativo all'ispezione, alla prevenzione, all'accertamento e alla condanna dei reati ambientali e della responsabilità ambientale, colui che:</w:t>
            </w:r>
          </w:p>
          <w:p w14:paraId="275A347F"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non rispetta le norme di cui all'articolo 3 o le sue misure di attuazione;</w:t>
            </w:r>
          </w:p>
          <w:p w14:paraId="4A9CAD6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non rispetta gli obblighi di informazione di cui all'articolo 4 o le sue misure di attuazione;</w:t>
            </w:r>
          </w:p>
          <w:p w14:paraId="77B503E8"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non rispetta le norme operative di cui all'articolo 5 o le sue misure di attuazione;</w:t>
            </w:r>
          </w:p>
          <w:p w14:paraId="7663E40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 xml:space="preserve">non rispetta gli obblighi di comunicazione e segnalazione di cui agli articoli 8 bis, 8 ter e 8 quater o le relative misure di attuazione; </w:t>
            </w:r>
          </w:p>
          <w:p w14:paraId="712FA70C"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non rispetta le norme o le condizioni generali di cui all'articolo 7 o le sue misure di attuazione.".</w:t>
            </w:r>
          </w:p>
          <w:p w14:paraId="4C2874B7" w14:textId="77777777" w:rsidR="00873667" w:rsidRPr="00003EC3" w:rsidRDefault="00873667">
            <w:pPr>
              <w:spacing w:after="0" w:line="240" w:lineRule="auto"/>
              <w:jc w:val="both"/>
              <w:rPr>
                <w:rFonts w:asciiTheme="minorHAnsi" w:hAnsiTheme="minorHAnsi"/>
                <w:b/>
                <w:sz w:val="20"/>
                <w:szCs w:val="20"/>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Capitolo 3. Modifica del decreto del 5 giugno 1997 relativo alle autorizzazioni ambientali</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Articolo 10.</w:t>
            </w:r>
          </w:p>
          <w:p w14:paraId="31F34E3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All'articolo 100, paragrafo 1, del decreto 5 giugno 1997 relativo alle autorizzazioni ambientali è aggiunto un comma che recita come segue: </w:t>
            </w:r>
          </w:p>
          <w:p w14:paraId="5E0D7258"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In deroga al comma 1, non è dovuta alcuna tassa di domanda per una dichiarazione di classe III o di classe IC.".</w:t>
            </w:r>
          </w:p>
          <w:p w14:paraId="44E8814B" w14:textId="77777777" w:rsidR="00873667" w:rsidRPr="00003EC3" w:rsidRDefault="00873667">
            <w:pPr>
              <w:spacing w:after="0" w:line="240" w:lineRule="auto"/>
              <w:jc w:val="both"/>
              <w:rPr>
                <w:rFonts w:asciiTheme="minorHAnsi" w:hAnsiTheme="minorHAnsi"/>
                <w:b/>
                <w:sz w:val="20"/>
                <w:szCs w:val="20"/>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Capitolo 4. Modifica del</w:t>
            </w:r>
            <w:r>
              <w:rPr>
                <w:b/>
                <w:sz w:val="20"/>
              </w:rPr>
              <w:t xml:space="preserve"> </w:t>
            </w:r>
            <w:r>
              <w:rPr>
                <w:rFonts w:asciiTheme="minorHAnsi" w:hAnsiTheme="minorHAnsi"/>
                <w:b/>
                <w:sz w:val="20"/>
              </w:rPr>
              <w:t>decreto del 2 maggio 2013 sul codice di Bruxelles in materia di gestione dell'aria, del clima e dell'energia</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Articolo 11. </w:t>
            </w:r>
          </w:p>
          <w:p w14:paraId="0B343AC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1. Nel libro 2, titolo 5, del decreto del 2 maggio 2013 sul codice di Bruxelles in materia di gestione dell'aria, del clima e dell'energia, è inserito un capitolo 3 intitolato "Capitolo 3. - Piano digitale sostenibile e responsabile".</w:t>
            </w:r>
          </w:p>
          <w:p w14:paraId="6DC0A343" w14:textId="77777777" w:rsidR="00873667" w:rsidRPr="00003EC3" w:rsidRDefault="00873667">
            <w:pPr>
              <w:spacing w:after="0" w:line="240" w:lineRule="auto"/>
              <w:jc w:val="both"/>
              <w:rPr>
                <w:rFonts w:asciiTheme="minorHAnsi" w:hAnsiTheme="minorHAnsi"/>
                <w:bCs/>
                <w:sz w:val="20"/>
                <w:szCs w:val="20"/>
              </w:rPr>
            </w:pPr>
          </w:p>
          <w:p w14:paraId="1244248C"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2. Al capitolo 3 inserito a norma del paragrafo 1, l'articolo 2.5.8 è aggiunto come segue: </w:t>
            </w:r>
          </w:p>
          <w:p w14:paraId="5B3AD537"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Articolo 2.5.8. Gli operatori e le emittenti di cui al decreto del 1° marzo 2007 sulla tutela dell'ambiente contro i potenziali effetti nocivi e negativi causati dalle radiazioni non ionizzanti ed elencati dal governo sono tenuti ad attuare, entro la data fissata dal governo e al più tardi entro 2 anni dall'entrata in vigore del presente articolo, un "piano digitale sostenibile e responsabile" al fine di ridurre il consumo energetico e le emissioni di gas a effetto serra delle loro attività, in particolare sensibilizzando in merito all'aumento del consumo di dati mobili. Il piano ha una durata di 5 anni ed è rinnovato per ogni periodo successivo di 5 anni. Il piano è approvato dall'amministrazione di Bruxelles per l'ambiente prima della sua attuazione. </w:t>
            </w:r>
          </w:p>
          <w:p w14:paraId="7B128E52"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Il governo stabilisce i termini per la preparazione e l'attuazione di tale piano. In particolare, stabilisce il contenuto minimo del piano e i suoi termini per l'adozione, la modifica e il rinnovo, nonché gli obiettivi quantificati che devono essere perseguiti dal piano. Il governo può anche estendere l'obbligo di attuare un "piano digitale sostenibile e responsabile" ad altre persone giuridiche.". </w:t>
            </w:r>
          </w:p>
          <w:p w14:paraId="11EADCD9" w14:textId="77777777" w:rsidR="00873667" w:rsidRPr="00003EC3" w:rsidRDefault="00873667">
            <w:pPr>
              <w:spacing w:after="0" w:line="240" w:lineRule="auto"/>
              <w:jc w:val="both"/>
              <w:rPr>
                <w:rFonts w:asciiTheme="minorHAnsi" w:hAnsiTheme="minorHAnsi"/>
                <w:b/>
                <w:sz w:val="20"/>
                <w:szCs w:val="20"/>
              </w:rPr>
            </w:pPr>
          </w:p>
          <w:p w14:paraId="7A272A73"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3. All'articolo 2.6.6 del medesimo decreto è aggiunta una lettera f) che recita come segue:</w:t>
            </w:r>
          </w:p>
          <w:p w14:paraId="4B9471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"f) operatori, emittenti e persone giuridiche che, pur soggetti all'obbligo imposto dall'articolo 2.5.8 o ai sensi del medesimo, non vi si conformano.".</w:t>
            </w:r>
          </w:p>
          <w:p w14:paraId="18DD4CF0" w14:textId="77777777" w:rsidR="00873667" w:rsidRPr="00003EC3" w:rsidRDefault="00873667">
            <w:pPr>
              <w:spacing w:after="0" w:line="240" w:lineRule="auto"/>
              <w:jc w:val="both"/>
              <w:rPr>
                <w:rFonts w:asciiTheme="minorHAnsi" w:hAnsiTheme="minorHAnsi"/>
                <w:b/>
                <w:sz w:val="20"/>
                <w:szCs w:val="20"/>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Capitolo 5. Disposizioni di modifica, transitorie e di entrata in vigore</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Articolo 12.</w:t>
            </w:r>
          </w:p>
          <w:p w14:paraId="3B265679"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L'articolo 10 del decreto del 1° marzo 2007 sulla tutela dell'ambiente contro i potenziali effetti nocivi e negativi causati dalle radiazioni non ionizzanti è soppresso. </w:t>
            </w:r>
          </w:p>
          <w:p w14:paraId="48D02DBB" w14:textId="77777777" w:rsidR="00873667" w:rsidRPr="00003EC3" w:rsidRDefault="00873667">
            <w:pPr>
              <w:spacing w:after="0" w:line="240" w:lineRule="auto"/>
              <w:jc w:val="both"/>
              <w:rPr>
                <w:rFonts w:asciiTheme="minorHAnsi" w:hAnsiTheme="minorHAnsi"/>
                <w:b/>
                <w:sz w:val="20"/>
                <w:szCs w:val="20"/>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Articolo 13.</w:t>
            </w:r>
          </w:p>
          <w:p w14:paraId="0F8B4B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Entro 30 giorni dall'entrata in vigore del presente decreto, l'amministrazione di Bruxelles per l'ambiente notifica agli operatori le cui autorizzazioni ambientali contribuiscono ad un superamento delle norme di cui all'articolo 3, paragrafo 1 bis, del decreto del 1° marzo 2007 sulla tutela dell'ambiente contro i potenziali effetti nocivi e negativi causati dalle radiazioni non ionizzanti, quale inserito dal presente decreto, il loro obbligo di presentare, entro due mesi, una domanda di autorizzazione ambientale per conformarsi agli obblighi del decreto del 1° marzo 2007 sulla tutela dell'ambiente contro i potenziali effetti nocivi e negativi causati dalle radiazioni non ionizzanti, come modificato dal presente decreto. </w:t>
            </w:r>
          </w:p>
          <w:p w14:paraId="6DED1FE9"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L'esercizio da parte degli operatori delle antenne interessate può proseguire nonostante le norme di cui all'articolo 3, paragrafo 1 bis, del decreto del 1° marzo 2007 sulla tutela dell'ambiente contro i potenziali effetti nocivi e negativi causati dalle radiazioni non ionizzanti, quale inserito dal presente decreto, fino alla notifica della decisione riguardo alla domanda di autorizzazione ambientale. </w:t>
            </w:r>
          </w:p>
          <w:p w14:paraId="3CEE12CC" w14:textId="77777777" w:rsidR="00873667" w:rsidRPr="00003EC3" w:rsidRDefault="00873667">
            <w:pPr>
              <w:spacing w:after="0" w:line="240" w:lineRule="auto"/>
              <w:jc w:val="both"/>
              <w:rPr>
                <w:rFonts w:asciiTheme="minorHAnsi" w:hAnsiTheme="minorHAnsi"/>
                <w:b/>
                <w:sz w:val="20"/>
                <w:szCs w:val="20"/>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Articolo 14. </w:t>
            </w:r>
          </w:p>
          <w:p w14:paraId="4670636C" w14:textId="77777777" w:rsidR="00873667" w:rsidRDefault="00873667">
            <w:pPr>
              <w:spacing w:after="0" w:line="240" w:lineRule="auto"/>
              <w:jc w:val="both"/>
              <w:rPr>
                <w:rFonts w:asciiTheme="minorHAnsi" w:hAnsiTheme="minorHAnsi"/>
                <w:b/>
                <w:sz w:val="20"/>
                <w:szCs w:val="20"/>
              </w:rPr>
            </w:pPr>
            <w:r>
              <w:rPr>
                <w:rFonts w:asciiTheme="minorHAnsi" w:hAnsiTheme="minorHAnsi"/>
                <w:sz w:val="20"/>
              </w:rPr>
              <w:t xml:space="preserve">Il presente decreto entra in vigore il primo giorno del mese successivo alla scadenza di un termine di dieci giorni a decorrere dal giorno successivo alla pubblicazione nella Gazzetta ufficiale belga, ad eccezione dell'articolo 5, paragrafo 2 (solo per quanto riguarda il futuro articolo 4, paragrafo 3, del decreto del 1° marzo 2007 sulla tutela dell'ambiente contro i potenziali effetti nocivi e negativi causati dalle radiazioni non ionizzanti) e degli articoli 8 e 11 la cui data di entrata in vigore è fissata dal governo. </w:t>
            </w:r>
          </w:p>
          <w:p w14:paraId="60A2F821" w14:textId="77777777" w:rsidR="00873667" w:rsidRPr="00003EC3" w:rsidRDefault="00873667">
            <w:pPr>
              <w:spacing w:after="0" w:line="240" w:lineRule="auto"/>
              <w:jc w:val="both"/>
              <w:rPr>
                <w:rFonts w:asciiTheme="minorHAnsi" w:hAnsiTheme="minorHAnsi"/>
                <w:b/>
                <w:sz w:val="20"/>
                <w:szCs w:val="20"/>
              </w:rPr>
            </w:pPr>
          </w:p>
        </w:tc>
      </w:tr>
    </w:tbl>
    <w:p w14:paraId="155A3904" w14:textId="414A1C9B" w:rsidR="00873667" w:rsidRPr="00003EC3" w:rsidRDefault="00873667" w:rsidP="00873667"/>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rFonts w:asciiTheme="minorHAnsi" w:hAnsiTheme="minorHAnsi"/>
                <w:sz w:val="20"/>
                <w:szCs w:val="20"/>
              </w:rPr>
            </w:pPr>
            <w:r>
              <w:rPr>
                <w:rFonts w:asciiTheme="minorHAnsi" w:hAnsiTheme="minorHAnsi"/>
                <w:sz w:val="20"/>
              </w:rPr>
              <w:t>Bruxelles,</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rFonts w:asciiTheme="minorHAnsi" w:hAnsiTheme="minorHAnsi"/>
                <w:sz w:val="20"/>
                <w:szCs w:val="20"/>
              </w:rPr>
            </w:pPr>
            <w:r>
              <w:rPr>
                <w:rFonts w:asciiTheme="minorHAnsi" w:hAnsiTheme="minorHAnsi"/>
                <w:sz w:val="20"/>
              </w:rPr>
              <w:t>Per conto del governo della regione di Bruxelles-Capitale,</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003EC3" w:rsidRDefault="00873667" w:rsidP="00873667">
            <w:pPr>
              <w:spacing w:after="0" w:line="240" w:lineRule="auto"/>
              <w:rPr>
                <w:rFonts w:asciiTheme="minorHAnsi" w:hAnsiTheme="minorHAnsi"/>
                <w:sz w:val="20"/>
                <w:szCs w:val="20"/>
              </w:rPr>
            </w:pPr>
          </w:p>
        </w:tc>
        <w:tc>
          <w:tcPr>
            <w:tcW w:w="4961" w:type="dxa"/>
            <w:shd w:val="clear" w:color="auto" w:fill="auto"/>
          </w:tcPr>
          <w:p w14:paraId="20116099" w14:textId="77777777" w:rsidR="00873667" w:rsidRPr="00003EC3"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rPr>
            </w:pPr>
          </w:p>
        </w:tc>
      </w:tr>
    </w:tbl>
    <w:p w14:paraId="62E0C8D1" w14:textId="77777777" w:rsidR="00873667" w:rsidRPr="00003EC3" w:rsidRDefault="00873667" w:rsidP="00873667">
      <w:pPr>
        <w:spacing w:after="0" w:line="240" w:lineRule="auto"/>
        <w:jc w:val="both"/>
        <w:rPr>
          <w:rFonts w:asciiTheme="minorHAnsi" w:hAnsiTheme="minorHAnsi" w:cstheme="minorHAnsi"/>
          <w:sz w:val="20"/>
          <w:szCs w:val="20"/>
        </w:rPr>
      </w:pPr>
    </w:p>
    <w:p w14:paraId="6484EA2B" w14:textId="77777777" w:rsidR="00873667" w:rsidRPr="00003EC3" w:rsidRDefault="00873667" w:rsidP="00873667">
      <w:pPr>
        <w:spacing w:after="0" w:line="240" w:lineRule="auto"/>
        <w:jc w:val="both"/>
        <w:rPr>
          <w:rFonts w:asciiTheme="minorHAnsi" w:hAnsiTheme="minorHAnsi" w:cstheme="minorHAnsi"/>
          <w:sz w:val="20"/>
          <w:szCs w:val="20"/>
        </w:rPr>
      </w:pPr>
    </w:p>
    <w:p w14:paraId="5A18513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R. VERVOORT</w:t>
      </w:r>
    </w:p>
    <w:p w14:paraId="4D31CE76" w14:textId="3E9F61CF"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Ministro-presidente della regione di Bruxelles-Capitale.</w:t>
      </w:r>
    </w:p>
    <w:p w14:paraId="0ACA50B3" w14:textId="77777777" w:rsidR="00873667" w:rsidRPr="00003EC3" w:rsidRDefault="00873667" w:rsidP="00873667">
      <w:pPr>
        <w:spacing w:after="0" w:line="240" w:lineRule="auto"/>
        <w:jc w:val="center"/>
        <w:rPr>
          <w:rFonts w:asciiTheme="minorHAnsi" w:hAnsiTheme="minorHAnsi" w:cstheme="minorHAnsi"/>
          <w:sz w:val="20"/>
          <w:szCs w:val="20"/>
        </w:rPr>
      </w:pPr>
    </w:p>
    <w:p w14:paraId="0E868F9D"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E. VAN DEN BRANDT</w:t>
      </w:r>
    </w:p>
    <w:p w14:paraId="0FD79330" w14:textId="037809FC" w:rsid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Ministro per la Mobilità, i lavori pubblici e la sicurezza stradale.</w:t>
      </w:r>
    </w:p>
    <w:p w14:paraId="2F23BC79" w14:textId="77777777" w:rsidR="00873667" w:rsidRPr="00003EC3" w:rsidRDefault="00873667" w:rsidP="00873667">
      <w:pPr>
        <w:spacing w:after="0" w:line="240" w:lineRule="auto"/>
        <w:jc w:val="center"/>
        <w:rPr>
          <w:rFonts w:asciiTheme="minorHAnsi" w:hAnsiTheme="minorHAnsi" w:cstheme="minorHAnsi"/>
          <w:sz w:val="20"/>
          <w:szCs w:val="20"/>
        </w:rPr>
      </w:pPr>
    </w:p>
    <w:p w14:paraId="5C36561A" w14:textId="77777777" w:rsidR="00873667" w:rsidRPr="00404725"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A. MARON</w:t>
      </w:r>
    </w:p>
    <w:p w14:paraId="67F20717" w14:textId="3CC9598F" w:rsidR="00873667" w:rsidRPr="00AD5588"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Ministro per la Transizione climatica, l'ambiente, l'energia e la democrazia partecipativa.</w:t>
      </w:r>
    </w:p>
    <w:p w14:paraId="4B06F6AA"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S. GATZ</w:t>
      </w:r>
    </w:p>
    <w:p w14:paraId="215BED01" w14:textId="5190AA1C"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Ministro</w:t>
      </w:r>
      <w:r>
        <w:rPr>
          <w:rFonts w:asciiTheme="minorHAnsi" w:hAnsiTheme="minorHAnsi"/>
          <w:color w:val="333333"/>
          <w:sz w:val="20"/>
          <w:shd w:val="clear" w:color="auto" w:fill="FFFFFF"/>
        </w:rPr>
        <w:t xml:space="preserve"> </w:t>
      </w:r>
      <w:r>
        <w:rPr>
          <w:rFonts w:asciiTheme="minorHAnsi" w:hAnsiTheme="minorHAnsi"/>
          <w:sz w:val="20"/>
        </w:rPr>
        <w:t>per le Finanze, il bilancio, la funzione pubblica, la promozione del multilinguismo e l'immagine di Bruxelles.</w:t>
      </w:r>
    </w:p>
    <w:p w14:paraId="5E9FF636" w14:textId="77777777" w:rsidR="00873667" w:rsidRPr="00003EC3" w:rsidRDefault="00873667" w:rsidP="00873667">
      <w:pPr>
        <w:spacing w:after="0" w:line="240" w:lineRule="auto"/>
        <w:jc w:val="center"/>
        <w:rPr>
          <w:rFonts w:asciiTheme="minorHAnsi" w:hAnsiTheme="minorHAnsi" w:cstheme="minorHAnsi"/>
          <w:sz w:val="20"/>
          <w:szCs w:val="20"/>
        </w:rPr>
      </w:pPr>
    </w:p>
    <w:p w14:paraId="39B54DF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CERLFAYT</w:t>
      </w:r>
    </w:p>
    <w:p w14:paraId="5443ECE7" w14:textId="4C81C041"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Ministro dell'Occupazione e della formazione professionale, della transizione digitale, degli enti locali e del benessere degli animali.</w:t>
      </w:r>
    </w:p>
    <w:p w14:paraId="76D391AC" w14:textId="77777777" w:rsidR="00873667" w:rsidRPr="00003EC3" w:rsidRDefault="00873667" w:rsidP="00873667">
      <w:pPr>
        <w:spacing w:after="0" w:line="240" w:lineRule="auto"/>
        <w:jc w:val="center"/>
        <w:rPr>
          <w:rFonts w:asciiTheme="minorHAnsi" w:hAnsiTheme="minorHAnsi" w:cstheme="minorHAnsi"/>
          <w:sz w:val="20"/>
          <w:szCs w:val="20"/>
        </w:rPr>
      </w:pPr>
    </w:p>
    <w:p w14:paraId="2D887231"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N. BEN HAMOU</w:t>
      </w:r>
    </w:p>
    <w:p w14:paraId="66917B45"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Segretario di Stato per l'edilizia abitativa e le pari opportunità.</w:t>
      </w:r>
    </w:p>
    <w:p w14:paraId="6FA2FE24" w14:textId="77777777" w:rsidR="00873667" w:rsidRPr="00003EC3" w:rsidRDefault="00873667" w:rsidP="00873667">
      <w:pPr>
        <w:spacing w:after="0" w:line="240" w:lineRule="auto"/>
        <w:jc w:val="center"/>
        <w:rPr>
          <w:rFonts w:asciiTheme="minorHAnsi" w:hAnsiTheme="minorHAnsi" w:cstheme="minorHAnsi"/>
          <w:sz w:val="20"/>
          <w:szCs w:val="20"/>
        </w:rPr>
      </w:pPr>
    </w:p>
    <w:p w14:paraId="5AFC9699"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TRACHTE</w:t>
      </w:r>
    </w:p>
    <w:p w14:paraId="272A5E99"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lastRenderedPageBreak/>
        <w:t>Segretario di Stato per la transizione economica e la ricerca scientifica.</w:t>
      </w:r>
    </w:p>
    <w:p w14:paraId="42F74CF6" w14:textId="77777777" w:rsidR="00873667" w:rsidRPr="00003EC3" w:rsidRDefault="00873667" w:rsidP="00873667">
      <w:pPr>
        <w:spacing w:after="0" w:line="240" w:lineRule="auto"/>
        <w:rPr>
          <w:rFonts w:asciiTheme="minorHAnsi" w:hAnsiTheme="minorHAnsi" w:cstheme="minorHAnsi"/>
          <w:sz w:val="20"/>
          <w:szCs w:val="20"/>
        </w:rPr>
      </w:pPr>
    </w:p>
    <w:p w14:paraId="03B3C3B2"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P. SMET</w:t>
      </w:r>
    </w:p>
    <w:p w14:paraId="2267296E" w14:textId="77777777" w:rsidR="00873667" w:rsidRPr="00B93F33" w:rsidRDefault="00873667" w:rsidP="00873667">
      <w:pPr>
        <w:spacing w:after="0" w:line="240" w:lineRule="auto"/>
        <w:jc w:val="center"/>
        <w:rPr>
          <w:rFonts w:asciiTheme="minorHAnsi" w:hAnsiTheme="minorHAnsi" w:cstheme="minorHAnsi"/>
          <w:b/>
          <w:bCs/>
          <w:caps/>
          <w:sz w:val="20"/>
          <w:szCs w:val="20"/>
          <w:u w:val="single"/>
        </w:rPr>
      </w:pPr>
      <w:r>
        <w:rPr>
          <w:rFonts w:asciiTheme="minorHAnsi" w:hAnsiTheme="minorHAnsi"/>
          <w:sz w:val="20"/>
        </w:rPr>
        <w:t>Segretario di Stato per l'urbanistica e il patrimonio, le relazioni europee e internazionali, il commercio estero e la lotta antincendio e il soccorso medico d'urgenza.</w:t>
      </w:r>
    </w:p>
    <w:p w14:paraId="53382B18" w14:textId="28B96DA2" w:rsidR="00873667" w:rsidRPr="00003EC3" w:rsidRDefault="00873667" w:rsidP="00873667"/>
    <w:sectPr w:rsidR="00873667" w:rsidRPr="00003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003EC3"/>
    <w:rsid w:val="003D1F7F"/>
    <w:rsid w:val="00404725"/>
    <w:rsid w:val="00457E5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4051</Words>
  <Characters>23094</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Dimitris Dimitriadis</cp:lastModifiedBy>
  <cp:revision>6</cp:revision>
  <dcterms:created xsi:type="dcterms:W3CDTF">2022-10-04T13:25:00Z</dcterms:created>
  <dcterms:modified xsi:type="dcterms:W3CDTF">2022-10-19T14:27:00Z</dcterms:modified>
</cp:coreProperties>
</file>