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780" w:type="dxa"/>
        <w:tblInd w:w="-318" w:type="dxa"/>
        <w:tblLayout w:type="fixed"/>
        <w:tblCellMar>
          <w:left w:w="10" w:type="dxa"/>
          <w:right w:w="10" w:type="dxa"/>
        </w:tblCellMar>
        <w:tblLook w:val="04A0" w:firstRow="1" w:lastRow="0" w:firstColumn="1" w:lastColumn="0" w:noHBand="0" w:noVBand="1"/>
      </w:tblPr>
      <w:tblGrid>
        <w:gridCol w:w="9780"/>
      </w:tblGrid>
      <w:tr w:rsidR="00873667" w:rsidRPr="00404725" w14:paraId="0C3E33F5" w14:textId="77777777" w:rsidTr="00873667">
        <w:tc>
          <w:tcPr>
            <w:tcW w:w="4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60BB20" w14:textId="6C1331AA" w:rsidR="00873667" w:rsidRDefault="00873667">
            <w:pPr>
              <w:pStyle w:val="Textbody"/>
              <w:spacing w:after="0" w:line="276" w:lineRule="auto"/>
              <w:jc w:val="both"/>
              <w:rPr>
                <w:b/>
                <w:bCs/>
                <w:sz w:val="20"/>
                <w:szCs w:val="20"/>
                <w:rFonts w:ascii="Calibri" w:hAnsi="Calibri"/>
              </w:rPr>
            </w:pPr>
            <w:r>
              <w:rPr>
                <w:b/>
                <w:sz w:val="20"/>
                <w:rFonts w:ascii="Calibri" w:hAnsi="Calibri"/>
              </w:rPr>
              <w:t xml:space="preserve">WSTĘPNY PROJEKT ROZPORZĄDZENIA ZMIENIAJĄCEGO ROZPORZĄDZENIE Z DNIA 1 MARCA 2007 R. W SPRAWIE OCHRONY ŚRODOWISKA PRZED WSZELKIMI NIEKORZYSTNYMI I SZKODLIWYMI SKUTKAMI POWODOWANYMI PRZEZ PROMIENIOWANIE NIEJONIZUJĄCE, ROZPORZĄDZENIE Z DNIA 5 CZERWCA 1997 R. DOTYCZĄCE POZWOLEŃ ŚRODOWISKOWYCH ORAZ</w:t>
            </w:r>
            <w:r>
              <w:rPr>
                <w:sz w:val="22"/>
                <w:rFonts w:ascii="Calibri" w:hAnsi="Calibri"/>
              </w:rPr>
              <w:t xml:space="preserve"> </w:t>
            </w:r>
            <w:r>
              <w:rPr>
                <w:b/>
                <w:sz w:val="20"/>
                <w:rFonts w:ascii="Calibri" w:hAnsi="Calibri"/>
              </w:rPr>
              <w:t xml:space="preserve">ROZPORZĄDZENIE Z DNIA 2 MAJA 2013 R. W SPRAWIE BRUKSELSKIEGO KODEKSU ZARZĄDZANIA POWIETRZEM, KLIMATEM I ENERGIĄ</w:t>
            </w:r>
          </w:p>
          <w:p w14:paraId="38F78F38" w14:textId="77777777" w:rsidR="00873667" w:rsidRDefault="00873667">
            <w:pPr>
              <w:pStyle w:val="Textbody"/>
              <w:spacing w:after="0" w:line="276" w:lineRule="auto"/>
              <w:jc w:val="both"/>
              <w:rPr>
                <w:rFonts w:ascii="Calibri" w:hAnsi="Calibri"/>
                <w:b/>
                <w:bCs/>
                <w:sz w:val="20"/>
                <w:szCs w:val="20"/>
                <w:lang w:val="fr-BE"/>
              </w:rPr>
            </w:pPr>
          </w:p>
        </w:tc>
      </w:tr>
      <w:tr w:rsidR="00873667" w14:paraId="34B1D417" w14:textId="77777777" w:rsidTr="00873667">
        <w:tc>
          <w:tcPr>
            <w:tcW w:w="4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5C04F6" w14:textId="77777777" w:rsidR="00873667" w:rsidRDefault="00873667">
            <w:pPr>
              <w:spacing w:after="0" w:line="240" w:lineRule="auto"/>
              <w:jc w:val="both"/>
              <w:rPr>
                <w:color w:val="000000" w:themeColor="text1"/>
                <w:sz w:val="20"/>
                <w:szCs w:val="20"/>
                <w:rFonts w:asciiTheme="minorHAnsi" w:hAnsiTheme="minorHAnsi"/>
              </w:rPr>
            </w:pPr>
            <w:r>
              <w:rPr>
                <w:color w:val="000000" w:themeColor="text1"/>
                <w:sz w:val="20"/>
                <w:rFonts w:asciiTheme="minorHAnsi" w:hAnsiTheme="minorHAnsi"/>
              </w:rPr>
              <w:t xml:space="preserve">Rząd Regionu Stołecznego Brukseli,</w:t>
            </w:r>
          </w:p>
          <w:p w14:paraId="6A372BBA" w14:textId="77777777" w:rsidR="00873667" w:rsidRDefault="00873667">
            <w:pPr>
              <w:spacing w:after="0" w:line="240" w:lineRule="auto"/>
              <w:jc w:val="both"/>
              <w:rPr>
                <w:rFonts w:asciiTheme="minorHAnsi" w:hAnsiTheme="minorHAnsi"/>
                <w:color w:val="000000" w:themeColor="text1"/>
                <w:sz w:val="20"/>
                <w:szCs w:val="20"/>
                <w:lang w:val="fr-BE"/>
              </w:rPr>
            </w:pPr>
          </w:p>
          <w:p w14:paraId="61958105" w14:textId="77777777" w:rsidR="00873667" w:rsidRDefault="00873667">
            <w:pPr>
              <w:spacing w:after="0" w:line="240" w:lineRule="auto"/>
              <w:jc w:val="both"/>
              <w:rPr>
                <w:color w:val="000000" w:themeColor="text1"/>
                <w:sz w:val="20"/>
                <w:szCs w:val="20"/>
                <w:rFonts w:asciiTheme="minorHAnsi" w:hAnsiTheme="minorHAnsi"/>
              </w:rPr>
            </w:pPr>
            <w:r>
              <w:rPr>
                <w:color w:val="000000" w:themeColor="text1"/>
                <w:sz w:val="20"/>
                <w:rFonts w:asciiTheme="minorHAnsi" w:hAnsiTheme="minorHAnsi"/>
              </w:rPr>
              <w:t xml:space="preserve">uwzględniając sprawozdanie oceniające, zwane „testem równych szans”, wymagane na mocy art. 2 ust. 1 rozporządzenia z dnia 4 października 2018 r. w sprawie wprowadzenia testu równych szans w liniach politycznych Regionu Stołecznego Brukseli oraz art. 1 dekretu rządu Regionu Stołecznego Brukseli z dnia 22 listopada 2018 r. wprowadzającego w życie niniejsze rozporządzenie;</w:t>
            </w:r>
            <w:r>
              <w:rPr>
                <w:color w:val="000000" w:themeColor="text1"/>
                <w:sz w:val="20"/>
                <w:rFonts w:asciiTheme="minorHAnsi" w:hAnsiTheme="minorHAnsi"/>
              </w:rPr>
              <w:t xml:space="preserve"> </w:t>
            </w:r>
          </w:p>
          <w:p w14:paraId="3F837FB9" w14:textId="77777777" w:rsidR="00873667" w:rsidRDefault="00873667">
            <w:pPr>
              <w:spacing w:after="0" w:line="240" w:lineRule="auto"/>
              <w:jc w:val="both"/>
              <w:rPr>
                <w:rFonts w:asciiTheme="minorHAnsi" w:hAnsiTheme="minorHAnsi"/>
                <w:color w:val="000000" w:themeColor="text1"/>
                <w:sz w:val="20"/>
                <w:szCs w:val="20"/>
                <w:lang w:val="fr-BE"/>
              </w:rPr>
            </w:pPr>
          </w:p>
          <w:p w14:paraId="32C7AD0E" w14:textId="77777777" w:rsidR="00873667" w:rsidRDefault="00873667">
            <w:pPr>
              <w:spacing w:after="0" w:line="240" w:lineRule="auto"/>
              <w:jc w:val="both"/>
              <w:rPr>
                <w:color w:val="000000" w:themeColor="text1"/>
                <w:sz w:val="20"/>
                <w:szCs w:val="20"/>
                <w:rFonts w:asciiTheme="minorHAnsi" w:hAnsiTheme="minorHAnsi"/>
              </w:rPr>
            </w:pPr>
            <w:r>
              <w:rPr>
                <w:color w:val="000000" w:themeColor="text1"/>
                <w:sz w:val="20"/>
                <w:rFonts w:asciiTheme="minorHAnsi" w:hAnsiTheme="minorHAnsi"/>
              </w:rPr>
              <w:t xml:space="preserve">uwzględniając dyrektywę Parlamentu Europejskiego i Rady (UE) 2018/1972 z dnia 11 grudnia 2018 r. ustanawiającą Europejski kodeks łączności elektronicznej, art. 57.5;</w:t>
            </w:r>
          </w:p>
          <w:p w14:paraId="3146CB8D" w14:textId="77777777" w:rsidR="00873667" w:rsidRDefault="00873667">
            <w:pPr>
              <w:spacing w:after="0" w:line="240" w:lineRule="auto"/>
              <w:jc w:val="both"/>
              <w:rPr>
                <w:rFonts w:asciiTheme="minorHAnsi" w:hAnsiTheme="minorHAnsi"/>
                <w:color w:val="000000" w:themeColor="text1"/>
                <w:sz w:val="20"/>
                <w:szCs w:val="20"/>
                <w:lang w:val="fr-BE"/>
              </w:rPr>
            </w:pPr>
          </w:p>
          <w:p w14:paraId="03FBB56C" w14:textId="77777777" w:rsidR="00873667" w:rsidRDefault="00873667">
            <w:pPr>
              <w:spacing w:after="0" w:line="240" w:lineRule="auto"/>
              <w:jc w:val="both"/>
              <w:rPr>
                <w:rFonts w:asciiTheme="minorHAnsi" w:hAnsiTheme="minorHAnsi"/>
                <w:color w:val="000000" w:themeColor="text1"/>
                <w:sz w:val="20"/>
                <w:szCs w:val="20"/>
                <w:lang w:val="fr-BE"/>
              </w:rPr>
            </w:pPr>
          </w:p>
          <w:p w14:paraId="6A6B9180" w14:textId="77777777" w:rsidR="00873667" w:rsidRDefault="00873667">
            <w:pPr>
              <w:spacing w:after="0" w:line="240" w:lineRule="auto"/>
              <w:jc w:val="both"/>
              <w:rPr>
                <w:color w:val="000000" w:themeColor="text1"/>
                <w:sz w:val="20"/>
                <w:szCs w:val="20"/>
                <w:rFonts w:asciiTheme="minorHAnsi" w:hAnsiTheme="minorHAnsi"/>
              </w:rPr>
            </w:pPr>
            <w:r>
              <w:rPr>
                <w:color w:val="000000" w:themeColor="text1"/>
                <w:sz w:val="20"/>
                <w:rFonts w:asciiTheme="minorHAnsi" w:hAnsiTheme="minorHAnsi"/>
              </w:rPr>
              <w:t xml:space="preserve">uwzględniając rozporządzenie z dnia 1 marca 2007 r. w sprawie ochrony środowiska przed wszelkimi niekorzystnymi i szkodliwymi skutkami powodowanymi przez promieniowanie niejonizujące, zmienione rozporządzeniami z dnia 3 kwietnia 2014 r., 8 maja 2014 r. i 27 czerwca 2016 r.;</w:t>
            </w:r>
          </w:p>
          <w:p w14:paraId="3BB9CE37" w14:textId="77777777" w:rsidR="00873667" w:rsidRDefault="00873667">
            <w:pPr>
              <w:spacing w:after="0" w:line="240" w:lineRule="auto"/>
              <w:jc w:val="both"/>
              <w:rPr>
                <w:rFonts w:asciiTheme="minorHAnsi" w:hAnsiTheme="minorHAnsi"/>
                <w:color w:val="000000" w:themeColor="text1"/>
                <w:sz w:val="20"/>
                <w:szCs w:val="20"/>
                <w:lang w:val="fr-BE"/>
              </w:rPr>
            </w:pPr>
          </w:p>
          <w:p w14:paraId="6228F157" w14:textId="77777777" w:rsidR="00873667" w:rsidRDefault="00873667">
            <w:pPr>
              <w:spacing w:after="0" w:line="240" w:lineRule="auto"/>
              <w:jc w:val="both"/>
              <w:rPr>
                <w:color w:val="000000" w:themeColor="text1"/>
                <w:sz w:val="20"/>
                <w:szCs w:val="20"/>
                <w:rFonts w:asciiTheme="minorHAnsi" w:hAnsiTheme="minorHAnsi"/>
              </w:rPr>
            </w:pPr>
            <w:r>
              <w:rPr>
                <w:color w:val="000000" w:themeColor="text1"/>
                <w:sz w:val="20"/>
                <w:rFonts w:asciiTheme="minorHAnsi" w:hAnsiTheme="minorHAnsi"/>
              </w:rPr>
              <w:t xml:space="preserve">uwzględniając opinię Brupartners wydaną w dniu 18 listopada 2021 r.;</w:t>
            </w:r>
            <w:r>
              <w:rPr>
                <w:color w:val="000000" w:themeColor="text1"/>
                <w:sz w:val="20"/>
                <w:rFonts w:asciiTheme="minorHAnsi" w:hAnsiTheme="minorHAnsi"/>
              </w:rPr>
              <w:t xml:space="preserve"> </w:t>
            </w:r>
          </w:p>
          <w:p w14:paraId="57BF7CE2" w14:textId="77777777" w:rsidR="00873667" w:rsidRDefault="00873667">
            <w:pPr>
              <w:spacing w:after="0" w:line="240" w:lineRule="auto"/>
              <w:jc w:val="both"/>
              <w:rPr>
                <w:rFonts w:asciiTheme="minorHAnsi" w:hAnsiTheme="minorHAnsi"/>
                <w:color w:val="000000" w:themeColor="text1"/>
                <w:sz w:val="20"/>
                <w:szCs w:val="20"/>
                <w:lang w:val="fr-BE"/>
              </w:rPr>
            </w:pPr>
          </w:p>
          <w:p w14:paraId="6826C19E" w14:textId="77777777" w:rsidR="00873667" w:rsidRDefault="00873667">
            <w:pPr>
              <w:spacing w:after="0" w:line="240" w:lineRule="auto"/>
              <w:jc w:val="both"/>
              <w:rPr>
                <w:rFonts w:asciiTheme="minorHAnsi" w:hAnsiTheme="minorHAnsi"/>
                <w:color w:val="000000" w:themeColor="text1"/>
                <w:sz w:val="20"/>
                <w:szCs w:val="20"/>
                <w:lang w:val="fr-BE"/>
              </w:rPr>
            </w:pPr>
          </w:p>
          <w:p w14:paraId="31DEAA3C" w14:textId="77777777" w:rsidR="00873667" w:rsidRDefault="00873667">
            <w:pPr>
              <w:spacing w:after="0" w:line="240" w:lineRule="auto"/>
              <w:jc w:val="both"/>
              <w:rPr>
                <w:color w:val="000000" w:themeColor="text1"/>
                <w:sz w:val="20"/>
                <w:szCs w:val="20"/>
                <w:rFonts w:asciiTheme="minorHAnsi" w:hAnsiTheme="minorHAnsi"/>
              </w:rPr>
            </w:pPr>
            <w:r>
              <w:rPr>
                <w:color w:val="000000" w:themeColor="text1"/>
                <w:sz w:val="20"/>
                <w:rFonts w:asciiTheme="minorHAnsi" w:hAnsiTheme="minorHAnsi"/>
              </w:rPr>
              <w:t xml:space="preserve">uwzględniając opinię Rady ds. Środowiska wydaną w dniu 25 listopada 2021 r.;</w:t>
            </w:r>
          </w:p>
          <w:p w14:paraId="46357F7C" w14:textId="77777777" w:rsidR="00873667" w:rsidRDefault="00873667">
            <w:pPr>
              <w:spacing w:after="0" w:line="240" w:lineRule="auto"/>
              <w:jc w:val="both"/>
              <w:rPr>
                <w:rFonts w:asciiTheme="minorHAnsi" w:hAnsiTheme="minorHAnsi"/>
                <w:color w:val="000000" w:themeColor="text1"/>
                <w:sz w:val="20"/>
                <w:szCs w:val="20"/>
                <w:lang w:val="fr-BE"/>
              </w:rPr>
            </w:pPr>
          </w:p>
          <w:p w14:paraId="0D68A106" w14:textId="77777777" w:rsidR="00873667" w:rsidRDefault="00873667">
            <w:pPr>
              <w:spacing w:after="0" w:line="240" w:lineRule="auto"/>
              <w:jc w:val="both"/>
              <w:rPr>
                <w:color w:val="000000" w:themeColor="text1"/>
                <w:sz w:val="20"/>
                <w:szCs w:val="20"/>
                <w:rFonts w:asciiTheme="minorHAnsi" w:hAnsiTheme="minorHAnsi"/>
              </w:rPr>
            </w:pPr>
            <w:r>
              <w:rPr>
                <w:color w:val="000000" w:themeColor="text1"/>
                <w:sz w:val="20"/>
                <w:rFonts w:asciiTheme="minorHAnsi" w:hAnsiTheme="minorHAnsi"/>
              </w:rPr>
              <w:t xml:space="preserve">uwzględniając opinię Komitetu Ekspertów ds. Promieniowania Niejonizującego wydaną w dniu 4 lutego 2022 r.;</w:t>
            </w:r>
            <w:r>
              <w:rPr>
                <w:color w:val="000000" w:themeColor="text1"/>
                <w:sz w:val="20"/>
                <w:rFonts w:asciiTheme="minorHAnsi" w:hAnsiTheme="minorHAnsi"/>
              </w:rPr>
              <w:t xml:space="preserve"> </w:t>
            </w:r>
          </w:p>
          <w:p w14:paraId="01F62904" w14:textId="77777777" w:rsidR="00873667" w:rsidRDefault="00873667">
            <w:pPr>
              <w:spacing w:after="0" w:line="240" w:lineRule="auto"/>
              <w:jc w:val="both"/>
              <w:rPr>
                <w:rFonts w:asciiTheme="minorHAnsi" w:hAnsiTheme="minorHAnsi"/>
                <w:color w:val="000000" w:themeColor="text1"/>
                <w:sz w:val="20"/>
                <w:szCs w:val="20"/>
                <w:lang w:val="fr-BE"/>
              </w:rPr>
            </w:pPr>
          </w:p>
          <w:p w14:paraId="5B903D04" w14:textId="77777777" w:rsidR="00873667" w:rsidRDefault="00873667">
            <w:pPr>
              <w:spacing w:after="0" w:line="240" w:lineRule="auto"/>
              <w:jc w:val="both"/>
              <w:rPr>
                <w:color w:val="000000" w:themeColor="text1"/>
                <w:sz w:val="20"/>
                <w:szCs w:val="20"/>
                <w:rFonts w:asciiTheme="minorHAnsi" w:hAnsiTheme="minorHAnsi"/>
              </w:rPr>
            </w:pPr>
            <w:r>
              <w:rPr>
                <w:color w:val="000000" w:themeColor="text1"/>
                <w:sz w:val="20"/>
                <w:rFonts w:asciiTheme="minorHAnsi" w:hAnsiTheme="minorHAnsi"/>
              </w:rPr>
              <w:t xml:space="preserve">uwzględniając zalecenia komisji obradującej odpowiedzialnej za wydawanie zaleceń w sprawie wdrożenia sieci 5G w Regionie Stołecznym Brukseli, z uwzględnieniem aspektów środowiskowych, zdrowotnych, gospodarczych, zatrudnienia i technologicznych z dnia 5 czerwca 2021 r.;</w:t>
            </w:r>
          </w:p>
          <w:p w14:paraId="4781B5FF" w14:textId="77777777" w:rsidR="00873667" w:rsidRDefault="00873667">
            <w:pPr>
              <w:spacing w:after="0" w:line="240" w:lineRule="auto"/>
              <w:jc w:val="both"/>
              <w:rPr>
                <w:rFonts w:asciiTheme="minorHAnsi" w:hAnsiTheme="minorHAnsi"/>
                <w:color w:val="000000" w:themeColor="text1"/>
                <w:sz w:val="20"/>
                <w:szCs w:val="20"/>
                <w:lang w:val="fr-BE"/>
              </w:rPr>
            </w:pPr>
          </w:p>
          <w:p w14:paraId="562FC590" w14:textId="77777777" w:rsidR="00873667" w:rsidRDefault="00873667">
            <w:pPr>
              <w:spacing w:after="0" w:line="240" w:lineRule="auto"/>
              <w:jc w:val="both"/>
              <w:rPr>
                <w:color w:val="000000" w:themeColor="text1"/>
                <w:sz w:val="20"/>
                <w:szCs w:val="20"/>
                <w:rFonts w:asciiTheme="minorHAnsi" w:hAnsiTheme="minorHAnsi"/>
              </w:rPr>
            </w:pPr>
            <w:r>
              <w:rPr>
                <w:color w:val="000000" w:themeColor="text1"/>
                <w:sz w:val="20"/>
                <w:rFonts w:asciiTheme="minorHAnsi" w:hAnsiTheme="minorHAnsi"/>
              </w:rPr>
              <w:t xml:space="preserve">uwzględniając ocenę oddziaływania na środowisko przeprowadzaną zgodnie z przepisami rozporządzenia z dnia 18 marca 2004 r. w sprawie oceny wpływu niektórych planów i programów na środowisko;</w:t>
            </w:r>
            <w:r>
              <w:rPr>
                <w:color w:val="000000" w:themeColor="text1"/>
                <w:sz w:val="20"/>
                <w:rFonts w:asciiTheme="minorHAnsi" w:hAnsiTheme="minorHAnsi"/>
              </w:rPr>
              <w:t xml:space="preserve"> </w:t>
            </w:r>
          </w:p>
          <w:p w14:paraId="01BAFB8F" w14:textId="77777777" w:rsidR="00873667" w:rsidRDefault="00873667">
            <w:pPr>
              <w:spacing w:after="0" w:line="240" w:lineRule="auto"/>
              <w:jc w:val="both"/>
              <w:rPr>
                <w:rFonts w:asciiTheme="minorHAnsi" w:hAnsiTheme="minorHAnsi"/>
                <w:color w:val="000000" w:themeColor="text1"/>
                <w:sz w:val="20"/>
                <w:szCs w:val="20"/>
                <w:lang w:val="fr-BE"/>
              </w:rPr>
            </w:pPr>
          </w:p>
          <w:p w14:paraId="7D51530B" w14:textId="77777777" w:rsidR="00873667" w:rsidRDefault="00873667">
            <w:pPr>
              <w:spacing w:after="0" w:line="240" w:lineRule="auto"/>
              <w:jc w:val="both"/>
              <w:rPr>
                <w:color w:val="000000" w:themeColor="text1"/>
                <w:sz w:val="20"/>
                <w:szCs w:val="20"/>
                <w:rFonts w:asciiTheme="minorHAnsi" w:hAnsiTheme="minorHAnsi"/>
              </w:rPr>
            </w:pPr>
            <w:r>
              <w:rPr>
                <w:color w:val="000000" w:themeColor="text1"/>
                <w:sz w:val="20"/>
                <w:rFonts w:asciiTheme="minorHAnsi" w:hAnsiTheme="minorHAnsi"/>
              </w:rPr>
              <w:t xml:space="preserve">uwzględniając ustawy o Radzie Stanu, skoordynowane w dniu 12 stycznia 1973 r., art. 3 ust. 1 i 2;</w:t>
            </w:r>
          </w:p>
          <w:p w14:paraId="33EBD2BF" w14:textId="77777777" w:rsidR="00873667" w:rsidRDefault="00873667">
            <w:pPr>
              <w:spacing w:after="0" w:line="240" w:lineRule="auto"/>
              <w:jc w:val="both"/>
              <w:rPr>
                <w:rFonts w:asciiTheme="minorHAnsi" w:hAnsiTheme="minorHAnsi"/>
                <w:color w:val="000000" w:themeColor="text1"/>
                <w:sz w:val="20"/>
                <w:szCs w:val="20"/>
                <w:lang w:val="fr-BE"/>
              </w:rPr>
            </w:pPr>
          </w:p>
          <w:p w14:paraId="7900BCA1" w14:textId="77777777" w:rsidR="00873667" w:rsidRDefault="00873667">
            <w:pPr>
              <w:spacing w:after="0" w:line="240" w:lineRule="auto"/>
              <w:jc w:val="both"/>
              <w:rPr>
                <w:color w:val="000000" w:themeColor="text1"/>
                <w:sz w:val="20"/>
                <w:szCs w:val="20"/>
                <w:rFonts w:asciiTheme="minorHAnsi" w:hAnsiTheme="minorHAnsi"/>
              </w:rPr>
            </w:pPr>
            <w:r>
              <w:rPr>
                <w:color w:val="000000" w:themeColor="text1"/>
                <w:sz w:val="20"/>
                <w:rFonts w:asciiTheme="minorHAnsi" w:hAnsiTheme="minorHAnsi"/>
              </w:rPr>
              <w:t xml:space="preserve">uwzględniając opinię nr [*] Rady Stanu wydaną w dniu [*];</w:t>
            </w:r>
          </w:p>
          <w:p w14:paraId="2C516520" w14:textId="77777777" w:rsidR="00873667" w:rsidRDefault="00873667">
            <w:pPr>
              <w:spacing w:after="0" w:line="240" w:lineRule="auto"/>
              <w:jc w:val="both"/>
              <w:rPr>
                <w:rFonts w:asciiTheme="minorHAnsi" w:hAnsiTheme="minorHAnsi"/>
                <w:color w:val="000000" w:themeColor="text1"/>
                <w:sz w:val="20"/>
                <w:szCs w:val="20"/>
                <w:lang w:val="fr-BE"/>
              </w:rPr>
            </w:pPr>
          </w:p>
          <w:p w14:paraId="49A1412F" w14:textId="77777777" w:rsidR="00873667" w:rsidRDefault="00873667">
            <w:pPr>
              <w:spacing w:after="0" w:line="240" w:lineRule="auto"/>
              <w:jc w:val="both"/>
              <w:rPr>
                <w:color w:val="000000" w:themeColor="text1"/>
                <w:sz w:val="20"/>
                <w:szCs w:val="20"/>
                <w:rFonts w:asciiTheme="minorHAnsi" w:hAnsiTheme="minorHAnsi"/>
              </w:rPr>
            </w:pPr>
            <w:r>
              <w:rPr>
                <w:color w:val="000000" w:themeColor="text1"/>
                <w:sz w:val="20"/>
                <w:rFonts w:asciiTheme="minorHAnsi" w:hAnsiTheme="minorHAnsi"/>
              </w:rPr>
              <w:t xml:space="preserve">mając na uwadze, że opinia Komisji ds. Prywatności nie jest wymagana, ponieważ rozporządzenie Parlamentu Europejskiego i Rady (UE) 2016/679 z dnia 27 kwietnia 2016 r. w sprawie ochrony osób fizycznych w związku z przetwarzaniem danych osobowych i w sprawie swobodnego przepływu takich danych ma zastosowanie wyłącznie do danych osobowych osób fizycznych, a nie do danych osób prawnych;</w:t>
            </w:r>
            <w:r>
              <w:rPr>
                <w:color w:val="000000" w:themeColor="text1"/>
                <w:sz w:val="20"/>
                <w:rFonts w:asciiTheme="minorHAnsi" w:hAnsiTheme="minorHAnsi"/>
              </w:rPr>
              <w:t xml:space="preserve"> </w:t>
            </w:r>
            <w:r>
              <w:rPr>
                <w:color w:val="000000" w:themeColor="text1"/>
                <w:sz w:val="20"/>
                <w:rFonts w:asciiTheme="minorHAnsi" w:hAnsiTheme="minorHAnsi"/>
              </w:rPr>
              <w:t xml:space="preserve">mając na uwadze, że tekst ten dotyczy wyłącznie osób prawnych (operatorów) bez wpływu na dane osobowe osób fizycznych;</w:t>
            </w:r>
            <w:r>
              <w:rPr>
                <w:color w:val="000000" w:themeColor="text1"/>
                <w:sz w:val="20"/>
                <w:rFonts w:asciiTheme="minorHAnsi" w:hAnsiTheme="minorHAnsi"/>
              </w:rPr>
              <w:t xml:space="preserve"> </w:t>
            </w:r>
          </w:p>
          <w:p w14:paraId="4A4E89A1" w14:textId="77777777" w:rsidR="00873667" w:rsidRDefault="00873667">
            <w:pPr>
              <w:spacing w:after="0" w:line="240" w:lineRule="auto"/>
              <w:jc w:val="both"/>
              <w:rPr>
                <w:rFonts w:asciiTheme="minorHAnsi" w:hAnsiTheme="minorHAnsi"/>
                <w:color w:val="000000" w:themeColor="text1"/>
                <w:sz w:val="20"/>
                <w:szCs w:val="20"/>
                <w:lang w:val="fr-BE"/>
              </w:rPr>
            </w:pPr>
          </w:p>
          <w:p w14:paraId="4202D25C" w14:textId="77777777" w:rsidR="00873667" w:rsidRDefault="00873667">
            <w:pPr>
              <w:spacing w:after="0" w:line="240" w:lineRule="auto"/>
              <w:jc w:val="both"/>
              <w:rPr>
                <w:color w:val="000000" w:themeColor="text1"/>
                <w:sz w:val="20"/>
                <w:szCs w:val="20"/>
                <w:rFonts w:asciiTheme="minorHAnsi" w:hAnsiTheme="minorHAnsi"/>
              </w:rPr>
            </w:pPr>
            <w:r>
              <w:rPr>
                <w:color w:val="000000" w:themeColor="text1"/>
                <w:sz w:val="20"/>
                <w:rFonts w:asciiTheme="minorHAnsi" w:hAnsiTheme="minorHAnsi"/>
              </w:rPr>
              <w:t xml:space="preserve">na wniosek Przewodniczącego Rady Ministrów i Ministra Środowiska;</w:t>
            </w:r>
          </w:p>
          <w:p w14:paraId="014CEA58" w14:textId="77777777" w:rsidR="00873667" w:rsidRDefault="00873667">
            <w:pPr>
              <w:spacing w:after="0" w:line="240" w:lineRule="auto"/>
              <w:jc w:val="both"/>
              <w:rPr>
                <w:rFonts w:asciiTheme="minorHAnsi" w:hAnsiTheme="minorHAnsi"/>
                <w:color w:val="000000" w:themeColor="text1"/>
                <w:sz w:val="20"/>
                <w:szCs w:val="20"/>
                <w:lang w:val="fr-BE"/>
              </w:rPr>
            </w:pPr>
          </w:p>
          <w:p w14:paraId="7EC6DA0D" w14:textId="77777777" w:rsidR="00873667" w:rsidRDefault="00873667">
            <w:pPr>
              <w:spacing w:after="0" w:line="240" w:lineRule="auto"/>
              <w:jc w:val="both"/>
              <w:rPr>
                <w:color w:val="000000" w:themeColor="text1"/>
                <w:sz w:val="20"/>
                <w:szCs w:val="20"/>
                <w:rFonts w:asciiTheme="minorHAnsi" w:hAnsiTheme="minorHAnsi"/>
              </w:rPr>
            </w:pPr>
            <w:r>
              <w:rPr>
                <w:color w:val="000000" w:themeColor="text1"/>
                <w:sz w:val="20"/>
                <w:rFonts w:asciiTheme="minorHAnsi" w:hAnsiTheme="minorHAnsi"/>
              </w:rPr>
              <w:t xml:space="preserve">po obradach;</w:t>
            </w:r>
          </w:p>
          <w:p w14:paraId="2DA82BBF" w14:textId="77777777" w:rsidR="00873667" w:rsidRDefault="00873667">
            <w:pPr>
              <w:spacing w:after="0" w:line="240" w:lineRule="auto"/>
              <w:jc w:val="both"/>
              <w:rPr>
                <w:rFonts w:asciiTheme="minorHAnsi" w:hAnsiTheme="minorHAnsi"/>
                <w:color w:val="000000" w:themeColor="text1"/>
                <w:sz w:val="20"/>
                <w:szCs w:val="20"/>
                <w:lang w:val="nl-NL"/>
              </w:rPr>
            </w:pPr>
          </w:p>
          <w:p w14:paraId="27A3098B" w14:textId="77777777" w:rsidR="00873667" w:rsidRDefault="00873667">
            <w:pPr>
              <w:spacing w:after="0" w:line="240" w:lineRule="auto"/>
              <w:jc w:val="both"/>
              <w:rPr>
                <w:rFonts w:asciiTheme="minorHAnsi" w:eastAsiaTheme="minorHAnsi" w:hAnsiTheme="minorHAnsi" w:cs="TimesNewRoman"/>
                <w:kern w:val="0"/>
                <w:sz w:val="18"/>
                <w:szCs w:val="18"/>
                <w:lang w:val="nl-NL"/>
              </w:rPr>
            </w:pPr>
          </w:p>
        </w:tc>
      </w:tr>
      <w:tr w:rsidR="00873667" w14:paraId="1C5587BB" w14:textId="77777777" w:rsidTr="00873667">
        <w:tc>
          <w:tcPr>
            <w:tcW w:w="4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2251D8" w14:textId="77777777" w:rsidR="00873667" w:rsidRDefault="00873667">
            <w:pPr>
              <w:spacing w:after="0" w:line="240" w:lineRule="auto"/>
              <w:jc w:val="center"/>
              <w:rPr>
                <w:b/>
                <w:color w:val="000000" w:themeColor="text1"/>
                <w:sz w:val="20"/>
                <w:szCs w:val="20"/>
                <w:rFonts w:asciiTheme="minorHAnsi" w:hAnsiTheme="minorHAnsi"/>
              </w:rPr>
            </w:pPr>
            <w:r>
              <w:rPr>
                <w:b/>
                <w:color w:val="000000" w:themeColor="text1"/>
                <w:sz w:val="20"/>
                <w:rFonts w:asciiTheme="minorHAnsi" w:hAnsiTheme="minorHAnsi"/>
              </w:rPr>
              <w:t xml:space="preserve">Przyjmuje następujące rozporządzenie:</w:t>
            </w:r>
          </w:p>
          <w:p w14:paraId="30AA9CFE" w14:textId="77777777" w:rsidR="00873667" w:rsidRDefault="00873667">
            <w:pPr>
              <w:spacing w:after="0" w:line="240" w:lineRule="auto"/>
              <w:jc w:val="both"/>
              <w:rPr>
                <w:rFonts w:cs="Times New Roman"/>
                <w:b/>
                <w:sz w:val="20"/>
                <w:szCs w:val="20"/>
                <w:lang w:val="nl-NL"/>
              </w:rPr>
            </w:pPr>
          </w:p>
        </w:tc>
      </w:tr>
      <w:tr w:rsidR="00873667" w:rsidRPr="00404725" w14:paraId="5DCAAB3C" w14:textId="77777777" w:rsidTr="00873667">
        <w:tc>
          <w:tcPr>
            <w:tcW w:w="4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44C10A" w14:textId="77777777" w:rsidR="00873667" w:rsidRDefault="00873667">
            <w:pPr>
              <w:spacing w:after="0" w:line="240" w:lineRule="auto"/>
              <w:jc w:val="both"/>
              <w:rPr>
                <w:color w:val="000000" w:themeColor="text1"/>
                <w:sz w:val="20"/>
                <w:szCs w:val="20"/>
                <w:rFonts w:asciiTheme="minorHAnsi" w:hAnsiTheme="minorHAnsi"/>
              </w:rPr>
            </w:pPr>
            <w:r>
              <w:rPr>
                <w:color w:val="000000" w:themeColor="text1"/>
                <w:sz w:val="20"/>
                <w:rFonts w:asciiTheme="minorHAnsi" w:hAnsiTheme="minorHAnsi"/>
              </w:rPr>
              <w:t xml:space="preserve">Minister Środowiska jest odpowiedzialny za przedstawienie Parlamentowi następującego projektu rozporządzenia:</w:t>
            </w:r>
            <w:r>
              <w:rPr>
                <w:color w:val="000000" w:themeColor="text1"/>
                <w:sz w:val="20"/>
                <w:rFonts w:asciiTheme="minorHAnsi" w:hAnsiTheme="minorHAnsi"/>
              </w:rPr>
              <w:t xml:space="preserve"> </w:t>
            </w:r>
          </w:p>
          <w:p w14:paraId="20AE67A3" w14:textId="77777777" w:rsidR="00873667" w:rsidRDefault="00873667">
            <w:pPr>
              <w:spacing w:after="0" w:line="240" w:lineRule="auto"/>
              <w:jc w:val="both"/>
              <w:rPr>
                <w:bCs/>
                <w:sz w:val="20"/>
                <w:szCs w:val="20"/>
                <w:lang w:val="fr-BE"/>
              </w:rPr>
            </w:pPr>
          </w:p>
        </w:tc>
      </w:tr>
      <w:tr w:rsidR="00873667" w14:paraId="0AD90BD2" w14:textId="77777777" w:rsidTr="00873667">
        <w:tc>
          <w:tcPr>
            <w:tcW w:w="4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3180087" w14:textId="77777777" w:rsidR="00873667" w:rsidRDefault="00873667">
            <w:pPr>
              <w:spacing w:after="0" w:line="240" w:lineRule="auto"/>
              <w:jc w:val="both"/>
              <w:rPr>
                <w:b/>
                <w:bCs/>
                <w:color w:val="000000" w:themeColor="text1"/>
                <w:sz w:val="20"/>
                <w:szCs w:val="20"/>
                <w:rFonts w:asciiTheme="minorHAnsi" w:hAnsiTheme="minorHAnsi"/>
              </w:rPr>
            </w:pPr>
            <w:r>
              <w:rPr>
                <w:b/>
                <w:color w:val="000000" w:themeColor="text1"/>
                <w:sz w:val="20"/>
                <w:rFonts w:asciiTheme="minorHAnsi" w:hAnsiTheme="minorHAnsi"/>
              </w:rPr>
              <w:t xml:space="preserve">Rozdział 1.</w:t>
            </w:r>
            <w:r>
              <w:rPr>
                <w:b/>
                <w:color w:val="000000" w:themeColor="text1"/>
                <w:sz w:val="20"/>
                <w:rFonts w:asciiTheme="minorHAnsi" w:hAnsiTheme="minorHAnsi"/>
              </w:rPr>
              <w:t xml:space="preserve"> </w:t>
            </w:r>
            <w:r>
              <w:rPr>
                <w:b/>
                <w:color w:val="000000" w:themeColor="text1"/>
                <w:sz w:val="20"/>
                <w:rFonts w:asciiTheme="minorHAnsi" w:hAnsiTheme="minorHAnsi"/>
              </w:rPr>
              <w:t xml:space="preserve">Przepis wprowadzający</w:t>
            </w:r>
          </w:p>
        </w:tc>
      </w:tr>
      <w:tr w:rsidR="00873667" w:rsidRPr="00404725" w14:paraId="4EDF49AB" w14:textId="77777777" w:rsidTr="00873667">
        <w:tc>
          <w:tcPr>
            <w:tcW w:w="4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A7236C" w14:textId="77777777" w:rsidR="00873667" w:rsidRDefault="00873667">
            <w:pPr>
              <w:spacing w:after="0" w:line="240" w:lineRule="auto"/>
              <w:jc w:val="both"/>
              <w:rPr>
                <w:b/>
                <w:color w:val="000000" w:themeColor="text1"/>
                <w:sz w:val="20"/>
                <w:szCs w:val="20"/>
                <w:rFonts w:asciiTheme="minorHAnsi" w:hAnsiTheme="minorHAnsi"/>
              </w:rPr>
            </w:pPr>
            <w:r>
              <w:rPr>
                <w:b/>
                <w:color w:val="000000" w:themeColor="text1"/>
                <w:sz w:val="20"/>
                <w:rFonts w:asciiTheme="minorHAnsi" w:hAnsiTheme="minorHAnsi"/>
              </w:rPr>
              <w:t xml:space="preserve">Artykuł 1.</w:t>
            </w:r>
          </w:p>
          <w:p w14:paraId="7E06BF8C" w14:textId="77777777" w:rsidR="00873667" w:rsidRDefault="00873667">
            <w:pPr>
              <w:spacing w:after="0" w:line="240" w:lineRule="auto"/>
              <w:jc w:val="both"/>
              <w:rPr>
                <w:sz w:val="20"/>
                <w:szCs w:val="20"/>
                <w:rFonts w:asciiTheme="minorHAnsi" w:hAnsiTheme="minorHAnsi"/>
              </w:rPr>
            </w:pPr>
            <w:r>
              <w:rPr>
                <w:sz w:val="20"/>
                <w:rFonts w:asciiTheme="minorHAnsi" w:hAnsiTheme="minorHAnsi"/>
              </w:rPr>
              <w:t xml:space="preserve">Niniejsze rozporządzenie reguluje kwestię, o której mowa w art. 39 Konstytucji.</w:t>
            </w:r>
            <w:r>
              <w:rPr>
                <w:sz w:val="20"/>
                <w:rFonts w:asciiTheme="minorHAnsi" w:hAnsiTheme="minorHAnsi"/>
              </w:rPr>
              <w:t xml:space="preserve"> </w:t>
            </w:r>
          </w:p>
          <w:p w14:paraId="63EF4B7A" w14:textId="77777777" w:rsidR="00873667" w:rsidRDefault="00873667">
            <w:pPr>
              <w:spacing w:after="0" w:line="240" w:lineRule="auto"/>
              <w:jc w:val="both"/>
              <w:rPr>
                <w:rFonts w:asciiTheme="minorHAnsi" w:hAnsiTheme="minorHAnsi"/>
                <w:sz w:val="20"/>
                <w:szCs w:val="20"/>
                <w:lang w:val="fr-BE"/>
              </w:rPr>
            </w:pPr>
          </w:p>
          <w:p w14:paraId="6E2F7DA1" w14:textId="77777777" w:rsidR="00873667" w:rsidRDefault="00873667">
            <w:pPr>
              <w:spacing w:after="0" w:line="240" w:lineRule="auto"/>
              <w:jc w:val="both"/>
              <w:rPr>
                <w:sz w:val="20"/>
                <w:szCs w:val="20"/>
                <w:rFonts w:asciiTheme="minorHAnsi" w:hAnsiTheme="minorHAnsi"/>
              </w:rPr>
            </w:pPr>
            <w:r>
              <w:rPr>
                <w:sz w:val="20"/>
                <w:rFonts w:asciiTheme="minorHAnsi" w:hAnsiTheme="minorHAnsi"/>
              </w:rPr>
              <w:t xml:space="preserve">Niniejsze rozporządzenie częściowo transponuje</w:t>
            </w:r>
            <w:r>
              <w:t xml:space="preserve"> </w:t>
            </w:r>
            <w:r>
              <w:rPr>
                <w:sz w:val="20"/>
                <w:rFonts w:asciiTheme="minorHAnsi" w:hAnsiTheme="minorHAnsi"/>
              </w:rPr>
              <w:t xml:space="preserve">Dyrektywę Parlamentu Europejskiego i Rady (UE) 2018/1972 z dnia 11 grudnia 2018 r. ustanawiającą Europejski Kodeks Łączności Elektronicznej.</w:t>
            </w:r>
          </w:p>
          <w:p w14:paraId="2EF3826D" w14:textId="77777777" w:rsidR="00873667" w:rsidRDefault="00873667">
            <w:pPr>
              <w:spacing w:after="0" w:line="240" w:lineRule="auto"/>
              <w:jc w:val="both"/>
              <w:rPr>
                <w:bCs/>
                <w:sz w:val="20"/>
                <w:szCs w:val="20"/>
                <w:lang w:val="fr-BE"/>
              </w:rPr>
            </w:pPr>
          </w:p>
        </w:tc>
      </w:tr>
      <w:tr w:rsidR="00873667" w:rsidRPr="00404725" w14:paraId="6A06A42B" w14:textId="77777777" w:rsidTr="00873667">
        <w:tc>
          <w:tcPr>
            <w:tcW w:w="4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19F631" w14:textId="77777777" w:rsidR="00873667" w:rsidRDefault="00873667">
            <w:pPr>
              <w:spacing w:after="0" w:line="240" w:lineRule="auto"/>
              <w:jc w:val="both"/>
              <w:rPr>
                <w:b/>
                <w:sz w:val="20"/>
                <w:szCs w:val="20"/>
                <w:rFonts w:asciiTheme="minorHAnsi" w:hAnsiTheme="minorHAnsi"/>
              </w:rPr>
            </w:pPr>
            <w:r>
              <w:rPr>
                <w:b/>
                <w:sz w:val="20"/>
                <w:rFonts w:asciiTheme="minorHAnsi" w:hAnsiTheme="minorHAnsi"/>
              </w:rPr>
              <w:t xml:space="preserve">Rozdział 2.</w:t>
            </w:r>
            <w:r>
              <w:rPr>
                <w:b/>
                <w:sz w:val="20"/>
                <w:rFonts w:asciiTheme="minorHAnsi" w:hAnsiTheme="minorHAnsi"/>
              </w:rPr>
              <w:t xml:space="preserve"> </w:t>
            </w:r>
            <w:r>
              <w:rPr>
                <w:b/>
                <w:sz w:val="20"/>
                <w:rFonts w:asciiTheme="minorHAnsi" w:hAnsiTheme="minorHAnsi"/>
              </w:rPr>
              <w:t xml:space="preserve">Zmiany rozporządzenia z dnia 1 marca 2007 r. w sprawie ochrony środowiska przed wszelkimi niekorzystnymi i szkodliwymi skutkami powodowanymi przez promieniowanie niejonizujące</w:t>
            </w:r>
          </w:p>
        </w:tc>
      </w:tr>
      <w:tr w:rsidR="00873667" w:rsidRPr="00404725" w14:paraId="29C7DA73" w14:textId="77777777" w:rsidTr="00873667">
        <w:tc>
          <w:tcPr>
            <w:tcW w:w="4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D4F4D1" w14:textId="77777777" w:rsidR="00873667" w:rsidRDefault="00873667">
            <w:pPr>
              <w:spacing w:after="0" w:line="240" w:lineRule="auto"/>
              <w:jc w:val="both"/>
              <w:rPr>
                <w:b/>
                <w:sz w:val="20"/>
                <w:szCs w:val="20"/>
                <w:rFonts w:asciiTheme="minorHAnsi" w:hAnsiTheme="minorHAnsi"/>
              </w:rPr>
            </w:pPr>
            <w:r>
              <w:rPr>
                <w:b/>
                <w:sz w:val="20"/>
                <w:rFonts w:asciiTheme="minorHAnsi" w:hAnsiTheme="minorHAnsi"/>
              </w:rPr>
              <w:t xml:space="preserve">Artykuł 2.</w:t>
            </w:r>
          </w:p>
          <w:p w14:paraId="53C0BEAE" w14:textId="77777777" w:rsidR="00873667" w:rsidRDefault="00873667">
            <w:pPr>
              <w:spacing w:after="0" w:line="240" w:lineRule="auto"/>
              <w:jc w:val="both"/>
              <w:rPr>
                <w:sz w:val="20"/>
                <w:szCs w:val="20"/>
                <w:rFonts w:asciiTheme="minorHAnsi" w:hAnsiTheme="minorHAnsi"/>
              </w:rPr>
            </w:pPr>
            <w:r>
              <w:rPr>
                <w:sz w:val="20"/>
                <w:rFonts w:asciiTheme="minorHAnsi" w:hAnsiTheme="minorHAnsi"/>
              </w:rPr>
              <w:t xml:space="preserve">W art. 2 rozporządzenia z dnia 1 marca 2007 r. w sprawie ochrony środowiska przed wszelkimi niekorzystnymi i szkodliwymi skutkami powodowanymi przez promieniowanie niejonizujące, zmienionego rozporządzeniem z dnia 3 kwietnia 2014 r. i częściowo unieważnionego postanowieniem Trybunału Konstytucyjnego nr 12/2016, wprowadza się następujące zmiany:</w:t>
            </w:r>
          </w:p>
          <w:p w14:paraId="2460015D" w14:textId="77777777" w:rsidR="00873667" w:rsidRDefault="00873667">
            <w:pPr>
              <w:spacing w:after="0" w:line="240" w:lineRule="auto"/>
              <w:jc w:val="both"/>
              <w:rPr>
                <w:rFonts w:asciiTheme="minorHAnsi" w:hAnsiTheme="minorHAnsi"/>
                <w:sz w:val="20"/>
                <w:szCs w:val="20"/>
                <w:lang w:val="fr-BE"/>
              </w:rPr>
            </w:pPr>
          </w:p>
          <w:p w14:paraId="122112B2" w14:textId="77777777" w:rsidR="00873667" w:rsidRDefault="00873667" w:rsidP="00242999">
            <w:pPr>
              <w:pStyle w:val="ListParagraph"/>
              <w:widowControl/>
              <w:numPr>
                <w:ilvl w:val="0"/>
                <w:numId w:val="1"/>
              </w:numPr>
              <w:suppressAutoHyphens w:val="0"/>
              <w:spacing w:after="0" w:line="240" w:lineRule="auto"/>
              <w:jc w:val="both"/>
              <w:rPr>
                <w:sz w:val="20"/>
                <w:szCs w:val="20"/>
                <w:rFonts w:asciiTheme="minorHAnsi" w:hAnsiTheme="minorHAnsi"/>
              </w:rPr>
            </w:pPr>
            <w:r>
              <w:rPr>
                <w:sz w:val="20"/>
                <w:rFonts w:asciiTheme="minorHAnsi" w:hAnsiTheme="minorHAnsi"/>
              </w:rPr>
              <w:t xml:space="preserve">ust. 1 pkt 2 otrzymuje brzmienie:</w:t>
            </w:r>
            <w:r>
              <w:rPr>
                <w:sz w:val="20"/>
                <w:rFonts w:asciiTheme="minorHAnsi" w:hAnsiTheme="minorHAnsi"/>
              </w:rPr>
              <w:t xml:space="preserve"> </w:t>
            </w:r>
          </w:p>
          <w:p w14:paraId="19D6FC33" w14:textId="77777777" w:rsidR="00873667" w:rsidRDefault="00873667">
            <w:pPr>
              <w:spacing w:after="0" w:line="240" w:lineRule="auto"/>
              <w:ind w:left="352"/>
              <w:jc w:val="both"/>
              <w:rPr>
                <w:sz w:val="20"/>
                <w:szCs w:val="20"/>
                <w:rFonts w:asciiTheme="minorHAnsi" w:hAnsiTheme="minorHAnsi"/>
              </w:rPr>
            </w:pPr>
            <w:r>
              <w:rPr>
                <w:sz w:val="20"/>
                <w:rFonts w:asciiTheme="minorHAnsi" w:hAnsiTheme="minorHAnsi"/>
              </w:rPr>
              <w:t xml:space="preserve">„2.</w:t>
            </w:r>
            <w:r>
              <w:rPr>
                <w:sz w:val="20"/>
                <w:rFonts w:asciiTheme="minorHAnsi" w:hAnsiTheme="minorHAnsi"/>
              </w:rPr>
              <w:t xml:space="preserve"> </w:t>
            </w:r>
            <w:r>
              <w:rPr>
                <w:sz w:val="20"/>
                <w:rFonts w:asciiTheme="minorHAnsi" w:hAnsiTheme="minorHAnsi"/>
              </w:rPr>
              <w:t xml:space="preserve">„miejsca dostępne publicznie w pomieszczeniach zamkniętych”: pomieszczenia w budynku, w którym ludzie mogą przebywać regularnie, w szczególności zakwaterowanie, hotele, szkoły, żłobki, szpitale, domy dla osób starszych oraz budynki przeznaczone do regularnego uprawiania sportu lub gier;</w:t>
            </w:r>
          </w:p>
          <w:p w14:paraId="6795F995" w14:textId="77777777" w:rsidR="00873667" w:rsidRDefault="00873667">
            <w:pPr>
              <w:spacing w:after="0" w:line="240" w:lineRule="auto"/>
              <w:ind w:left="352"/>
              <w:jc w:val="both"/>
              <w:rPr>
                <w:sz w:val="20"/>
                <w:szCs w:val="20"/>
                <w:rFonts w:asciiTheme="minorHAnsi" w:hAnsiTheme="minorHAnsi"/>
              </w:rPr>
            </w:pPr>
            <w:r>
              <w:rPr>
                <w:sz w:val="20"/>
                <w:rFonts w:asciiTheme="minorHAnsi" w:hAnsiTheme="minorHAnsi"/>
              </w:rPr>
              <w:t xml:space="preserve">2a.</w:t>
            </w:r>
            <w:r>
              <w:rPr>
                <w:sz w:val="20"/>
                <w:rFonts w:asciiTheme="minorHAnsi" w:hAnsiTheme="minorHAnsi"/>
              </w:rPr>
              <w:t xml:space="preserve"> </w:t>
            </w:r>
            <w:r>
              <w:rPr>
                <w:sz w:val="20"/>
                <w:rFonts w:asciiTheme="minorHAnsi" w:hAnsiTheme="minorHAnsi"/>
              </w:rPr>
              <w:t xml:space="preserve">„miejsca dostępne publicznie na zewnątrz”: miejsca na zewnątrz lub związane z nimi dostępne publicznie, w szczególności ogrody, podwórka, tereny parkowe, place zabaw oraz balkony, zadaszone i niezadaszone tarasy budynków, boksy garażowe, wiaty, ogrody zimowe, szklarnie i inne podobne werandy;”;</w:t>
            </w:r>
          </w:p>
          <w:p w14:paraId="7F94A6C9" w14:textId="77777777" w:rsidR="00873667" w:rsidRDefault="00873667">
            <w:pPr>
              <w:spacing w:after="0" w:line="240" w:lineRule="auto"/>
              <w:jc w:val="both"/>
              <w:rPr>
                <w:rFonts w:asciiTheme="minorHAnsi" w:hAnsiTheme="minorHAnsi"/>
                <w:sz w:val="20"/>
                <w:szCs w:val="20"/>
                <w:lang w:val="fr-BE"/>
              </w:rPr>
            </w:pPr>
          </w:p>
          <w:p w14:paraId="04CF6F2D" w14:textId="77777777" w:rsidR="00873667" w:rsidRDefault="00873667" w:rsidP="00242999">
            <w:pPr>
              <w:pStyle w:val="ListParagraph"/>
              <w:widowControl/>
              <w:numPr>
                <w:ilvl w:val="0"/>
                <w:numId w:val="1"/>
              </w:numPr>
              <w:suppressAutoHyphens w:val="0"/>
              <w:spacing w:after="0" w:line="240" w:lineRule="auto"/>
              <w:jc w:val="both"/>
              <w:rPr>
                <w:sz w:val="20"/>
                <w:szCs w:val="20"/>
                <w:rFonts w:asciiTheme="minorHAnsi" w:hAnsiTheme="minorHAnsi"/>
              </w:rPr>
            </w:pPr>
            <w:r>
              <w:rPr>
                <w:sz w:val="20"/>
                <w:rFonts w:asciiTheme="minorHAnsi" w:hAnsiTheme="minorHAnsi"/>
              </w:rPr>
              <w:t xml:space="preserve">w ust. 1 pkt 4 lit. c) znak „.” zastępuje się znakiem „;”;</w:t>
            </w:r>
          </w:p>
          <w:p w14:paraId="24E8B218" w14:textId="77777777" w:rsidR="00873667" w:rsidRDefault="00873667">
            <w:pPr>
              <w:pStyle w:val="ListParagraph"/>
              <w:widowControl/>
              <w:suppressAutoHyphens w:val="0"/>
              <w:spacing w:after="0" w:line="240" w:lineRule="auto"/>
              <w:ind w:left="360"/>
              <w:jc w:val="both"/>
              <w:rPr>
                <w:rFonts w:asciiTheme="minorHAnsi" w:hAnsiTheme="minorHAnsi"/>
                <w:sz w:val="20"/>
                <w:szCs w:val="20"/>
              </w:rPr>
            </w:pPr>
          </w:p>
          <w:p w14:paraId="0E0504A9" w14:textId="62473454" w:rsidR="00873667" w:rsidRDefault="00873667" w:rsidP="00242999">
            <w:pPr>
              <w:pStyle w:val="ListParagraph"/>
              <w:widowControl/>
              <w:numPr>
                <w:ilvl w:val="0"/>
                <w:numId w:val="1"/>
              </w:numPr>
              <w:suppressAutoHyphens w:val="0"/>
              <w:spacing w:after="0" w:line="240" w:lineRule="auto"/>
              <w:jc w:val="both"/>
              <w:rPr>
                <w:sz w:val="20"/>
                <w:szCs w:val="20"/>
                <w:rFonts w:asciiTheme="minorHAnsi" w:hAnsiTheme="minorHAnsi"/>
              </w:rPr>
            </w:pPr>
            <w:r>
              <w:rPr>
                <w:sz w:val="20"/>
                <w:rFonts w:asciiTheme="minorHAnsi" w:hAnsiTheme="minorHAnsi"/>
              </w:rPr>
              <w:t xml:space="preserve">w ust. 1 dodaje się pkt 5, 6, 7, 8, 9 i 10 w brzmieniu:</w:t>
            </w:r>
            <w:r>
              <w:rPr>
                <w:sz w:val="20"/>
                <w:rFonts w:asciiTheme="minorHAnsi" w:hAnsiTheme="minorHAnsi"/>
              </w:rPr>
              <w:t xml:space="preserve"> </w:t>
            </w:r>
          </w:p>
          <w:p w14:paraId="719074E0" w14:textId="77777777" w:rsidR="00873667" w:rsidRDefault="00873667">
            <w:pPr>
              <w:spacing w:after="0" w:line="240" w:lineRule="auto"/>
              <w:ind w:left="352"/>
              <w:jc w:val="both"/>
              <w:rPr>
                <w:sz w:val="20"/>
                <w:szCs w:val="20"/>
                <w:rFonts w:asciiTheme="minorHAnsi" w:hAnsiTheme="minorHAnsi"/>
              </w:rPr>
            </w:pPr>
            <w:r>
              <w:rPr>
                <w:sz w:val="20"/>
                <w:rFonts w:asciiTheme="minorHAnsi" w:hAnsiTheme="minorHAnsi"/>
              </w:rPr>
              <w:t xml:space="preserve">„5.</w:t>
            </w:r>
            <w:r>
              <w:rPr>
                <w:sz w:val="20"/>
                <w:rFonts w:asciiTheme="minorHAnsi" w:hAnsiTheme="minorHAnsi"/>
              </w:rPr>
              <w:t xml:space="preserve"> </w:t>
            </w:r>
            <w:r>
              <w:rPr>
                <w:sz w:val="20"/>
                <w:rFonts w:asciiTheme="minorHAnsi" w:hAnsiTheme="minorHAnsi"/>
              </w:rPr>
              <w:t xml:space="preserve">„antena”: system emisji przeznaczony do emitowania sygnału radiotelekomunikacyjnego przez fale elektromagnetyczne;</w:t>
            </w:r>
          </w:p>
          <w:p w14:paraId="4DE09907" w14:textId="77777777" w:rsidR="00873667" w:rsidRDefault="00873667">
            <w:pPr>
              <w:spacing w:after="0" w:line="240" w:lineRule="auto"/>
              <w:ind w:left="352"/>
              <w:jc w:val="both"/>
              <w:rPr>
                <w:sz w:val="20"/>
                <w:szCs w:val="20"/>
                <w:rFonts w:asciiTheme="minorHAnsi" w:hAnsiTheme="minorHAnsi"/>
              </w:rPr>
            </w:pPr>
            <w:r>
              <w:rPr>
                <w:sz w:val="20"/>
                <w:rFonts w:asciiTheme="minorHAnsi" w:hAnsiTheme="minorHAnsi"/>
              </w:rPr>
              <w:t xml:space="preserve">6.</w:t>
            </w:r>
            <w:r>
              <w:rPr>
                <w:sz w:val="20"/>
                <w:rFonts w:asciiTheme="minorHAnsi" w:hAnsiTheme="minorHAnsi"/>
              </w:rPr>
              <w:t xml:space="preserve"> </w:t>
            </w:r>
            <w:r>
              <w:rPr>
                <w:sz w:val="20"/>
                <w:rFonts w:asciiTheme="minorHAnsi" w:hAnsiTheme="minorHAnsi"/>
              </w:rPr>
              <w:t xml:space="preserve">„operator”: każda osoba prawna posiadająca prawo do emitowania, a także spółki zależne lub powiązane w rozumieniu kodeksu spółek, a także ogólnie każda osoba eksploatująca antenę, z wyłączeniem nadawców;</w:t>
            </w:r>
          </w:p>
          <w:p w14:paraId="3C5B91DC" w14:textId="77777777" w:rsidR="00873667" w:rsidRDefault="00873667">
            <w:pPr>
              <w:spacing w:after="0" w:line="240" w:lineRule="auto"/>
              <w:ind w:left="352"/>
              <w:jc w:val="both"/>
              <w:rPr>
                <w:sz w:val="20"/>
                <w:szCs w:val="20"/>
                <w:rFonts w:asciiTheme="minorHAnsi" w:hAnsiTheme="minorHAnsi"/>
              </w:rPr>
            </w:pPr>
            <w:r>
              <w:rPr>
                <w:sz w:val="20"/>
                <w:rFonts w:asciiTheme="minorHAnsi" w:hAnsiTheme="minorHAnsi"/>
              </w:rPr>
              <w:t xml:space="preserve">7.</w:t>
            </w:r>
            <w:r>
              <w:rPr>
                <w:sz w:val="20"/>
                <w:rFonts w:asciiTheme="minorHAnsi" w:hAnsiTheme="minorHAnsi"/>
              </w:rPr>
              <w:t xml:space="preserve"> </w:t>
            </w:r>
            <w:r>
              <w:rPr>
                <w:sz w:val="20"/>
                <w:rFonts w:asciiTheme="minorHAnsi" w:hAnsiTheme="minorHAnsi"/>
              </w:rPr>
              <w:t xml:space="preserve">„nadawca”: operator sieci, o którym mowa w art. 1.3 ust. 1 pkt 33 dekretu Wspólnoty Francuskiej z dnia 4 lutego 2021 r. w sprawie audiowizualnych usług medialnych i usług udostępniania wideo lub art. 2 pkt 22 dekretu flamandzkiego z dnia 27 marca 2009 r. w sprawie nadawania i telewizji;</w:t>
            </w:r>
          </w:p>
          <w:p w14:paraId="1FF7897A" w14:textId="77777777" w:rsidR="00873667" w:rsidRDefault="00873667">
            <w:pPr>
              <w:spacing w:after="0" w:line="240" w:lineRule="auto"/>
              <w:ind w:left="352"/>
              <w:jc w:val="both"/>
              <w:rPr>
                <w:sz w:val="20"/>
                <w:szCs w:val="20"/>
                <w:rFonts w:asciiTheme="minorHAnsi" w:hAnsiTheme="minorHAnsi"/>
              </w:rPr>
            </w:pPr>
            <w:r>
              <w:rPr>
                <w:sz w:val="20"/>
                <w:rFonts w:asciiTheme="minorHAnsi" w:hAnsiTheme="minorHAnsi"/>
              </w:rPr>
              <w:t xml:space="preserve">8.</w:t>
            </w:r>
            <w:r>
              <w:rPr>
                <w:sz w:val="20"/>
                <w:rFonts w:asciiTheme="minorHAnsi" w:hAnsiTheme="minorHAnsi"/>
              </w:rPr>
              <w:t xml:space="preserve"> </w:t>
            </w:r>
            <w:r>
              <w:rPr>
                <w:sz w:val="20"/>
                <w:rFonts w:asciiTheme="minorHAnsi" w:hAnsiTheme="minorHAnsi"/>
              </w:rPr>
              <w:t xml:space="preserve">„sytuacja nadzwyczajna”: każde jednorazowe zdarzenie, które powoduje lub może prowadzić do szkodliwych skutków dla życia społecznego, takich jak poważne zaburzenie bezpieczeństwa publicznego, poważne zagrożenie dla życia lub zdrowia osób lub ważnych interesów materialnych, i które wymaga koordynacji właściwych podmiotów, w tym dyscypliny, w celu wyeliminowania zagrożenia lub ograniczenia niekorzystnych skutków zdarzenia;</w:t>
            </w:r>
          </w:p>
          <w:p w14:paraId="7661DE04" w14:textId="77777777" w:rsidR="00873667" w:rsidRDefault="00873667">
            <w:pPr>
              <w:spacing w:after="0" w:line="240" w:lineRule="auto"/>
              <w:ind w:left="352"/>
              <w:jc w:val="both"/>
              <w:rPr>
                <w:sz w:val="20"/>
                <w:szCs w:val="20"/>
                <w:rFonts w:asciiTheme="minorHAnsi" w:hAnsiTheme="minorHAnsi"/>
              </w:rPr>
            </w:pPr>
            <w:r>
              <w:rPr>
                <w:sz w:val="20"/>
                <w:rFonts w:asciiTheme="minorHAnsi" w:hAnsiTheme="minorHAnsi"/>
              </w:rPr>
              <w:t xml:space="preserve">9.</w:t>
            </w:r>
            <w:r>
              <w:rPr>
                <w:sz w:val="20"/>
                <w:rFonts w:asciiTheme="minorHAnsi" w:hAnsiTheme="minorHAnsi"/>
              </w:rPr>
              <w:t xml:space="preserve"> </w:t>
            </w:r>
            <w:r>
              <w:rPr>
                <w:sz w:val="20"/>
                <w:rFonts w:asciiTheme="minorHAnsi" w:hAnsiTheme="minorHAnsi"/>
              </w:rPr>
              <w:t xml:space="preserve">„</w:t>
            </w:r>
            <w:r>
              <w:rPr>
                <w:sz w:val="20"/>
                <w:rFonts w:asciiTheme="minorHAnsi" w:hAnsiTheme="minorHAnsi"/>
              </w:rPr>
              <w:t xml:space="preserve"> </w:t>
            </w:r>
            <w:r>
              <w:rPr>
                <w:sz w:val="20"/>
                <w:rFonts w:asciiTheme="minorHAnsi" w:hAnsiTheme="minorHAnsi"/>
              </w:rPr>
              <w:t xml:space="preserve">OMC (Operation and Maintenance Centre)”: podstawowy element techniczny sieci, utworzony w celu zapewnienia jej zarządzania i obejmujący w szczególności odzwierciedlenie konfiguracji wykorzystywanych w sieci, licznikach i statystykach;</w:t>
            </w:r>
          </w:p>
          <w:p w14:paraId="238F3159" w14:textId="77777777" w:rsidR="00873667" w:rsidRDefault="00873667">
            <w:pPr>
              <w:spacing w:after="0" w:line="240" w:lineRule="auto"/>
              <w:ind w:left="352"/>
              <w:jc w:val="both"/>
              <w:rPr>
                <w:rFonts w:asciiTheme="minorHAnsi" w:hAnsiTheme="minorHAnsi"/>
                <w:sz w:val="20"/>
                <w:szCs w:val="20"/>
                <w:lang w:val="fr-BE"/>
              </w:rPr>
            </w:pPr>
          </w:p>
          <w:p w14:paraId="4764DA67" w14:textId="768F3E3C" w:rsidR="00873667" w:rsidRDefault="00873667">
            <w:pPr>
              <w:spacing w:after="0" w:line="240" w:lineRule="auto"/>
              <w:ind w:left="352"/>
              <w:jc w:val="both"/>
              <w:rPr>
                <w:sz w:val="20"/>
                <w:szCs w:val="20"/>
                <w:rFonts w:asciiTheme="minorHAnsi" w:hAnsiTheme="minorHAnsi"/>
              </w:rPr>
            </w:pPr>
            <w:r>
              <w:rPr>
                <w:sz w:val="20"/>
                <w:rFonts w:asciiTheme="minorHAnsi" w:hAnsiTheme="minorHAnsi"/>
              </w:rPr>
              <w:t xml:space="preserve">10.</w:t>
            </w:r>
            <w:r>
              <w:rPr>
                <w:sz w:val="20"/>
                <w:rFonts w:asciiTheme="minorHAnsi" w:hAnsiTheme="minorHAnsi"/>
              </w:rPr>
              <w:t xml:space="preserve"> </w:t>
            </w:r>
            <w:r>
              <w:rPr>
                <w:sz w:val="20"/>
                <w:rFonts w:asciiTheme="minorHAnsi" w:hAnsiTheme="minorHAnsi"/>
              </w:rPr>
              <w:t xml:space="preserve">„Baza danych Urbis-Adm 3D”: bank danych zawierający informacje o wyjątkowej i oryginalnej wartości dla regionu stołecznego Brukseli i zapewniający szczególne gwarancje w zakresie dokładności, kompletności i dostępności informacji, o których mowa w załączniku do umowy o współpracy z dnia 18 kwietnia 2014 r.</w:t>
            </w:r>
            <w:r>
              <w:t xml:space="preserve"> </w:t>
            </w:r>
            <w:r>
              <w:rPr>
                <w:sz w:val="20"/>
                <w:rFonts w:asciiTheme="minorHAnsi" w:hAnsiTheme="minorHAnsi"/>
              </w:rPr>
              <w:t xml:space="preserve">pomiędzy państwem federalnym, Regionem Flamandzkim, Regionem Walońskim i Regionem Stołecznym Brukseli dotyczącej struktury koordynacyjnej informacji o dziedzictwie.”;</w:t>
            </w:r>
          </w:p>
          <w:p w14:paraId="031B8EAB" w14:textId="77777777" w:rsidR="00873667" w:rsidRDefault="00873667">
            <w:pPr>
              <w:spacing w:after="0" w:line="240" w:lineRule="auto"/>
              <w:jc w:val="both"/>
              <w:rPr>
                <w:rFonts w:asciiTheme="minorHAnsi" w:hAnsiTheme="minorHAnsi"/>
                <w:sz w:val="20"/>
                <w:szCs w:val="20"/>
                <w:lang w:val="fr-BE"/>
              </w:rPr>
            </w:pPr>
          </w:p>
          <w:p w14:paraId="533CE327" w14:textId="77777777" w:rsidR="00873667" w:rsidRDefault="00873667" w:rsidP="00242999">
            <w:pPr>
              <w:pStyle w:val="ListParagraph"/>
              <w:widowControl/>
              <w:numPr>
                <w:ilvl w:val="0"/>
                <w:numId w:val="1"/>
              </w:numPr>
              <w:suppressAutoHyphens w:val="0"/>
              <w:spacing w:after="0" w:line="240" w:lineRule="auto"/>
              <w:jc w:val="both"/>
              <w:rPr>
                <w:sz w:val="20"/>
                <w:szCs w:val="20"/>
                <w:rFonts w:asciiTheme="minorHAnsi" w:hAnsiTheme="minorHAnsi"/>
              </w:rPr>
            </w:pPr>
            <w:r>
              <w:rPr>
                <w:sz w:val="20"/>
                <w:rFonts w:asciiTheme="minorHAnsi" w:hAnsiTheme="minorHAnsi"/>
              </w:rPr>
              <w:t xml:space="preserve">ust. 2 akapit drugi otrzymuje brzmienie:</w:t>
            </w:r>
            <w:r>
              <w:rPr>
                <w:sz w:val="20"/>
                <w:rFonts w:asciiTheme="minorHAnsi" w:hAnsiTheme="minorHAnsi"/>
              </w:rPr>
              <w:t xml:space="preserve"> </w:t>
            </w:r>
          </w:p>
          <w:p w14:paraId="61E32F60" w14:textId="77777777" w:rsidR="00873667" w:rsidRDefault="00873667">
            <w:pPr>
              <w:spacing w:after="0" w:line="240" w:lineRule="auto"/>
              <w:ind w:left="352"/>
              <w:jc w:val="both"/>
              <w:rPr>
                <w:sz w:val="20"/>
                <w:szCs w:val="20"/>
                <w:rFonts w:asciiTheme="minorHAnsi" w:hAnsiTheme="minorHAnsi"/>
              </w:rPr>
            </w:pPr>
            <w:r>
              <w:rPr>
                <w:sz w:val="20"/>
                <w:rFonts w:asciiTheme="minorHAnsi" w:hAnsiTheme="minorHAnsi"/>
              </w:rPr>
              <w:t xml:space="preserve">„</w:t>
            </w:r>
            <w:r>
              <w:rPr>
                <w:sz w:val="20"/>
                <w:rFonts w:asciiTheme="minorHAnsi" w:hAnsiTheme="minorHAnsi"/>
              </w:rPr>
              <w:t xml:space="preserve"> </w:t>
            </w:r>
            <w:r>
              <w:rPr>
                <w:sz w:val="20"/>
                <w:rFonts w:asciiTheme="minorHAnsi" w:hAnsiTheme="minorHAnsi"/>
              </w:rPr>
              <w:t xml:space="preserve">Postanowienia niniejszego rozporządzenia nie mają zastosowania w sytuacjach nadzwyczajnych.”.</w:t>
            </w:r>
          </w:p>
          <w:p w14:paraId="639D6F68" w14:textId="77777777" w:rsidR="00873667" w:rsidRDefault="00873667">
            <w:pPr>
              <w:spacing w:after="0" w:line="240" w:lineRule="auto"/>
              <w:ind w:left="352"/>
              <w:jc w:val="both"/>
              <w:rPr>
                <w:rFonts w:asciiTheme="minorHAnsi" w:hAnsiTheme="minorHAnsi"/>
                <w:sz w:val="20"/>
                <w:szCs w:val="20"/>
                <w:lang w:val="fr-BE"/>
              </w:rPr>
            </w:pPr>
          </w:p>
        </w:tc>
      </w:tr>
      <w:tr w:rsidR="00873667" w:rsidRPr="00404725" w14:paraId="72ECC1B7" w14:textId="77777777" w:rsidTr="00873667">
        <w:tc>
          <w:tcPr>
            <w:tcW w:w="4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14364E" w14:textId="77777777" w:rsidR="00873667" w:rsidRDefault="00873667">
            <w:pPr>
              <w:spacing w:after="0" w:line="240" w:lineRule="auto"/>
              <w:jc w:val="both"/>
              <w:rPr>
                <w:b/>
                <w:sz w:val="20"/>
                <w:szCs w:val="20"/>
                <w:rFonts w:asciiTheme="minorHAnsi" w:hAnsiTheme="minorHAnsi"/>
              </w:rPr>
            </w:pPr>
            <w:r>
              <w:rPr>
                <w:b/>
                <w:sz w:val="20"/>
                <w:rFonts w:asciiTheme="minorHAnsi" w:hAnsiTheme="minorHAnsi"/>
              </w:rPr>
              <w:t xml:space="preserve">Artykuł 3.</w:t>
            </w:r>
          </w:p>
          <w:p w14:paraId="697447F1" w14:textId="77777777" w:rsidR="00873667" w:rsidRDefault="00873667">
            <w:pPr>
              <w:spacing w:after="0" w:line="240" w:lineRule="auto"/>
              <w:jc w:val="both"/>
              <w:rPr>
                <w:sz w:val="20"/>
                <w:szCs w:val="20"/>
                <w:rFonts w:asciiTheme="minorHAnsi" w:hAnsiTheme="minorHAnsi"/>
              </w:rPr>
            </w:pPr>
            <w:r>
              <w:rPr>
                <w:sz w:val="20"/>
                <w:rFonts w:asciiTheme="minorHAnsi" w:hAnsiTheme="minorHAnsi"/>
              </w:rPr>
              <w:t xml:space="preserve">W art. 3 niniejszego rozporządzenia wprowadza się następujące zmiany:</w:t>
            </w:r>
          </w:p>
          <w:p w14:paraId="2CF8E143" w14:textId="77777777" w:rsidR="00873667" w:rsidRDefault="00873667">
            <w:pPr>
              <w:spacing w:after="0" w:line="240" w:lineRule="auto"/>
              <w:jc w:val="both"/>
              <w:rPr>
                <w:rFonts w:asciiTheme="minorHAnsi" w:hAnsiTheme="minorHAnsi"/>
                <w:sz w:val="20"/>
                <w:szCs w:val="20"/>
                <w:lang w:val="fr-BE"/>
              </w:rPr>
            </w:pPr>
          </w:p>
          <w:p w14:paraId="62E692B7" w14:textId="77777777" w:rsidR="00873667" w:rsidRDefault="00873667" w:rsidP="00242999">
            <w:pPr>
              <w:pStyle w:val="ListParagraph"/>
              <w:widowControl/>
              <w:numPr>
                <w:ilvl w:val="0"/>
                <w:numId w:val="2"/>
              </w:numPr>
              <w:suppressAutoHyphens w:val="0"/>
              <w:spacing w:after="0" w:line="240" w:lineRule="auto"/>
              <w:jc w:val="both"/>
              <w:rPr>
                <w:sz w:val="20"/>
                <w:szCs w:val="20"/>
                <w:rFonts w:asciiTheme="minorHAnsi" w:hAnsiTheme="minorHAnsi"/>
              </w:rPr>
            </w:pPr>
            <w:r>
              <w:rPr>
                <w:sz w:val="20"/>
                <w:rFonts w:asciiTheme="minorHAnsi" w:hAnsiTheme="minorHAnsi"/>
              </w:rPr>
              <w:t xml:space="preserve">w ust. 1 uchyla się akapity 2–4;</w:t>
            </w:r>
          </w:p>
          <w:p w14:paraId="42976C58" w14:textId="77777777" w:rsidR="00873667" w:rsidRDefault="00873667">
            <w:pPr>
              <w:pStyle w:val="ListParagraph"/>
              <w:widowControl/>
              <w:suppressAutoHyphens w:val="0"/>
              <w:spacing w:after="0" w:line="240" w:lineRule="auto"/>
              <w:ind w:left="360"/>
              <w:jc w:val="both"/>
              <w:rPr>
                <w:rFonts w:asciiTheme="minorHAnsi" w:hAnsiTheme="minorHAnsi"/>
                <w:sz w:val="20"/>
                <w:szCs w:val="20"/>
              </w:rPr>
            </w:pPr>
          </w:p>
          <w:p w14:paraId="46243B18" w14:textId="77777777" w:rsidR="00873667" w:rsidRDefault="00873667" w:rsidP="00242999">
            <w:pPr>
              <w:pStyle w:val="ListParagraph"/>
              <w:widowControl/>
              <w:numPr>
                <w:ilvl w:val="0"/>
                <w:numId w:val="2"/>
              </w:numPr>
              <w:suppressAutoHyphens w:val="0"/>
              <w:spacing w:after="0" w:line="240" w:lineRule="auto"/>
              <w:jc w:val="both"/>
              <w:rPr>
                <w:sz w:val="20"/>
                <w:szCs w:val="20"/>
                <w:rFonts w:asciiTheme="minorHAnsi" w:hAnsiTheme="minorHAnsi"/>
              </w:rPr>
            </w:pPr>
            <w:r>
              <w:rPr>
                <w:sz w:val="20"/>
                <w:rFonts w:asciiTheme="minorHAnsi" w:hAnsiTheme="minorHAnsi"/>
              </w:rPr>
              <w:t xml:space="preserve">dodaje się ust. 1a w brzmieniu:</w:t>
            </w:r>
          </w:p>
          <w:p w14:paraId="76FBDA5D" w14:textId="47CF473E" w:rsidR="00873667" w:rsidRDefault="00873667">
            <w:pPr>
              <w:spacing w:after="0" w:line="240" w:lineRule="auto"/>
              <w:ind w:left="352"/>
              <w:jc w:val="both"/>
              <w:rPr>
                <w:sz w:val="20"/>
                <w:rFonts w:asciiTheme="minorHAnsi" w:hAnsiTheme="minorHAnsi"/>
              </w:rPr>
            </w:pPr>
            <w:r>
              <w:rPr>
                <w:sz w:val="20"/>
                <w:rFonts w:asciiTheme="minorHAnsi" w:hAnsiTheme="minorHAnsi"/>
              </w:rPr>
              <w:t xml:space="preserve">„§ 1a.</w:t>
            </w:r>
            <w:r>
              <w:rPr>
                <w:sz w:val="20"/>
                <w:rFonts w:asciiTheme="minorHAnsi" w:hAnsiTheme="minorHAnsi"/>
              </w:rPr>
              <w:t xml:space="preserve"> </w:t>
            </w:r>
            <w:r>
              <w:rPr>
                <w:sz w:val="20"/>
                <w:rFonts w:asciiTheme="minorHAnsi" w:hAnsiTheme="minorHAnsi"/>
              </w:rPr>
              <w:t xml:space="preserve">Bez uszczerbku dla ust. 1a i 4, we wszystkich miejscach dostępnych publicznie w pomieszczeniach zamkniętych i na zewnątrz, gęstość mocy promieniowania niejonizującego nie może w żadnym momencie przekraczać następujących wartości w miejscach dostępnych publicznie w pomieszczeniach zamkniętych (</w:t>
            </w:r>
            <m:oMath>
              <m:sSub>
                <m:sSubPr>
                  <m:ctrlPr>
                    <w:rPr>
                      <w:rFonts w:ascii="Cambria Math" w:eastAsia="Times New Roman" w:hAnsi="Cambria Math" w:cstheme="minorHAnsi"/>
                      <w:bCs/>
                      <w:i/>
                      <w:color w:val="000000"/>
                      <w:lang w:val="nl-NL"/>
                    </w:rPr>
                  </m:ctrlPr>
                </m:sSubPr>
                <m:e>
                  <m:r>
                    <w:rPr>
                      <w:rFonts w:ascii="Cambria Math" w:eastAsia="Times New Roman" w:hAnsi="Cambria Math" w:cstheme="minorHAnsi"/>
                      <w:color w:val="000000"/>
                      <w:kern w:val="0"/>
                      <w:sz w:val="20"/>
                      <w:szCs w:val="20"/>
                      <w:lang w:val="nl-NL"/>
                    </w:rPr>
                    <m:t>S</m:t>
                  </m:r>
                </m:e>
                <m:sub>
                  <m:r>
                    <w:rPr>
                      <w:rFonts w:ascii="Cambria Math" w:eastAsia="Times New Roman" w:hAnsi="Cambria Math" w:cstheme="minorHAnsi"/>
                      <w:color w:val="000000"/>
                      <w:kern w:val="0"/>
                      <w:sz w:val="20"/>
                      <w:szCs w:val="20"/>
                      <w:lang w:val="nl-NL"/>
                    </w:rPr>
                    <m:t>int</m:t>
                  </m:r>
                </m:sub>
              </m:sSub>
              <m:r>
                <w:rPr>
                  <w:rFonts w:ascii="Cambria Math" w:eastAsia="Times New Roman" w:hAnsi="Cambria Math" w:cstheme="minorHAnsi"/>
                  <w:color w:val="000000"/>
                  <w:kern w:val="0"/>
                  <w:sz w:val="20"/>
                  <w:szCs w:val="20"/>
                  <w:lang w:val="fr-BE"/>
                </w:rPr>
                <m:t>)</m:t>
              </m:r>
            </m:oMath>
            <w:r>
              <w:rPr>
                <w:sz w:val="20"/>
                <w:rFonts w:asciiTheme="minorHAnsi" w:hAnsiTheme="minorHAnsi"/>
              </w:rPr>
              <w:t xml:space="preserve"> oraz w miejscach dostępnych publicznie na zewnątrz (</w:t>
            </w:r>
            <m:oMath>
              <m:sSub>
                <m:sSubPr>
                  <m:ctrlPr>
                    <w:rPr>
                      <w:rFonts w:ascii="Cambria Math" w:eastAsia="Times New Roman" w:hAnsi="Cambria Math" w:cstheme="minorHAnsi"/>
                      <w:i/>
                      <w:lang w:val="nl-NL"/>
                    </w:rPr>
                  </m:ctrlPr>
                </m:sSubPr>
                <m:e>
                  <m:r>
                    <w:rPr>
                      <w:rFonts w:ascii="Cambria Math" w:eastAsia="Times New Roman" w:hAnsi="Cambria Math" w:cstheme="minorHAnsi"/>
                      <w:sz w:val="20"/>
                      <w:szCs w:val="20"/>
                      <w:lang w:val="nl-NL"/>
                    </w:rPr>
                    <m:t>S</m:t>
                  </m:r>
                </m:e>
                <m:sub>
                  <m:r>
                    <w:rPr>
                      <w:rFonts w:ascii="Cambria Math" w:eastAsia="Times New Roman" w:hAnsi="Cambria Math" w:cstheme="minorHAnsi"/>
                      <w:sz w:val="20"/>
                      <w:szCs w:val="20"/>
                      <w:lang w:val="nl-NL"/>
                    </w:rPr>
                    <m:t>ext</m:t>
                  </m:r>
                </m:sub>
              </m:sSub>
              <m:r>
                <w:rPr>
                  <w:rFonts w:ascii="Cambria Math" w:eastAsia="Times New Roman" w:hAnsi="Cambria Math" w:cstheme="minorHAnsi"/>
                  <w:sz w:val="20"/>
                  <w:szCs w:val="20"/>
                  <w:lang w:val="fr-BE"/>
                </w:rPr>
                <m:t>)</m:t>
              </m:r>
            </m:oMath>
            <w:r>
              <w:rPr>
                <w:sz w:val="20"/>
                <w:rFonts w:asciiTheme="minorHAnsi" w:hAnsiTheme="minorHAnsi"/>
              </w:rPr>
              <w:t xml:space="preserve">:</w:t>
            </w:r>
            <w:r>
              <w:rPr>
                <w:sz w:val="20"/>
                <w:rFonts w:asciiTheme="minorHAnsi" w:hAnsiTheme="minorHAnsi"/>
              </w:rPr>
              <w:t xml:space="preserve"> </w:t>
            </w:r>
          </w:p>
          <w:p w14:paraId="75ECE59E" w14:textId="1C31E546" w:rsidR="00C4092C" w:rsidRDefault="00C4092C">
            <w:pPr>
              <w:spacing w:after="0" w:line="240" w:lineRule="auto"/>
              <w:ind w:left="352"/>
              <w:jc w:val="both"/>
              <w:rPr>
                <w:rFonts w:asciiTheme="minorHAnsi" w:hAnsiTheme="minorHAnsi"/>
                <w:sz w:val="20"/>
              </w:rPr>
            </w:pPr>
          </w:p>
          <w:p w14:paraId="4135601B" w14:textId="77777777" w:rsidR="00C4092C" w:rsidRDefault="00C4092C">
            <w:pPr>
              <w:spacing w:after="0" w:line="240" w:lineRule="auto"/>
              <w:ind w:left="352"/>
              <w:jc w:val="both"/>
              <w:rPr>
                <w:rFonts w:asciiTheme="minorHAnsi" w:hAnsiTheme="minorHAnsi"/>
                <w:sz w:val="20"/>
                <w:szCs w:val="20"/>
              </w:rPr>
            </w:pPr>
          </w:p>
          <w:tbl>
            <w:tblPr>
              <w:tblStyle w:val="TableGrid"/>
              <w:tblW w:w="4245" w:type="dxa"/>
              <w:tblInd w:w="342" w:type="dxa"/>
              <w:tblLayout w:type="fixed"/>
              <w:tblLook w:val="04A0" w:firstRow="1" w:lastRow="0" w:firstColumn="1" w:lastColumn="0" w:noHBand="0" w:noVBand="1"/>
            </w:tblPr>
            <w:tblGrid>
              <w:gridCol w:w="1553"/>
              <w:gridCol w:w="1223"/>
              <w:gridCol w:w="1469"/>
            </w:tblGrid>
            <w:tr w:rsidR="00873667" w14:paraId="5D540DF3" w14:textId="77777777">
              <w:trPr>
                <w:trHeight w:val="288"/>
              </w:trPr>
              <w:tc>
                <w:tcPr>
                  <w:tcW w:w="1554" w:type="dxa"/>
                  <w:tcBorders>
                    <w:top w:val="single" w:sz="4" w:space="0" w:color="auto"/>
                    <w:left w:val="single" w:sz="4" w:space="0" w:color="auto"/>
                    <w:bottom w:val="single" w:sz="4" w:space="0" w:color="auto"/>
                    <w:right w:val="single" w:sz="4" w:space="0" w:color="auto"/>
                  </w:tcBorders>
                  <w:noWrap/>
                  <w:hideMark/>
                </w:tcPr>
                <w:p w14:paraId="36F5090A" w14:textId="77777777" w:rsidR="00873667" w:rsidRDefault="00873667">
                  <w:pPr>
                    <w:widowControl/>
                    <w:suppressAutoHyphens w:val="0"/>
                    <w:spacing w:after="0" w:line="240" w:lineRule="auto"/>
                    <w:jc w:val="center"/>
                    <w:rPr>
                      <w:color w:val="000000"/>
                      <w:kern w:val="0"/>
                      <w:sz w:val="20"/>
                      <w:szCs w:val="20"/>
                      <w:rFonts w:asciiTheme="minorHAnsi" w:eastAsia="Times New Roman" w:hAnsiTheme="minorHAnsi" w:cstheme="minorHAnsi"/>
                    </w:rPr>
                  </w:pPr>
                  <w:r>
                    <w:rPr>
                      <w:color w:val="000000"/>
                      <w:sz w:val="20"/>
                      <w:rFonts w:asciiTheme="minorHAnsi" w:hAnsiTheme="minorHAnsi"/>
                    </w:rPr>
                    <w:t xml:space="preserve">Częstotliwości</w:t>
                  </w:r>
                  <w:r>
                    <w:rPr>
                      <w:color w:val="000000"/>
                      <w:sz w:val="20"/>
                      <w:rFonts w:asciiTheme="minorHAnsi" w:hAnsiTheme="minorHAnsi"/>
                    </w:rPr>
                    <w:t xml:space="preserve"> </w:t>
                  </w:r>
                </w:p>
              </w:tc>
              <w:tc>
                <w:tcPr>
                  <w:tcW w:w="1224" w:type="dxa"/>
                  <w:tcBorders>
                    <w:top w:val="single" w:sz="4" w:space="0" w:color="auto"/>
                    <w:left w:val="single" w:sz="4" w:space="0" w:color="auto"/>
                    <w:bottom w:val="single" w:sz="4" w:space="0" w:color="auto"/>
                    <w:right w:val="single" w:sz="4" w:space="0" w:color="auto"/>
                  </w:tcBorders>
                  <w:noWrap/>
                  <w:hideMark/>
                </w:tcPr>
                <w:p w14:paraId="716883CB" w14:textId="77777777" w:rsidR="00873667" w:rsidRDefault="00C4092C">
                  <w:pPr>
                    <w:widowControl/>
                    <w:suppressAutoHyphens w:val="0"/>
                    <w:spacing w:after="0" w:line="240" w:lineRule="auto"/>
                    <w:jc w:val="center"/>
                    <w:rPr>
                      <w:b/>
                      <w:bCs/>
                      <w:color w:val="000000"/>
                      <w:kern w:val="0"/>
                      <w:sz w:val="20"/>
                      <w:szCs w:val="20"/>
                      <w:rFonts w:asciiTheme="minorHAnsi" w:eastAsia="Times New Roman" w:hAnsiTheme="minorHAnsi" w:cstheme="minorHAnsi"/>
                    </w:rPr>
                  </w:pPr>
                  <m:oMathPara>
                    <m:oMath>
                      <m:sSub>
                        <m:sSubPr>
                          <m:ctrlPr>
                            <w:rPr>
                              <w:rFonts w:ascii="Cambria Math" w:eastAsia="Times New Roman" w:hAnsi="Cambria Math" w:cstheme="minorHAnsi"/>
                              <w:b/>
                              <w:bCs/>
                              <w:i/>
                              <w:color w:val="000000"/>
                              <w:lang w:val="nl-NL"/>
                            </w:rPr>
                          </m:ctrlPr>
                        </m:sSubPr>
                        <m:e>
                          <m:r>
                            <m:rPr>
                              <m:sty m:val="bi"/>
                            </m:rPr>
                            <w:rPr>
                              <w:rFonts w:ascii="Cambria Math" w:eastAsia="Times New Roman" w:hAnsi="Cambria Math" w:cstheme="minorHAnsi"/>
                              <w:color w:val="000000"/>
                              <w:kern w:val="0"/>
                              <w:sz w:val="20"/>
                              <w:szCs w:val="20"/>
                              <w:lang w:val="nl-NL"/>
                            </w:rPr>
                            <m:t>S</m:t>
                          </m:r>
                        </m:e>
                        <m:sub>
                          <m:r>
                            <m:rPr>
                              <m:sty m:val="bi"/>
                            </m:rPr>
                            <w:rPr>
                              <w:rFonts w:ascii="Cambria Math" w:eastAsia="Times New Roman" w:hAnsi="Cambria Math" w:cstheme="minorHAnsi"/>
                              <w:color w:val="000000"/>
                              <w:kern w:val="0"/>
                              <w:sz w:val="20"/>
                              <w:szCs w:val="20"/>
                              <w:lang w:val="nl-NL"/>
                            </w:rPr>
                            <m:t>ext</m:t>
                          </m:r>
                        </m:sub>
                      </m:sSub>
                    </m:oMath>
                  </m:oMathPara>
                </w:p>
              </w:tc>
              <w:tc>
                <w:tcPr>
                  <w:tcW w:w="1470" w:type="dxa"/>
                  <w:tcBorders>
                    <w:top w:val="single" w:sz="4" w:space="0" w:color="auto"/>
                    <w:left w:val="single" w:sz="4" w:space="0" w:color="auto"/>
                    <w:bottom w:val="single" w:sz="4" w:space="0" w:color="auto"/>
                    <w:right w:val="single" w:sz="4" w:space="0" w:color="auto"/>
                  </w:tcBorders>
                  <w:noWrap/>
                  <w:hideMark/>
                </w:tcPr>
                <w:p w14:paraId="519507AB" w14:textId="77777777" w:rsidR="00873667" w:rsidRDefault="00C4092C">
                  <w:pPr>
                    <w:widowControl/>
                    <w:suppressAutoHyphens w:val="0"/>
                    <w:spacing w:after="0" w:line="240" w:lineRule="auto"/>
                    <w:jc w:val="center"/>
                    <w:rPr>
                      <w:b/>
                      <w:bCs/>
                      <w:color w:val="000000"/>
                      <w:kern w:val="0"/>
                      <w:sz w:val="20"/>
                      <w:szCs w:val="20"/>
                      <w:rFonts w:asciiTheme="minorHAnsi" w:eastAsia="Times New Roman" w:hAnsiTheme="minorHAnsi" w:cstheme="minorHAnsi"/>
                    </w:rPr>
                  </w:pPr>
                  <m:oMathPara>
                    <m:oMath>
                      <m:sSub>
                        <m:sSubPr>
                          <m:ctrlPr>
                            <w:rPr>
                              <w:rFonts w:ascii="Cambria Math" w:eastAsia="Times New Roman" w:hAnsi="Cambria Math" w:cstheme="minorHAnsi"/>
                              <w:b/>
                              <w:bCs/>
                              <w:i/>
                              <w:color w:val="000000"/>
                              <w:lang w:val="nl-NL"/>
                            </w:rPr>
                          </m:ctrlPr>
                        </m:sSubPr>
                        <m:e>
                          <m:r>
                            <m:rPr>
                              <m:sty m:val="bi"/>
                            </m:rPr>
                            <w:rPr>
                              <w:rFonts w:ascii="Cambria Math" w:eastAsia="Times New Roman" w:hAnsi="Cambria Math" w:cstheme="minorHAnsi"/>
                              <w:color w:val="000000"/>
                              <w:kern w:val="0"/>
                              <w:sz w:val="20"/>
                              <w:szCs w:val="20"/>
                              <w:lang w:val="nl-NL"/>
                            </w:rPr>
                            <m:t>S</m:t>
                          </m:r>
                        </m:e>
                        <m:sub>
                          <m:r>
                            <m:rPr>
                              <m:sty m:val="bi"/>
                            </m:rPr>
                            <w:rPr>
                              <w:rFonts w:ascii="Cambria Math" w:eastAsia="Times New Roman" w:hAnsi="Cambria Math" w:cstheme="minorHAnsi"/>
                              <w:color w:val="000000"/>
                              <w:kern w:val="0"/>
                              <w:sz w:val="20"/>
                              <w:szCs w:val="20"/>
                              <w:lang w:val="nl-NL"/>
                            </w:rPr>
                            <m:t>int</m:t>
                          </m:r>
                        </m:sub>
                      </m:sSub>
                    </m:oMath>
                  </m:oMathPara>
                </w:p>
              </w:tc>
            </w:tr>
            <w:tr w:rsidR="00873667" w:rsidRPr="00404725" w14:paraId="651329AF" w14:textId="77777777">
              <w:trPr>
                <w:trHeight w:val="324"/>
              </w:trPr>
              <w:tc>
                <w:tcPr>
                  <w:tcW w:w="1554" w:type="dxa"/>
                  <w:tcBorders>
                    <w:top w:val="single" w:sz="4" w:space="0" w:color="auto"/>
                    <w:left w:val="single" w:sz="4" w:space="0" w:color="auto"/>
                    <w:bottom w:val="single" w:sz="4" w:space="0" w:color="auto"/>
                    <w:right w:val="single" w:sz="4" w:space="0" w:color="auto"/>
                  </w:tcBorders>
                  <w:noWrap/>
                  <w:hideMark/>
                </w:tcPr>
                <w:p w14:paraId="7CA81384" w14:textId="77777777" w:rsidR="00873667" w:rsidRDefault="00873667">
                  <w:pPr>
                    <w:rPr>
                      <w:rFonts w:asciiTheme="minorHAnsi" w:eastAsia="Times New Roman" w:hAnsiTheme="minorHAnsi" w:cstheme="minorHAnsi"/>
                      <w:b/>
                      <w:bCs/>
                      <w:color w:val="000000"/>
                      <w:kern w:val="0"/>
                      <w:sz w:val="20"/>
                      <w:szCs w:val="20"/>
                      <w:lang w:val="nl-NL"/>
                    </w:rPr>
                  </w:pPr>
                </w:p>
              </w:tc>
              <w:tc>
                <w:tcPr>
                  <w:tcW w:w="1224" w:type="dxa"/>
                  <w:tcBorders>
                    <w:top w:val="single" w:sz="4" w:space="0" w:color="auto"/>
                    <w:left w:val="single" w:sz="4" w:space="0" w:color="auto"/>
                    <w:bottom w:val="single" w:sz="4" w:space="0" w:color="auto"/>
                    <w:right w:val="single" w:sz="4" w:space="0" w:color="auto"/>
                  </w:tcBorders>
                  <w:noWrap/>
                  <w:hideMark/>
                </w:tcPr>
                <w:p w14:paraId="5701B2E7" w14:textId="77777777" w:rsidR="00873667" w:rsidRDefault="00873667">
                  <w:pPr>
                    <w:widowControl/>
                    <w:suppressAutoHyphens w:val="0"/>
                    <w:spacing w:after="0" w:line="240" w:lineRule="auto"/>
                    <w:jc w:val="center"/>
                    <w:rPr>
                      <w:b/>
                      <w:bCs/>
                      <w:color w:val="000000"/>
                      <w:kern w:val="0"/>
                      <w:sz w:val="20"/>
                      <w:szCs w:val="20"/>
                      <w:rFonts w:asciiTheme="minorHAnsi" w:eastAsia="Times New Roman" w:hAnsiTheme="minorHAnsi" w:cstheme="minorHAnsi"/>
                    </w:rPr>
                  </w:pPr>
                  <w:r>
                    <w:rPr>
                      <w:b/>
                      <w:color w:val="000000"/>
                      <w:sz w:val="20"/>
                      <w:rFonts w:asciiTheme="minorHAnsi" w:hAnsiTheme="minorHAnsi"/>
                    </w:rPr>
                    <w:t xml:space="preserve">(W/m</w:t>
                  </w:r>
                  <w:r>
                    <w:rPr>
                      <w:b/>
                      <w:color w:val="000000"/>
                      <w:sz w:val="20"/>
                      <w:vertAlign w:val="superscript"/>
                      <w:rFonts w:asciiTheme="minorHAnsi" w:hAnsiTheme="minorHAnsi"/>
                    </w:rPr>
                    <w:t xml:space="preserve">2</w:t>
                  </w:r>
                  <w:r>
                    <w:rPr>
                      <w:b/>
                      <w:color w:val="000000"/>
                      <w:sz w:val="20"/>
                      <w:rFonts w:asciiTheme="minorHAnsi" w:hAnsiTheme="minorHAnsi"/>
                    </w:rPr>
                    <w:t xml:space="preserve">)</w:t>
                  </w:r>
                </w:p>
              </w:tc>
              <w:tc>
                <w:tcPr>
                  <w:tcW w:w="1470" w:type="dxa"/>
                  <w:tcBorders>
                    <w:top w:val="single" w:sz="4" w:space="0" w:color="auto"/>
                    <w:left w:val="single" w:sz="4" w:space="0" w:color="auto"/>
                    <w:bottom w:val="single" w:sz="4" w:space="0" w:color="auto"/>
                    <w:right w:val="single" w:sz="4" w:space="0" w:color="auto"/>
                  </w:tcBorders>
                  <w:noWrap/>
                  <w:hideMark/>
                </w:tcPr>
                <w:p w14:paraId="77391CCF" w14:textId="77777777" w:rsidR="00873667" w:rsidRDefault="00873667">
                  <w:pPr>
                    <w:widowControl/>
                    <w:suppressAutoHyphens w:val="0"/>
                    <w:spacing w:after="0" w:line="240" w:lineRule="auto"/>
                    <w:jc w:val="center"/>
                    <w:rPr>
                      <w:b/>
                      <w:bCs/>
                      <w:color w:val="000000"/>
                      <w:kern w:val="0"/>
                      <w:sz w:val="20"/>
                      <w:szCs w:val="20"/>
                      <w:rFonts w:asciiTheme="minorHAnsi" w:eastAsia="Times New Roman" w:hAnsiTheme="minorHAnsi" w:cstheme="minorHAnsi"/>
                    </w:rPr>
                  </w:pPr>
                  <w:r>
                    <w:rPr>
                      <w:b/>
                      <w:color w:val="000000"/>
                      <w:sz w:val="20"/>
                      <w:rFonts w:asciiTheme="minorHAnsi" w:hAnsiTheme="minorHAnsi"/>
                    </w:rPr>
                    <w:t xml:space="preserve">(W/m</w:t>
                  </w:r>
                  <w:r>
                    <w:rPr>
                      <w:b/>
                      <w:color w:val="000000"/>
                      <w:sz w:val="20"/>
                      <w:vertAlign w:val="superscript"/>
                      <w:rFonts w:asciiTheme="minorHAnsi" w:hAnsiTheme="minorHAnsi"/>
                    </w:rPr>
                    <w:t xml:space="preserve">2</w:t>
                  </w:r>
                  <w:r>
                    <w:rPr>
                      <w:b/>
                      <w:color w:val="000000"/>
                      <w:sz w:val="20"/>
                      <w:rFonts w:asciiTheme="minorHAnsi" w:hAnsiTheme="minorHAnsi"/>
                    </w:rPr>
                    <w:t xml:space="preserve">)</w:t>
                  </w:r>
                </w:p>
              </w:tc>
            </w:tr>
            <w:tr w:rsidR="00873667" w:rsidRPr="00404725" w14:paraId="3B896DC8" w14:textId="77777777">
              <w:trPr>
                <w:trHeight w:val="288"/>
              </w:trPr>
              <w:tc>
                <w:tcPr>
                  <w:tcW w:w="1554" w:type="dxa"/>
                  <w:tcBorders>
                    <w:top w:val="single" w:sz="4" w:space="0" w:color="auto"/>
                    <w:left w:val="single" w:sz="4" w:space="0" w:color="auto"/>
                    <w:bottom w:val="single" w:sz="4" w:space="0" w:color="auto"/>
                    <w:right w:val="single" w:sz="4" w:space="0" w:color="auto"/>
                  </w:tcBorders>
                  <w:noWrap/>
                  <w:hideMark/>
                </w:tcPr>
                <w:p w14:paraId="2B32FB69" w14:textId="77777777" w:rsidR="00873667" w:rsidRDefault="00873667">
                  <w:pPr>
                    <w:widowControl/>
                    <w:suppressAutoHyphens w:val="0"/>
                    <w:spacing w:after="0" w:line="240" w:lineRule="auto"/>
                    <w:jc w:val="center"/>
                    <w:rPr>
                      <w:color w:val="000000"/>
                      <w:kern w:val="0"/>
                      <w:sz w:val="20"/>
                      <w:szCs w:val="20"/>
                      <w:rFonts w:asciiTheme="minorHAnsi" w:eastAsia="Times New Roman" w:hAnsiTheme="minorHAnsi" w:cstheme="minorHAnsi"/>
                    </w:rPr>
                  </w:pPr>
                  <w:r>
                    <w:rPr>
                      <w:color w:val="000000"/>
                      <w:sz w:val="20"/>
                      <w:rFonts w:asciiTheme="minorHAnsi" w:hAnsiTheme="minorHAnsi"/>
                    </w:rPr>
                    <w:t xml:space="preserve">0,1–400 MHz</w:t>
                  </w:r>
                </w:p>
              </w:tc>
              <w:tc>
                <w:tcPr>
                  <w:tcW w:w="1224" w:type="dxa"/>
                  <w:tcBorders>
                    <w:top w:val="single" w:sz="4" w:space="0" w:color="auto"/>
                    <w:left w:val="single" w:sz="4" w:space="0" w:color="auto"/>
                    <w:bottom w:val="single" w:sz="4" w:space="0" w:color="auto"/>
                    <w:right w:val="single" w:sz="4" w:space="0" w:color="auto"/>
                  </w:tcBorders>
                  <w:noWrap/>
                  <w:hideMark/>
                </w:tcPr>
                <w:p w14:paraId="5DE3C701" w14:textId="77777777" w:rsidR="00873667" w:rsidRDefault="00873667">
                  <w:pPr>
                    <w:widowControl/>
                    <w:suppressAutoHyphens w:val="0"/>
                    <w:spacing w:after="0" w:line="240" w:lineRule="auto"/>
                    <w:jc w:val="center"/>
                    <w:rPr>
                      <w:color w:val="000000"/>
                      <w:kern w:val="0"/>
                      <w:sz w:val="20"/>
                      <w:szCs w:val="20"/>
                      <w:rFonts w:asciiTheme="minorHAnsi" w:eastAsia="Times New Roman" w:hAnsiTheme="minorHAnsi" w:cstheme="minorHAnsi"/>
                    </w:rPr>
                  </w:pPr>
                  <w:r>
                    <w:rPr>
                      <w:color w:val="000000"/>
                      <w:sz w:val="20"/>
                      <w:rFonts w:asciiTheme="minorHAnsi" w:hAnsiTheme="minorHAnsi"/>
                    </w:rPr>
                    <w:t xml:space="preserve">0,2497</w:t>
                  </w:r>
                </w:p>
              </w:tc>
              <w:tc>
                <w:tcPr>
                  <w:tcW w:w="1470" w:type="dxa"/>
                  <w:tcBorders>
                    <w:top w:val="single" w:sz="4" w:space="0" w:color="auto"/>
                    <w:left w:val="single" w:sz="4" w:space="0" w:color="auto"/>
                    <w:bottom w:val="single" w:sz="4" w:space="0" w:color="auto"/>
                    <w:right w:val="single" w:sz="4" w:space="0" w:color="auto"/>
                  </w:tcBorders>
                  <w:noWrap/>
                  <w:hideMark/>
                </w:tcPr>
                <w:p w14:paraId="065665BB" w14:textId="77777777" w:rsidR="00873667" w:rsidRDefault="00873667">
                  <w:pPr>
                    <w:widowControl/>
                    <w:suppressAutoHyphens w:val="0"/>
                    <w:spacing w:after="0" w:line="240" w:lineRule="auto"/>
                    <w:jc w:val="center"/>
                    <w:rPr>
                      <w:color w:val="000000"/>
                      <w:kern w:val="0"/>
                      <w:sz w:val="20"/>
                      <w:szCs w:val="20"/>
                      <w:rFonts w:asciiTheme="minorHAnsi" w:eastAsia="Times New Roman" w:hAnsiTheme="minorHAnsi" w:cstheme="minorHAnsi"/>
                    </w:rPr>
                  </w:pPr>
                  <w:r>
                    <w:rPr>
                      <w:color w:val="000000"/>
                      <w:sz w:val="20"/>
                      <w:rFonts w:asciiTheme="minorHAnsi" w:hAnsiTheme="minorHAnsi"/>
                    </w:rPr>
                    <w:t xml:space="preserve">0,0994</w:t>
                  </w:r>
                </w:p>
              </w:tc>
            </w:tr>
            <w:tr w:rsidR="00873667" w:rsidRPr="00404725" w14:paraId="093A4907" w14:textId="77777777">
              <w:trPr>
                <w:trHeight w:val="288"/>
              </w:trPr>
              <w:tc>
                <w:tcPr>
                  <w:tcW w:w="1554" w:type="dxa"/>
                  <w:tcBorders>
                    <w:top w:val="single" w:sz="4" w:space="0" w:color="auto"/>
                    <w:left w:val="single" w:sz="4" w:space="0" w:color="auto"/>
                    <w:bottom w:val="single" w:sz="4" w:space="0" w:color="auto"/>
                    <w:right w:val="single" w:sz="4" w:space="0" w:color="auto"/>
                  </w:tcBorders>
                  <w:noWrap/>
                  <w:hideMark/>
                </w:tcPr>
                <w:p w14:paraId="22456A00" w14:textId="77777777" w:rsidR="00873667" w:rsidRDefault="00873667">
                  <w:pPr>
                    <w:widowControl/>
                    <w:suppressAutoHyphens w:val="0"/>
                    <w:spacing w:after="0" w:line="240" w:lineRule="auto"/>
                    <w:jc w:val="center"/>
                    <w:rPr>
                      <w:color w:val="000000"/>
                      <w:kern w:val="0"/>
                      <w:sz w:val="20"/>
                      <w:szCs w:val="20"/>
                      <w:rFonts w:asciiTheme="minorHAnsi" w:eastAsia="Times New Roman" w:hAnsiTheme="minorHAnsi" w:cstheme="minorHAnsi"/>
                    </w:rPr>
                  </w:pPr>
                  <w:r>
                    <w:rPr>
                      <w:color w:val="000000"/>
                      <w:sz w:val="20"/>
                      <w:rFonts w:asciiTheme="minorHAnsi" w:hAnsiTheme="minorHAnsi"/>
                    </w:rPr>
                    <w:t xml:space="preserve">400–2000 MHz</w:t>
                  </w:r>
                </w:p>
              </w:tc>
              <w:tc>
                <w:tcPr>
                  <w:tcW w:w="1224" w:type="dxa"/>
                  <w:tcBorders>
                    <w:top w:val="single" w:sz="4" w:space="0" w:color="auto"/>
                    <w:left w:val="single" w:sz="4" w:space="0" w:color="auto"/>
                    <w:bottom w:val="single" w:sz="4" w:space="0" w:color="auto"/>
                    <w:right w:val="single" w:sz="4" w:space="0" w:color="auto"/>
                  </w:tcBorders>
                  <w:noWrap/>
                  <w:hideMark/>
                </w:tcPr>
                <w:p w14:paraId="5C003B65" w14:textId="77777777" w:rsidR="00873667" w:rsidRDefault="00873667">
                  <w:pPr>
                    <w:widowControl/>
                    <w:suppressAutoHyphens w:val="0"/>
                    <w:spacing w:after="0" w:line="240" w:lineRule="auto"/>
                    <w:jc w:val="center"/>
                    <w:rPr>
                      <w:color w:val="000000"/>
                      <w:kern w:val="0"/>
                      <w:sz w:val="20"/>
                      <w:szCs w:val="20"/>
                      <w:rFonts w:asciiTheme="minorHAnsi" w:eastAsia="Times New Roman" w:hAnsiTheme="minorHAnsi" w:cstheme="minorHAnsi"/>
                    </w:rPr>
                  </w:pPr>
                  <m:oMath>
                    <m:r>
                      <w:rPr>
                        <w:rFonts w:ascii="Cambria Math" w:eastAsia="Times New Roman" w:hAnsi="Cambria Math" w:cstheme="minorHAnsi"/>
                        <w:color w:val="000000"/>
                        <w:kern w:val="0"/>
                        <w:sz w:val="20"/>
                        <w:szCs w:val="20"/>
                        <w:lang w:val="nl-NL"/>
                      </w:rPr>
                      <m:t>f</m:t>
                    </m:r>
                    <m:r>
                      <w:rPr>
                        <w:rFonts w:ascii="Cambria Math" w:eastAsia="Times New Roman" w:hAnsi="Cambria Math" w:cstheme="minorHAnsi"/>
                        <w:color w:val="000000"/>
                        <w:kern w:val="0"/>
                        <w:sz w:val="20"/>
                        <w:szCs w:val="20"/>
                        <w:lang w:val="fr-BE"/>
                      </w:rPr>
                      <m:t xml:space="preserve"> </m:t>
                    </m:r>
                  </m:oMath>
                  <w:r>
                    <w:rPr>
                      <w:color w:val="000000"/>
                      <w:sz w:val="20"/>
                      <w:rFonts w:asciiTheme="minorHAnsi" w:hAnsiTheme="minorHAnsi"/>
                    </w:rPr>
                    <w:t xml:space="preserve">/1597,28</w:t>
                  </w:r>
                </w:p>
              </w:tc>
              <w:tc>
                <w:tcPr>
                  <w:tcW w:w="1470" w:type="dxa"/>
                  <w:tcBorders>
                    <w:top w:val="single" w:sz="4" w:space="0" w:color="auto"/>
                    <w:left w:val="single" w:sz="4" w:space="0" w:color="auto"/>
                    <w:bottom w:val="single" w:sz="4" w:space="0" w:color="auto"/>
                    <w:right w:val="single" w:sz="4" w:space="0" w:color="auto"/>
                  </w:tcBorders>
                  <w:noWrap/>
                  <w:hideMark/>
                </w:tcPr>
                <w:p w14:paraId="0FF370C7" w14:textId="77777777" w:rsidR="00873667" w:rsidRDefault="00873667">
                  <w:pPr>
                    <w:widowControl/>
                    <w:suppressAutoHyphens w:val="0"/>
                    <w:spacing w:after="0" w:line="240" w:lineRule="auto"/>
                    <w:jc w:val="center"/>
                    <w:rPr>
                      <w:color w:val="000000"/>
                      <w:kern w:val="0"/>
                      <w:sz w:val="20"/>
                      <w:szCs w:val="20"/>
                      <w:rFonts w:asciiTheme="minorHAnsi" w:eastAsia="Times New Roman" w:hAnsiTheme="minorHAnsi" w:cstheme="minorHAnsi"/>
                    </w:rPr>
                  </w:pPr>
                  <w:r>
                    <w:rPr>
                      <w:color w:val="000000"/>
                      <w:sz w:val="20"/>
                      <w:rFonts w:asciiTheme="minorHAnsi" w:hAnsiTheme="minorHAnsi"/>
                    </w:rPr>
                    <w:t xml:space="preserve">f / 4012.19</w:t>
                  </w:r>
                </w:p>
              </w:tc>
            </w:tr>
            <w:tr w:rsidR="00873667" w:rsidRPr="00404725" w14:paraId="4F14AD5C" w14:textId="77777777">
              <w:trPr>
                <w:trHeight w:val="324"/>
              </w:trPr>
              <w:tc>
                <w:tcPr>
                  <w:tcW w:w="1554" w:type="dxa"/>
                  <w:tcBorders>
                    <w:top w:val="single" w:sz="4" w:space="0" w:color="auto"/>
                    <w:left w:val="single" w:sz="4" w:space="0" w:color="auto"/>
                    <w:bottom w:val="single" w:sz="4" w:space="0" w:color="auto"/>
                    <w:right w:val="single" w:sz="4" w:space="0" w:color="auto"/>
                  </w:tcBorders>
                  <w:noWrap/>
                  <w:hideMark/>
                </w:tcPr>
                <w:p w14:paraId="1C105701" w14:textId="77777777" w:rsidR="00873667" w:rsidRDefault="00873667">
                  <w:pPr>
                    <w:widowControl/>
                    <w:suppressAutoHyphens w:val="0"/>
                    <w:spacing w:after="0" w:line="240" w:lineRule="auto"/>
                    <w:jc w:val="center"/>
                    <w:rPr>
                      <w:color w:val="000000"/>
                      <w:kern w:val="0"/>
                      <w:sz w:val="20"/>
                      <w:szCs w:val="20"/>
                      <w:rFonts w:asciiTheme="minorHAnsi" w:eastAsia="Times New Roman" w:hAnsiTheme="minorHAnsi" w:cstheme="minorHAnsi"/>
                    </w:rPr>
                  </w:pPr>
                  <w:r>
                    <w:rPr>
                      <w:color w:val="000000"/>
                      <w:sz w:val="20"/>
                      <w:rFonts w:asciiTheme="minorHAnsi" w:hAnsiTheme="minorHAnsi"/>
                    </w:rPr>
                    <w:t xml:space="preserve">2–300 GHz</w:t>
                  </w:r>
                </w:p>
              </w:tc>
              <w:tc>
                <w:tcPr>
                  <w:tcW w:w="1224" w:type="dxa"/>
                  <w:tcBorders>
                    <w:top w:val="single" w:sz="4" w:space="0" w:color="auto"/>
                    <w:left w:val="single" w:sz="4" w:space="0" w:color="auto"/>
                    <w:bottom w:val="single" w:sz="4" w:space="0" w:color="auto"/>
                    <w:right w:val="single" w:sz="4" w:space="0" w:color="auto"/>
                  </w:tcBorders>
                  <w:noWrap/>
                  <w:hideMark/>
                </w:tcPr>
                <w:p w14:paraId="39E68373" w14:textId="77777777" w:rsidR="00873667" w:rsidRDefault="00873667">
                  <w:pPr>
                    <w:widowControl/>
                    <w:suppressAutoHyphens w:val="0"/>
                    <w:spacing w:after="0" w:line="240" w:lineRule="auto"/>
                    <w:jc w:val="center"/>
                    <w:rPr>
                      <w:color w:val="000000"/>
                      <w:kern w:val="0"/>
                      <w:sz w:val="20"/>
                      <w:szCs w:val="20"/>
                      <w:rFonts w:asciiTheme="minorHAnsi" w:eastAsia="Times New Roman" w:hAnsiTheme="minorHAnsi" w:cstheme="minorHAnsi"/>
                    </w:rPr>
                  </w:pPr>
                  <w:r>
                    <w:rPr>
                      <w:color w:val="000000"/>
                      <w:sz w:val="20"/>
                      <w:rFonts w:asciiTheme="minorHAnsi" w:hAnsiTheme="minorHAnsi"/>
                    </w:rPr>
                    <w:t xml:space="preserve">1,2539</w:t>
                  </w:r>
                </w:p>
              </w:tc>
              <w:tc>
                <w:tcPr>
                  <w:tcW w:w="1470" w:type="dxa"/>
                  <w:tcBorders>
                    <w:top w:val="single" w:sz="4" w:space="0" w:color="auto"/>
                    <w:left w:val="single" w:sz="4" w:space="0" w:color="auto"/>
                    <w:bottom w:val="single" w:sz="4" w:space="0" w:color="auto"/>
                    <w:right w:val="single" w:sz="4" w:space="0" w:color="auto"/>
                  </w:tcBorders>
                  <w:noWrap/>
                  <w:hideMark/>
                </w:tcPr>
                <w:p w14:paraId="5B4DB48F" w14:textId="77777777" w:rsidR="00873667" w:rsidRDefault="00873667">
                  <w:pPr>
                    <w:widowControl/>
                    <w:suppressAutoHyphens w:val="0"/>
                    <w:spacing w:after="0" w:line="240" w:lineRule="auto"/>
                    <w:jc w:val="center"/>
                    <w:rPr>
                      <w:color w:val="000000"/>
                      <w:kern w:val="0"/>
                      <w:sz w:val="20"/>
                      <w:szCs w:val="20"/>
                      <w:rFonts w:asciiTheme="minorHAnsi" w:eastAsia="Times New Roman" w:hAnsiTheme="minorHAnsi" w:cstheme="minorHAnsi"/>
                    </w:rPr>
                  </w:pPr>
                  <w:r>
                    <w:rPr>
                      <w:color w:val="000000"/>
                      <w:sz w:val="20"/>
                      <w:rFonts w:asciiTheme="minorHAnsi" w:hAnsiTheme="minorHAnsi"/>
                    </w:rPr>
                    <w:t xml:space="preserve">0,4992</w:t>
                  </w:r>
                </w:p>
              </w:tc>
            </w:tr>
          </w:tbl>
          <w:p w14:paraId="674B9356" w14:textId="77777777" w:rsidR="00873667" w:rsidRDefault="00873667">
            <w:pPr>
              <w:spacing w:after="0" w:line="240" w:lineRule="auto"/>
              <w:ind w:left="352"/>
              <w:jc w:val="both"/>
              <w:rPr>
                <w:sz w:val="20"/>
                <w:szCs w:val="20"/>
                <w:rFonts w:asciiTheme="minorHAnsi" w:hAnsiTheme="minorHAnsi"/>
              </w:rPr>
            </w:pPr>
            <w:r>
              <w:rPr>
                <w:sz w:val="20"/>
                <w:rFonts w:ascii="Times New Roman" w:hAnsi="Times New Roman"/>
              </w:rPr>
              <w:t xml:space="preserve">gdzie </w:t>
            </w:r>
            <m:oMath>
              <m:r>
                <w:rPr>
                  <w:rFonts w:ascii="Cambria Math" w:hAnsi="Cambria Math"/>
                  <w:sz w:val="20"/>
                  <w:szCs w:val="20"/>
                  <w:lang w:val="nl-NL"/>
                </w:rPr>
                <m:t>f</m:t>
              </m:r>
              <m:r>
                <w:rPr>
                  <w:rFonts w:ascii="Cambria Math" w:hAnsi="Cambria Math"/>
                  <w:sz w:val="20"/>
                  <w:szCs w:val="20"/>
                  <w:lang w:val="fr-BE"/>
                </w:rPr>
                <m:t xml:space="preserve"> </m:t>
              </m:r>
            </m:oMath>
            <w:r>
              <w:rPr>
                <w:sz w:val="20"/>
                <w:rFonts w:asciiTheme="minorHAnsi" w:hAnsiTheme="minorHAnsi"/>
              </w:rPr>
              <w:t xml:space="preserve">jest częstotliwością wyrażaną w MHz.</w:t>
            </w:r>
          </w:p>
          <w:p w14:paraId="2801D7D3" w14:textId="77777777" w:rsidR="00AC2FE0" w:rsidRDefault="00873667">
            <w:pPr>
              <w:pStyle w:val="ListParagraph"/>
              <w:widowControl/>
              <w:suppressAutoHyphens w:val="0"/>
              <w:spacing w:after="0" w:line="240" w:lineRule="auto"/>
              <w:ind w:left="360"/>
              <w:jc w:val="both"/>
              <w:rPr>
                <w:sz w:val="20"/>
                <w:szCs w:val="20"/>
                <w:rFonts w:asciiTheme="minorHAnsi" w:eastAsia="Times New Roman" w:hAnsiTheme="minorHAnsi" w:cstheme="minorHAnsi"/>
              </w:rPr>
            </w:pPr>
            <w:r>
              <w:rPr>
                <w:sz w:val="20"/>
                <w:rFonts w:asciiTheme="minorHAnsi" w:hAnsiTheme="minorHAnsi"/>
              </w:rPr>
              <w:t xml:space="preserve">Dla przykładu, przy częstotliwości 900 MHz, norma</w:t>
            </w:r>
            <w:r>
              <w:rPr>
                <w:sz w:val="20"/>
                <w:rFonts w:asciiTheme="minorHAnsi" w:hAnsiTheme="minorHAnsi"/>
              </w:rPr>
              <w:t xml:space="preserve"> </w:t>
            </w:r>
          </w:p>
          <w:p w14:paraId="5960402E" w14:textId="451DEC5F" w:rsidR="00873667" w:rsidRDefault="00C4092C">
            <w:pPr>
              <w:pStyle w:val="ListParagraph"/>
              <w:widowControl/>
              <w:suppressAutoHyphens w:val="0"/>
              <w:spacing w:after="0" w:line="240" w:lineRule="auto"/>
              <w:ind w:left="360"/>
              <w:jc w:val="both"/>
              <w:rPr>
                <w:sz w:val="20"/>
                <w:szCs w:val="20"/>
                <w:rFonts w:asciiTheme="minorHAnsi" w:hAnsiTheme="minorHAnsi"/>
              </w:rPr>
            </w:pPr>
            <m:oMath>
              <m:sSub>
                <m:sSubPr>
                  <m:ctrlPr>
                    <w:rPr>
                      <w:rFonts w:ascii="Cambria Math" w:eastAsia="Times New Roman" w:hAnsi="Cambria Math" w:cstheme="minorHAnsi"/>
                      <w:bCs/>
                      <w:i/>
                      <w:color w:val="000000"/>
                      <w:lang w:val="nl-NL"/>
                    </w:rPr>
                  </m:ctrlPr>
                </m:sSubPr>
                <m:e>
                  <m:r>
                    <w:rPr>
                      <w:rFonts w:ascii="Cambria Math" w:eastAsia="Times New Roman" w:hAnsi="Cambria Math" w:cstheme="minorHAnsi"/>
                      <w:color w:val="000000"/>
                      <w:kern w:val="0"/>
                      <w:sz w:val="20"/>
                      <w:szCs w:val="20"/>
                      <w:lang w:val="nl-NL"/>
                    </w:rPr>
                    <m:t>S</m:t>
                  </m:r>
                </m:e>
                <m:sub>
                  <m:r>
                    <w:rPr>
                      <w:rFonts w:ascii="Cambria Math" w:eastAsia="Times New Roman" w:hAnsi="Cambria Math" w:cstheme="minorHAnsi"/>
                      <w:color w:val="000000"/>
                      <w:kern w:val="0"/>
                      <w:sz w:val="20"/>
                      <w:szCs w:val="20"/>
                      <w:lang w:val="nl-NL"/>
                    </w:rPr>
                    <m:t>int</m:t>
                  </m:r>
                </m:sub>
              </m:sSub>
            </m:oMath>
            <w:r>
              <w:rPr>
                <w:sz w:val="20"/>
                <w:rFonts w:asciiTheme="minorHAnsi" w:hAnsiTheme="minorHAnsi"/>
              </w:rPr>
              <w:t xml:space="preserve"> = 0,2243</w:t>
            </w:r>
            <w:r>
              <w:rPr>
                <w:sz w:val="20"/>
                <w:rFonts w:asciiTheme="minorHAnsi" w:hAnsiTheme="minorHAnsi"/>
              </w:rPr>
              <w:t xml:space="preserve"> </w:t>
            </w:r>
            <w:r>
              <w:rPr>
                <w:sz w:val="20"/>
                <w:rFonts w:asciiTheme="minorHAnsi" w:hAnsiTheme="minorHAnsi"/>
              </w:rPr>
              <w:t xml:space="preserve">W/m² odpowiada polu elektrycznemu, </w:t>
            </w:r>
            <m:oMath>
              <m:sSub>
                <m:sSubPr>
                  <m:ctrlPr>
                    <w:rPr>
                      <w:rFonts w:ascii="Cambria Math" w:eastAsia="Times New Roman" w:hAnsi="Cambria Math" w:cstheme="minorHAnsi"/>
                      <w:i/>
                      <w:lang w:val="nl-NL"/>
                    </w:rPr>
                  </m:ctrlPr>
                </m:sSubPr>
                <m:e>
                  <m:r>
                    <w:rPr>
                      <w:rFonts w:ascii="Cambria Math" w:eastAsia="Times New Roman" w:hAnsi="Cambria Math" w:cstheme="minorHAnsi"/>
                      <w:sz w:val="20"/>
                      <w:szCs w:val="20"/>
                      <w:lang w:val="nl-NL"/>
                    </w:rPr>
                    <m:t>E</m:t>
                  </m:r>
                </m:e>
                <m:sub>
                  <m:r>
                    <w:rPr>
                      <w:rFonts w:ascii="Cambria Math" w:eastAsia="Times New Roman" w:hAnsi="Cambria Math" w:cstheme="minorHAnsi"/>
                      <w:sz w:val="20"/>
                      <w:szCs w:val="20"/>
                      <w:lang w:val="nl-NL"/>
                    </w:rPr>
                    <m:t>int</m:t>
                  </m:r>
                </m:sub>
              </m:sSub>
            </m:oMath>
            <w:r>
              <w:rPr>
                <w:sz w:val="20"/>
                <w:rFonts w:asciiTheme="minorHAnsi" w:hAnsiTheme="minorHAnsi"/>
              </w:rPr>
              <w:t xml:space="preserve"> = 9,19 V/m;</w:t>
            </w:r>
            <w:r>
              <w:rPr>
                <w:sz w:val="20"/>
                <w:rFonts w:asciiTheme="minorHAnsi" w:hAnsiTheme="minorHAnsi"/>
              </w:rPr>
              <w:t xml:space="preserve"> </w:t>
            </w:r>
            <w:r>
              <w:rPr>
                <w:sz w:val="20"/>
                <w:rFonts w:asciiTheme="minorHAnsi" w:hAnsiTheme="minorHAnsi"/>
              </w:rPr>
              <w:t xml:space="preserve">natomiast norma </w:t>
            </w:r>
            <m:oMath>
              <m:sSub>
                <m:sSubPr>
                  <m:ctrlPr>
                    <w:rPr>
                      <w:rFonts w:ascii="Cambria Math" w:eastAsia="Times New Roman" w:hAnsi="Cambria Math" w:cstheme="minorHAnsi"/>
                      <w:i/>
                      <w:lang w:val="nl-NL"/>
                    </w:rPr>
                  </m:ctrlPr>
                </m:sSubPr>
                <m:e>
                  <m:r>
                    <w:rPr>
                      <w:rFonts w:ascii="Cambria Math" w:eastAsia="Times New Roman" w:hAnsi="Cambria Math" w:cstheme="minorHAnsi"/>
                      <w:sz w:val="20"/>
                      <w:szCs w:val="20"/>
                      <w:lang w:val="nl-NL"/>
                    </w:rPr>
                    <m:t>S</m:t>
                  </m:r>
                </m:e>
                <m:sub>
                  <m:r>
                    <w:rPr>
                      <w:rFonts w:ascii="Cambria Math" w:eastAsia="Times New Roman" w:hAnsi="Cambria Math" w:cstheme="minorHAnsi"/>
                      <w:sz w:val="20"/>
                      <w:szCs w:val="20"/>
                      <w:lang w:val="nl-NL"/>
                    </w:rPr>
                    <m:t>ext</m:t>
                  </m:r>
                </m:sub>
              </m:sSub>
            </m:oMath>
            <w:r>
              <w:rPr>
                <w:sz w:val="20"/>
                <w:rFonts w:asciiTheme="minorHAnsi" w:hAnsiTheme="minorHAnsi"/>
              </w:rPr>
              <w:t xml:space="preserve">= 0,5635 W/m² odpowiada polu elektrycznemu,</w:t>
            </w:r>
            <m:oMath>
              <m:sSub>
                <m:sSubPr>
                  <m:ctrlPr>
                    <w:rPr>
                      <w:rFonts w:ascii="Cambria Math" w:eastAsia="Times New Roman" w:hAnsi="Cambria Math" w:cstheme="minorHAnsi"/>
                      <w:i/>
                      <w:lang w:val="nl-NL"/>
                    </w:rPr>
                  </m:ctrlPr>
                </m:sSubPr>
                <m:e>
                  <m:r>
                    <w:rPr>
                      <w:rFonts w:ascii="Cambria Math" w:eastAsia="Times New Roman" w:hAnsi="Cambria Math" w:cstheme="minorHAnsi"/>
                      <w:sz w:val="20"/>
                      <w:szCs w:val="20"/>
                      <w:lang w:val="nl-NL"/>
                    </w:rPr>
                    <m:t>E</m:t>
                  </m:r>
                </m:e>
                <m:sub>
                  <m:r>
                    <w:rPr>
                      <w:rFonts w:ascii="Cambria Math" w:eastAsia="Times New Roman" w:hAnsi="Cambria Math" w:cstheme="minorHAnsi"/>
                      <w:sz w:val="20"/>
                      <w:szCs w:val="20"/>
                      <w:lang w:val="nl-NL"/>
                    </w:rPr>
                    <m:t>ext</m:t>
                  </m:r>
                </m:sub>
              </m:sSub>
            </m:oMath>
            <w:r>
              <w:rPr>
                <w:sz w:val="20"/>
                <w:rFonts w:asciiTheme="minorHAnsi" w:hAnsiTheme="minorHAnsi"/>
              </w:rPr>
              <w:t xml:space="preserve"> = 14,57 V/m.</w:t>
            </w:r>
          </w:p>
          <w:p w14:paraId="5C8AFACD" w14:textId="77777777" w:rsidR="00873667" w:rsidRDefault="00873667">
            <w:pPr>
              <w:pStyle w:val="ListParagraph"/>
              <w:widowControl/>
              <w:suppressAutoHyphens w:val="0"/>
              <w:spacing w:after="0" w:line="240" w:lineRule="auto"/>
              <w:ind w:left="360"/>
              <w:jc w:val="both"/>
              <w:rPr>
                <w:sz w:val="20"/>
                <w:szCs w:val="20"/>
                <w:rFonts w:asciiTheme="minorHAnsi" w:hAnsiTheme="minorHAnsi"/>
              </w:rPr>
            </w:pPr>
            <w:r>
              <w:rPr>
                <w:sz w:val="20"/>
                <w:rFonts w:asciiTheme="minorHAnsi" w:hAnsiTheme="minorHAnsi"/>
              </w:rPr>
              <w:t xml:space="preserve">W przeciwieństwie do poprzedniego akapitu gęstości mocy promieniowania niejonizującego mające zastosowanie w miejscach dostępnych publicznie na zewnątrz mają również zastosowanie do miejsc dostępnych publicznie w pomieszczeniach zamkniętych, gdy w tych miejscach otwierane są okna lub drzwi otwierane na zewnątrz.”;</w:t>
            </w:r>
          </w:p>
          <w:p w14:paraId="5AC47F5C" w14:textId="77777777" w:rsidR="00873667" w:rsidRDefault="00873667">
            <w:pPr>
              <w:widowControl/>
              <w:suppressAutoHyphens w:val="0"/>
              <w:spacing w:after="0" w:line="240" w:lineRule="auto"/>
              <w:jc w:val="both"/>
              <w:rPr>
                <w:rFonts w:asciiTheme="minorHAnsi" w:hAnsiTheme="minorHAnsi"/>
                <w:sz w:val="20"/>
                <w:szCs w:val="20"/>
                <w:lang w:val="fr-BE"/>
              </w:rPr>
            </w:pPr>
          </w:p>
          <w:p w14:paraId="3F56D40C" w14:textId="77777777" w:rsidR="00873667" w:rsidRDefault="00873667" w:rsidP="00242999">
            <w:pPr>
              <w:pStyle w:val="ListParagraph"/>
              <w:widowControl/>
              <w:numPr>
                <w:ilvl w:val="0"/>
                <w:numId w:val="2"/>
              </w:numPr>
              <w:suppressAutoHyphens w:val="0"/>
              <w:spacing w:after="0" w:line="240" w:lineRule="auto"/>
              <w:jc w:val="both"/>
              <w:rPr>
                <w:sz w:val="20"/>
                <w:szCs w:val="20"/>
                <w:rFonts w:asciiTheme="minorHAnsi" w:hAnsiTheme="minorHAnsi"/>
              </w:rPr>
            </w:pPr>
            <w:r>
              <w:rPr>
                <w:sz w:val="20"/>
                <w:rFonts w:asciiTheme="minorHAnsi" w:hAnsiTheme="minorHAnsi"/>
              </w:rPr>
              <w:t xml:space="preserve">dodaje się ust. 1b w brzmieniu:</w:t>
            </w:r>
          </w:p>
          <w:p w14:paraId="0111B238" w14:textId="77777777" w:rsidR="00873667" w:rsidRDefault="00873667">
            <w:pPr>
              <w:spacing w:after="0" w:line="240" w:lineRule="auto"/>
              <w:ind w:left="352"/>
              <w:jc w:val="both"/>
              <w:rPr>
                <w:sz w:val="20"/>
                <w:szCs w:val="20"/>
                <w:rFonts w:asciiTheme="minorHAnsi" w:hAnsiTheme="minorHAnsi"/>
              </w:rPr>
            </w:pPr>
            <w:r>
              <w:rPr>
                <w:sz w:val="20"/>
                <w:rFonts w:asciiTheme="minorHAnsi" w:hAnsiTheme="minorHAnsi"/>
              </w:rPr>
              <w:t xml:space="preserve">„§ 1b.</w:t>
            </w:r>
            <w:r>
              <w:rPr>
                <w:sz w:val="20"/>
                <w:rFonts w:asciiTheme="minorHAnsi" w:hAnsiTheme="minorHAnsi"/>
              </w:rPr>
              <w:t xml:space="preserve"> </w:t>
            </w:r>
            <w:r>
              <w:rPr>
                <w:sz w:val="20"/>
                <w:rFonts w:asciiTheme="minorHAnsi" w:hAnsiTheme="minorHAnsi"/>
              </w:rPr>
              <w:t xml:space="preserve">W przypadku złożonych pól elektromagnetycznych do pól elektromagnetycznych w miejscach dostępnych publicznie w pomieszczeniach zamkniętych i na zewnątrz mają zastosowanie następujące ograniczenia:</w:t>
            </w:r>
          </w:p>
          <w:p w14:paraId="1EEECA5D" w14:textId="77777777" w:rsidR="00873667" w:rsidRDefault="00873667">
            <w:pPr>
              <w:spacing w:after="0" w:line="240" w:lineRule="auto"/>
              <w:ind w:left="352"/>
              <w:jc w:val="both"/>
              <w:rPr>
                <w:sz w:val="20"/>
                <w:szCs w:val="20"/>
                <w:rFonts w:asciiTheme="minorHAnsi" w:hAnsiTheme="minorHAnsi"/>
              </w:rPr>
            </w:pPr>
            <m:oMathPara>
              <m:oMath>
                <m:r>
                  <w:rPr>
                    <w:rFonts w:ascii="Cambria Math" w:hAnsi="Cambria Math"/>
                    <w:sz w:val="20"/>
                    <w:szCs w:val="20"/>
                    <w:lang w:val="fr-BE"/>
                  </w:rPr>
                  <m:t> </m:t>
                </m:r>
                <m:nary>
                  <m:naryPr>
                    <m:chr m:val="∑"/>
                    <m:ctrlPr>
                      <w:rPr>
                        <w:rFonts w:ascii="Cambria Math" w:hAnsi="Cambria Math"/>
                        <w:i/>
                        <w:iCs/>
                        <w:lang w:val="nl-NL"/>
                      </w:rPr>
                    </m:ctrlPr>
                  </m:naryPr>
                  <m:sub>
                    <m:r>
                      <w:rPr>
                        <w:rFonts w:ascii="Cambria Math" w:hAnsi="Cambria Math"/>
                        <w:sz w:val="20"/>
                        <w:szCs w:val="20"/>
                        <w:lang w:val="nl-NL"/>
                      </w:rPr>
                      <m:t>100 KHz</m:t>
                    </m:r>
                  </m:sub>
                  <m:sup>
                    <m:r>
                      <w:rPr>
                        <w:rFonts w:ascii="Cambria Math" w:hAnsi="Cambria Math"/>
                        <w:sz w:val="20"/>
                        <w:szCs w:val="20"/>
                        <w:lang w:val="nl-NL"/>
                      </w:rPr>
                      <m:t>300 GHz</m:t>
                    </m:r>
                  </m:sup>
                  <m:e>
                    <m:d>
                      <m:dPr>
                        <m:ctrlPr>
                          <w:rPr>
                            <w:rFonts w:ascii="Cambria Math" w:hAnsi="Cambria Math"/>
                            <w:i/>
                            <w:iCs/>
                            <w:lang w:val="nl-NL"/>
                          </w:rPr>
                        </m:ctrlPr>
                      </m:dPr>
                      <m:e>
                        <m:f>
                          <m:fPr>
                            <m:ctrlPr>
                              <w:rPr>
                                <w:rFonts w:ascii="Cambria Math" w:hAnsi="Cambria Math"/>
                                <w:i/>
                                <w:iCs/>
                                <w:lang w:val="nl-NL"/>
                              </w:rPr>
                            </m:ctrlPr>
                          </m:fPr>
                          <m:num>
                            <m:sSub>
                              <m:sSubPr>
                                <m:ctrlPr>
                                  <w:rPr>
                                    <w:rFonts w:ascii="Cambria Math" w:hAnsi="Cambria Math"/>
                                    <w:i/>
                                    <w:iCs/>
                                    <w:lang w:val="nl-NL"/>
                                  </w:rPr>
                                </m:ctrlPr>
                              </m:sSubPr>
                              <m:e>
                                <m:r>
                                  <w:rPr>
                                    <w:rFonts w:ascii="Cambria Math" w:hAnsi="Cambria Math"/>
                                    <w:sz w:val="20"/>
                                    <w:szCs w:val="20"/>
                                    <w:lang w:val="nl-NL"/>
                                  </w:rPr>
                                  <m:t>S</m:t>
                                </m:r>
                              </m:e>
                              <m:sub>
                                <m:r>
                                  <w:rPr>
                                    <w:rFonts w:ascii="Cambria Math" w:hAnsi="Cambria Math"/>
                                    <w:sz w:val="20"/>
                                    <w:szCs w:val="20"/>
                                    <w:lang w:val="nl-NL"/>
                                  </w:rPr>
                                  <m:t>i</m:t>
                                </m:r>
                              </m:sub>
                            </m:sSub>
                          </m:num>
                          <m:den>
                            <m:sSub>
                              <m:sSubPr>
                                <m:ctrlPr>
                                  <w:rPr>
                                    <w:rFonts w:ascii="Cambria Math" w:hAnsi="Cambria Math"/>
                                    <w:i/>
                                    <w:iCs/>
                                    <w:lang w:val="nl-NL"/>
                                  </w:rPr>
                                </m:ctrlPr>
                              </m:sSubPr>
                              <m:e>
                                <m:r>
                                  <w:rPr>
                                    <w:rFonts w:ascii="Cambria Math" w:hAnsi="Cambria Math"/>
                                    <w:sz w:val="20"/>
                                    <w:szCs w:val="20"/>
                                    <w:lang w:val="nl-NL"/>
                                  </w:rPr>
                                  <m:t>S</m:t>
                                </m:r>
                              </m:e>
                              <m:sub>
                                <m:r>
                                  <w:rPr>
                                    <w:rFonts w:ascii="Cambria Math" w:hAnsi="Cambria Math"/>
                                    <w:sz w:val="20"/>
                                    <w:szCs w:val="20"/>
                                    <w:lang w:val="nl-NL"/>
                                  </w:rPr>
                                  <m:t> r i</m:t>
                                </m:r>
                              </m:sub>
                            </m:sSub>
                          </m:den>
                        </m:f>
                      </m:e>
                    </m:d>
                  </m:e>
                </m:nary>
                <m:r>
                  <w:rPr>
                    <w:rFonts w:ascii="Cambria Math" w:hAnsi="Cambria Math"/>
                    <w:sz w:val="20"/>
                    <w:szCs w:val="20"/>
                    <w:lang w:val="nl-NL"/>
                  </w:rPr>
                  <m:t>≤1</m:t>
                </m:r>
              </m:oMath>
            </m:oMathPara>
          </w:p>
          <w:p w14:paraId="49D61838" w14:textId="77777777" w:rsidR="00873667" w:rsidRDefault="00873667">
            <w:pPr>
              <w:spacing w:after="0" w:line="240" w:lineRule="auto"/>
              <w:ind w:left="352"/>
              <w:jc w:val="both"/>
              <w:rPr>
                <w:sz w:val="20"/>
                <w:szCs w:val="20"/>
                <w:rFonts w:asciiTheme="minorHAnsi" w:hAnsiTheme="minorHAnsi"/>
              </w:rPr>
            </w:pPr>
            <w:r>
              <w:rPr>
                <w:sz w:val="20"/>
                <w:rFonts w:asciiTheme="minorHAnsi" w:hAnsiTheme="minorHAnsi"/>
              </w:rPr>
              <w:t xml:space="preserve">gdzie:</w:t>
            </w:r>
          </w:p>
          <w:p w14:paraId="356BF7CB" w14:textId="77777777" w:rsidR="00873667" w:rsidRDefault="00C4092C" w:rsidP="00242999">
            <w:pPr>
              <w:pStyle w:val="ListParagraph"/>
              <w:numPr>
                <w:ilvl w:val="0"/>
                <w:numId w:val="3"/>
              </w:numPr>
              <w:spacing w:after="0" w:line="240" w:lineRule="auto"/>
              <w:jc w:val="both"/>
              <w:rPr>
                <w:sz w:val="20"/>
                <w:szCs w:val="20"/>
                <w:rFonts w:asciiTheme="minorHAnsi" w:hAnsiTheme="minorHAnsi"/>
              </w:rPr>
            </w:pPr>
            <m:oMath>
              <m:sSub>
                <m:sSubPr>
                  <m:ctrlPr>
                    <w:rPr>
                      <w:rFonts w:ascii="Cambria Math" w:hAnsi="Cambria Math"/>
                      <w:i/>
                      <w:lang w:val="nl-NL"/>
                    </w:rPr>
                  </m:ctrlPr>
                </m:sSubPr>
                <m:e>
                  <m:r>
                    <w:rPr>
                      <w:rFonts w:ascii="Cambria Math" w:hAnsi="Cambria Math"/>
                      <w:sz w:val="20"/>
                      <w:szCs w:val="20"/>
                      <w:lang w:val="nl-NL"/>
                    </w:rPr>
                    <m:t>S</m:t>
                  </m:r>
                </m:e>
                <m:sub>
                  <m:r>
                    <w:rPr>
                      <w:rFonts w:ascii="Cambria Math" w:hAnsi="Cambria Math"/>
                      <w:sz w:val="20"/>
                      <w:szCs w:val="20"/>
                      <w:lang w:val="nl-NL"/>
                    </w:rPr>
                    <m:t>i</m:t>
                  </m:r>
                </m:sub>
              </m:sSub>
            </m:oMath>
            <w:r>
              <w:rPr>
                <w:sz w:val="20"/>
                <w:rFonts w:asciiTheme="minorHAnsi" w:hAnsiTheme="minorHAnsi"/>
              </w:rPr>
              <w:t xml:space="preserve"> to gęstość mocy przy częstotliwości i;</w:t>
            </w:r>
          </w:p>
          <w:p w14:paraId="0A0E0802" w14:textId="77777777" w:rsidR="00873667" w:rsidRDefault="00C4092C" w:rsidP="00242999">
            <w:pPr>
              <w:pStyle w:val="ListParagraph"/>
              <w:numPr>
                <w:ilvl w:val="0"/>
                <w:numId w:val="3"/>
              </w:numPr>
              <w:spacing w:after="0" w:line="240" w:lineRule="auto"/>
              <w:jc w:val="both"/>
              <w:rPr>
                <w:sz w:val="20"/>
                <w:szCs w:val="20"/>
                <w:rFonts w:asciiTheme="minorHAnsi" w:hAnsiTheme="minorHAnsi"/>
              </w:rPr>
            </w:pPr>
            <m:oMath>
              <m:sSub>
                <m:sSubPr>
                  <m:ctrlPr>
                    <w:rPr>
                      <w:rFonts w:ascii="Cambria Math" w:hAnsi="Cambria Math"/>
                      <w:i/>
                      <w:lang w:val="nl-NL"/>
                    </w:rPr>
                  </m:ctrlPr>
                </m:sSubPr>
                <m:e>
                  <m:r>
                    <w:rPr>
                      <w:rFonts w:ascii="Cambria Math" w:hAnsi="Cambria Math"/>
                      <w:sz w:val="20"/>
                      <w:szCs w:val="20"/>
                      <w:lang w:val="nl-NL"/>
                    </w:rPr>
                    <m:t>S</m:t>
                  </m:r>
                </m:e>
                <m:sub>
                  <m:r>
                    <w:rPr>
                      <w:rFonts w:ascii="Cambria Math" w:hAnsi="Cambria Math"/>
                      <w:sz w:val="20"/>
                      <w:szCs w:val="20"/>
                      <w:lang w:val="nl-NL"/>
                    </w:rPr>
                    <m:t>ri</m:t>
                  </m:r>
                </m:sub>
              </m:sSub>
            </m:oMath>
            <w:r>
              <w:rPr>
                <w:sz w:val="20"/>
                <w:rFonts w:asciiTheme="minorHAnsi" w:hAnsiTheme="minorHAnsi"/>
              </w:rPr>
              <w:t xml:space="preserve"> to granica gęstości mocy przy częstotliwości i zdefiniowana w tabeli, o której mowa w ust. 1a niniejszego artykułu.</w:t>
            </w:r>
            <w:r>
              <w:rPr>
                <w:sz w:val="20"/>
                <w:rFonts w:asciiTheme="minorHAnsi" w:hAnsiTheme="minorHAnsi"/>
              </w:rPr>
              <w:t xml:space="preserve"> </w:t>
            </w:r>
          </w:p>
          <w:p w14:paraId="5755DF5C" w14:textId="77777777" w:rsidR="00873667" w:rsidRDefault="00873667">
            <w:pPr>
              <w:spacing w:after="0" w:line="240" w:lineRule="auto"/>
              <w:ind w:left="352"/>
              <w:jc w:val="both"/>
              <w:rPr>
                <w:sz w:val="20"/>
                <w:szCs w:val="20"/>
                <w:rFonts w:asciiTheme="minorHAnsi" w:hAnsiTheme="minorHAnsi"/>
              </w:rPr>
            </w:pPr>
            <w:r>
              <w:rPr>
                <w:sz w:val="20"/>
                <w:rFonts w:asciiTheme="minorHAnsi" w:hAnsiTheme="minorHAnsi"/>
              </w:rPr>
              <w:t xml:space="preserve">Gęstość mocy promieniowania oblicza się lub mierzy zgodnie z procedurami ustanowionymi przez rząd, w szczególności na podstawie opinii i zaleceń właściwych władz międzynarodowych.”;</w:t>
            </w:r>
          </w:p>
          <w:p w14:paraId="1466B3D3" w14:textId="77777777" w:rsidR="00873667" w:rsidRDefault="00873667">
            <w:pPr>
              <w:pStyle w:val="ListParagraph"/>
              <w:widowControl/>
              <w:suppressAutoHyphens w:val="0"/>
              <w:spacing w:after="0" w:line="240" w:lineRule="auto"/>
              <w:ind w:left="360"/>
              <w:jc w:val="both"/>
              <w:rPr>
                <w:rFonts w:asciiTheme="minorHAnsi" w:hAnsiTheme="minorHAnsi"/>
                <w:sz w:val="20"/>
                <w:szCs w:val="20"/>
              </w:rPr>
            </w:pPr>
          </w:p>
          <w:p w14:paraId="430D729B" w14:textId="77777777" w:rsidR="00873667" w:rsidRDefault="00873667">
            <w:pPr>
              <w:pStyle w:val="ListParagraph"/>
              <w:widowControl/>
              <w:suppressAutoHyphens w:val="0"/>
              <w:spacing w:after="0" w:line="240" w:lineRule="auto"/>
              <w:ind w:left="360"/>
              <w:jc w:val="both"/>
              <w:rPr>
                <w:rFonts w:asciiTheme="minorHAnsi" w:hAnsiTheme="minorHAnsi"/>
                <w:sz w:val="20"/>
                <w:szCs w:val="20"/>
              </w:rPr>
            </w:pPr>
          </w:p>
          <w:p w14:paraId="75F26CB0" w14:textId="77777777" w:rsidR="00873667" w:rsidRDefault="00873667">
            <w:pPr>
              <w:pStyle w:val="ListParagraph"/>
              <w:widowControl/>
              <w:suppressAutoHyphens w:val="0"/>
              <w:spacing w:after="0" w:line="240" w:lineRule="auto"/>
              <w:ind w:left="360"/>
              <w:jc w:val="both"/>
              <w:rPr>
                <w:rFonts w:asciiTheme="minorHAnsi" w:hAnsiTheme="minorHAnsi"/>
                <w:sz w:val="20"/>
                <w:szCs w:val="20"/>
              </w:rPr>
            </w:pPr>
          </w:p>
          <w:p w14:paraId="7040879B" w14:textId="77777777" w:rsidR="00873667" w:rsidRDefault="00873667" w:rsidP="00242999">
            <w:pPr>
              <w:pStyle w:val="ListParagraph"/>
              <w:widowControl/>
              <w:numPr>
                <w:ilvl w:val="0"/>
                <w:numId w:val="2"/>
              </w:numPr>
              <w:suppressAutoHyphens w:val="0"/>
              <w:spacing w:after="0" w:line="240" w:lineRule="auto"/>
              <w:jc w:val="both"/>
              <w:rPr>
                <w:sz w:val="20"/>
                <w:szCs w:val="20"/>
                <w:rFonts w:asciiTheme="minorHAnsi" w:hAnsiTheme="minorHAnsi"/>
              </w:rPr>
            </w:pPr>
            <w:r>
              <w:rPr>
                <w:sz w:val="20"/>
                <w:rFonts w:asciiTheme="minorHAnsi" w:hAnsiTheme="minorHAnsi"/>
              </w:rPr>
              <w:t xml:space="preserve">dodaje się ust. 1c w brzmieniu:</w:t>
            </w:r>
            <w:r>
              <w:rPr>
                <w:sz w:val="20"/>
                <w:rFonts w:asciiTheme="minorHAnsi" w:hAnsiTheme="minorHAnsi"/>
              </w:rPr>
              <w:t xml:space="preserve"> </w:t>
            </w:r>
          </w:p>
          <w:p w14:paraId="769F4642" w14:textId="77777777" w:rsidR="00873667" w:rsidRDefault="00873667">
            <w:pPr>
              <w:pStyle w:val="ListParagraph"/>
              <w:widowControl/>
              <w:suppressAutoHyphens w:val="0"/>
              <w:spacing w:after="0" w:line="240" w:lineRule="auto"/>
              <w:ind w:left="360"/>
              <w:jc w:val="both"/>
              <w:rPr>
                <w:sz w:val="20"/>
                <w:szCs w:val="20"/>
                <w:rFonts w:asciiTheme="minorHAnsi" w:hAnsiTheme="minorHAnsi"/>
              </w:rPr>
            </w:pPr>
            <w:r>
              <w:rPr>
                <w:sz w:val="20"/>
                <w:rFonts w:asciiTheme="minorHAnsi" w:hAnsiTheme="minorHAnsi"/>
              </w:rPr>
              <w:t xml:space="preserve">„§ 1c.</w:t>
            </w:r>
            <w:r>
              <w:rPr>
                <w:sz w:val="20"/>
                <w:rFonts w:asciiTheme="minorHAnsi" w:hAnsiTheme="minorHAnsi"/>
              </w:rPr>
              <w:t xml:space="preserve">  </w:t>
            </w:r>
            <w:r>
              <w:rPr>
                <w:sz w:val="20"/>
                <w:rFonts w:asciiTheme="minorHAnsi" w:hAnsiTheme="minorHAnsi"/>
              </w:rPr>
              <w:t xml:space="preserve">Anteny wytwarzające promieniowanie niejonizujące w zakresie częstotliwości od 20 GHz do 300 GHz są zakazane.</w:t>
            </w:r>
            <w:r>
              <w:rPr>
                <w:sz w:val="20"/>
                <w:rFonts w:asciiTheme="minorHAnsi" w:hAnsiTheme="minorHAnsi"/>
              </w:rPr>
              <w:t xml:space="preserve"> </w:t>
            </w:r>
            <w:r>
              <w:rPr>
                <w:sz w:val="20"/>
                <w:rFonts w:asciiTheme="minorHAnsi" w:hAnsiTheme="minorHAnsi"/>
              </w:rPr>
              <w:t xml:space="preserve">Rząd jest uprawniony do zatwierdzania tych anten zgodnie z zezwoleniami wydanymi przez inne szczeble władzy.</w:t>
            </w:r>
          </w:p>
          <w:p w14:paraId="5757430B" w14:textId="77777777" w:rsidR="00873667" w:rsidRDefault="00873667">
            <w:pPr>
              <w:pStyle w:val="ListParagraph"/>
              <w:widowControl/>
              <w:suppressAutoHyphens w:val="0"/>
              <w:spacing w:after="0" w:line="240" w:lineRule="auto"/>
              <w:ind w:left="360"/>
              <w:jc w:val="both"/>
              <w:rPr>
                <w:sz w:val="20"/>
                <w:szCs w:val="20"/>
                <w:rFonts w:asciiTheme="minorHAnsi" w:hAnsiTheme="minorHAnsi"/>
              </w:rPr>
            </w:pPr>
            <w:r>
              <w:rPr>
                <w:sz w:val="20"/>
                <w:rFonts w:asciiTheme="minorHAnsi" w:hAnsiTheme="minorHAnsi"/>
              </w:rPr>
              <w:t xml:space="preserve">Anteny typu łącza mikrofalowego nie są objęte zakazem, o którym mowa w poprzednim akapicie.”;</w:t>
            </w:r>
          </w:p>
          <w:p w14:paraId="49B3DA95" w14:textId="77777777" w:rsidR="00873667" w:rsidRDefault="00873667">
            <w:pPr>
              <w:pStyle w:val="ListParagraph"/>
              <w:widowControl/>
              <w:suppressAutoHyphens w:val="0"/>
              <w:spacing w:after="0" w:line="240" w:lineRule="auto"/>
              <w:ind w:left="360"/>
              <w:jc w:val="both"/>
              <w:rPr>
                <w:rFonts w:asciiTheme="minorHAnsi" w:hAnsiTheme="minorHAnsi"/>
                <w:sz w:val="20"/>
                <w:szCs w:val="20"/>
              </w:rPr>
            </w:pPr>
          </w:p>
          <w:p w14:paraId="13D55AF3" w14:textId="77777777" w:rsidR="00873667" w:rsidRDefault="00873667" w:rsidP="00242999">
            <w:pPr>
              <w:pStyle w:val="ListParagraph"/>
              <w:widowControl/>
              <w:numPr>
                <w:ilvl w:val="0"/>
                <w:numId w:val="2"/>
              </w:numPr>
              <w:suppressAutoHyphens w:val="0"/>
              <w:spacing w:after="0" w:line="240" w:lineRule="auto"/>
              <w:jc w:val="both"/>
              <w:rPr>
                <w:sz w:val="20"/>
                <w:szCs w:val="20"/>
                <w:rFonts w:asciiTheme="minorHAnsi" w:hAnsiTheme="minorHAnsi"/>
              </w:rPr>
            </w:pPr>
            <w:r>
              <w:rPr>
                <w:sz w:val="20"/>
                <w:rFonts w:asciiTheme="minorHAnsi" w:hAnsiTheme="minorHAnsi"/>
              </w:rPr>
              <w:t xml:space="preserve">w ust. 2 akapit pierwszy wyraz „dziewięć” zastępuje się wyrazami „między siedem a trzynaście”;</w:t>
            </w:r>
          </w:p>
          <w:p w14:paraId="7B0EE76D" w14:textId="77777777" w:rsidR="00873667" w:rsidRDefault="00873667">
            <w:pPr>
              <w:pStyle w:val="ListParagraph"/>
              <w:widowControl/>
              <w:suppressAutoHyphens w:val="0"/>
              <w:spacing w:after="0" w:line="240" w:lineRule="auto"/>
              <w:ind w:left="360"/>
              <w:jc w:val="both"/>
              <w:rPr>
                <w:rFonts w:asciiTheme="minorHAnsi" w:hAnsiTheme="minorHAnsi"/>
                <w:sz w:val="20"/>
                <w:szCs w:val="20"/>
              </w:rPr>
            </w:pPr>
          </w:p>
          <w:p w14:paraId="05D147EC" w14:textId="77777777" w:rsidR="00873667" w:rsidRDefault="00873667" w:rsidP="00242999">
            <w:pPr>
              <w:pStyle w:val="ListParagraph"/>
              <w:widowControl/>
              <w:numPr>
                <w:ilvl w:val="0"/>
                <w:numId w:val="2"/>
              </w:numPr>
              <w:suppressAutoHyphens w:val="0"/>
              <w:spacing w:after="0" w:line="240" w:lineRule="auto"/>
              <w:jc w:val="both"/>
              <w:rPr>
                <w:sz w:val="20"/>
                <w:szCs w:val="20"/>
                <w:rFonts w:asciiTheme="minorHAnsi" w:hAnsiTheme="minorHAnsi"/>
              </w:rPr>
            </w:pPr>
            <w:r>
              <w:rPr>
                <w:sz w:val="20"/>
                <w:rFonts w:asciiTheme="minorHAnsi" w:hAnsiTheme="minorHAnsi"/>
              </w:rPr>
              <w:t xml:space="preserve">w ust. 2 akapit trzeci wyrazy „wymagania ekonomiczne i dotyczące zdrowia publicznego” zastępuje się wyrazami „wymagania ekonomiczne i dotyczące zdrowia publicznego oraz środowiska”;</w:t>
            </w:r>
            <w:r>
              <w:rPr>
                <w:sz w:val="20"/>
                <w:rFonts w:asciiTheme="minorHAnsi" w:hAnsiTheme="minorHAnsi"/>
              </w:rPr>
              <w:t xml:space="preserve"> </w:t>
            </w:r>
          </w:p>
          <w:p w14:paraId="48C0DE02" w14:textId="77777777" w:rsidR="00873667" w:rsidRDefault="00873667">
            <w:pPr>
              <w:pStyle w:val="ListParagraph"/>
              <w:widowControl/>
              <w:suppressAutoHyphens w:val="0"/>
              <w:spacing w:after="0" w:line="240" w:lineRule="auto"/>
              <w:ind w:left="360"/>
              <w:jc w:val="both"/>
              <w:rPr>
                <w:rFonts w:asciiTheme="minorHAnsi" w:hAnsiTheme="minorHAnsi"/>
                <w:sz w:val="20"/>
                <w:szCs w:val="20"/>
              </w:rPr>
            </w:pPr>
          </w:p>
          <w:p w14:paraId="2A11D230" w14:textId="77777777" w:rsidR="00873667" w:rsidRDefault="00873667" w:rsidP="00242999">
            <w:pPr>
              <w:pStyle w:val="ListParagraph"/>
              <w:widowControl/>
              <w:numPr>
                <w:ilvl w:val="0"/>
                <w:numId w:val="2"/>
              </w:numPr>
              <w:suppressAutoHyphens w:val="0"/>
              <w:spacing w:after="0" w:line="240" w:lineRule="auto"/>
              <w:jc w:val="both"/>
              <w:rPr>
                <w:sz w:val="20"/>
                <w:szCs w:val="20"/>
                <w:rFonts w:asciiTheme="minorHAnsi" w:hAnsiTheme="minorHAnsi"/>
              </w:rPr>
            </w:pPr>
            <w:r>
              <w:rPr>
                <w:sz w:val="20"/>
                <w:rFonts w:asciiTheme="minorHAnsi" w:hAnsiTheme="minorHAnsi"/>
              </w:rPr>
              <w:t xml:space="preserve">w ust. 2 akapit trzeci zdanie „Sprawozdanie jest publikowane na stronie internetowej Brukselskiego Instytutu Zarządzania Środowiskowego w terminie trzech miesięcy od jego otrzymania przez rząd.” zastępuje się zdaniem „Rząd przedkłada sprawozdanie co rok parlamentowi, a Bruxelles Environnement publikuje je na swojej stronie internetowej w terminie trzech miesięcy od jego akceptacji przez rząd.”;</w:t>
            </w:r>
          </w:p>
          <w:p w14:paraId="08B93EA7" w14:textId="77777777" w:rsidR="00873667" w:rsidRDefault="00873667">
            <w:pPr>
              <w:pStyle w:val="ListParagraph"/>
              <w:widowControl/>
              <w:suppressAutoHyphens w:val="0"/>
              <w:spacing w:after="0" w:line="240" w:lineRule="auto"/>
              <w:ind w:left="360"/>
              <w:jc w:val="both"/>
              <w:rPr>
                <w:rFonts w:asciiTheme="minorHAnsi" w:hAnsiTheme="minorHAnsi"/>
                <w:sz w:val="20"/>
                <w:szCs w:val="20"/>
              </w:rPr>
            </w:pPr>
          </w:p>
          <w:p w14:paraId="45A53D85" w14:textId="77777777" w:rsidR="00873667" w:rsidRDefault="00873667" w:rsidP="00242999">
            <w:pPr>
              <w:pStyle w:val="ListParagraph"/>
              <w:widowControl/>
              <w:numPr>
                <w:ilvl w:val="0"/>
                <w:numId w:val="2"/>
              </w:numPr>
              <w:suppressAutoHyphens w:val="0"/>
              <w:spacing w:after="0" w:line="240" w:lineRule="auto"/>
              <w:jc w:val="both"/>
              <w:rPr>
                <w:sz w:val="20"/>
                <w:szCs w:val="20"/>
                <w:rFonts w:asciiTheme="minorHAnsi" w:hAnsiTheme="minorHAnsi"/>
              </w:rPr>
            </w:pPr>
            <w:r>
              <w:rPr>
                <w:sz w:val="20"/>
                <w:rFonts w:asciiTheme="minorHAnsi" w:hAnsiTheme="minorHAnsi"/>
              </w:rPr>
              <w:t xml:space="preserve">w ust. 2 akapit trzeci uchyla się zdanie „Pierwsze sprawozdanie przedkłada się rządowi nie później niż dnia 1 września 2014 r.”;</w:t>
            </w:r>
          </w:p>
          <w:p w14:paraId="6F3601A3" w14:textId="77777777" w:rsidR="00873667" w:rsidRDefault="00873667">
            <w:pPr>
              <w:pStyle w:val="ListParagraph"/>
              <w:rPr>
                <w:rFonts w:asciiTheme="minorHAnsi" w:hAnsiTheme="minorHAnsi"/>
                <w:sz w:val="20"/>
                <w:szCs w:val="20"/>
              </w:rPr>
            </w:pPr>
          </w:p>
          <w:p w14:paraId="05E9C0C1" w14:textId="77777777" w:rsidR="00873667" w:rsidRDefault="00873667" w:rsidP="00242999">
            <w:pPr>
              <w:pStyle w:val="ListParagraph"/>
              <w:widowControl/>
              <w:numPr>
                <w:ilvl w:val="0"/>
                <w:numId w:val="2"/>
              </w:numPr>
              <w:suppressAutoHyphens w:val="0"/>
              <w:spacing w:after="0" w:line="240" w:lineRule="auto"/>
              <w:jc w:val="both"/>
              <w:rPr>
                <w:sz w:val="20"/>
                <w:szCs w:val="20"/>
                <w:rFonts w:asciiTheme="minorHAnsi" w:hAnsiTheme="minorHAnsi"/>
              </w:rPr>
            </w:pPr>
            <w:r>
              <w:rPr>
                <w:sz w:val="20"/>
                <w:rFonts w:asciiTheme="minorHAnsi" w:hAnsiTheme="minorHAnsi"/>
              </w:rPr>
              <w:t xml:space="preserve">w ust. 2 akapit czwarty wyrazy „operatorzy instalacji zdolnych do wytwarzania lub nadawania promieniowania niejonizującego” i „Bruxelles Environnement” zastępuje się słowami „operatorzy i nadawcy” i „Bruxelles Environnement oraz dział planowania miejskiego i dziedzictwa kulturowego Brukseli”;</w:t>
            </w:r>
          </w:p>
          <w:p w14:paraId="73946D5F" w14:textId="77777777" w:rsidR="00873667" w:rsidRDefault="00873667">
            <w:pPr>
              <w:pStyle w:val="ListParagraph"/>
              <w:rPr>
                <w:rFonts w:asciiTheme="minorHAnsi" w:hAnsiTheme="minorHAnsi"/>
                <w:sz w:val="20"/>
                <w:szCs w:val="20"/>
              </w:rPr>
            </w:pPr>
          </w:p>
          <w:p w14:paraId="2034DDBC" w14:textId="77777777" w:rsidR="00873667" w:rsidRDefault="00873667" w:rsidP="00C4092C">
            <w:pPr>
              <w:pStyle w:val="ListParagraph"/>
              <w:keepNext/>
              <w:widowControl/>
              <w:numPr>
                <w:ilvl w:val="0"/>
                <w:numId w:val="2"/>
              </w:numPr>
              <w:suppressAutoHyphens w:val="0"/>
              <w:spacing w:after="0" w:line="240" w:lineRule="auto"/>
              <w:ind w:left="357" w:hanging="357"/>
              <w:jc w:val="both"/>
              <w:rPr>
                <w:sz w:val="20"/>
                <w:szCs w:val="20"/>
                <w:rFonts w:asciiTheme="minorHAnsi" w:hAnsiTheme="minorHAnsi"/>
              </w:rPr>
            </w:pPr>
            <w:r>
              <w:rPr>
                <w:sz w:val="20"/>
                <w:rFonts w:asciiTheme="minorHAnsi" w:hAnsiTheme="minorHAnsi"/>
              </w:rPr>
              <w:t xml:space="preserve">ustęp 2 zostaje uzupełniony nowym akapitem w brzmieniu:</w:t>
            </w:r>
          </w:p>
          <w:p w14:paraId="272B3177" w14:textId="77777777" w:rsidR="00873667" w:rsidRDefault="00873667">
            <w:pPr>
              <w:pStyle w:val="ListParagraph"/>
              <w:widowControl/>
              <w:suppressAutoHyphens w:val="0"/>
              <w:spacing w:after="0" w:line="240" w:lineRule="auto"/>
              <w:ind w:left="360"/>
              <w:jc w:val="both"/>
              <w:rPr>
                <w:sz w:val="20"/>
                <w:szCs w:val="20"/>
                <w:rFonts w:asciiTheme="minorHAnsi" w:hAnsiTheme="minorHAnsi"/>
              </w:rPr>
            </w:pPr>
            <w:r>
              <w:rPr>
                <w:sz w:val="20"/>
                <w:rFonts w:asciiTheme="minorHAnsi" w:hAnsiTheme="minorHAnsi"/>
              </w:rPr>
              <w:t xml:space="preserve">„</w:t>
            </w:r>
            <w:r>
              <w:rPr>
                <w:sz w:val="20"/>
                <w:rFonts w:asciiTheme="minorHAnsi" w:hAnsiTheme="minorHAnsi"/>
              </w:rPr>
              <w:t xml:space="preserve"> </w:t>
            </w:r>
            <w:r>
              <w:rPr>
                <w:sz w:val="20"/>
                <w:rFonts w:asciiTheme="minorHAnsi" w:hAnsiTheme="minorHAnsi"/>
              </w:rPr>
              <w:t xml:space="preserve">Komitet wydaje opinię na temat wszystkich projektów poprawek do niniejszego rozporządzenia oraz w sprawie przyjęcia lub zmiany środków wykonawczych do tego rozporządzenia.</w:t>
            </w:r>
            <w:r>
              <w:rPr>
                <w:sz w:val="20"/>
                <w:rFonts w:asciiTheme="minorHAnsi" w:hAnsiTheme="minorHAnsi"/>
              </w:rPr>
              <w:t xml:space="preserve"> </w:t>
            </w:r>
          </w:p>
          <w:p w14:paraId="3F15769A" w14:textId="77777777" w:rsidR="00873667" w:rsidRDefault="00873667">
            <w:pPr>
              <w:pStyle w:val="ListParagraph"/>
              <w:widowControl/>
              <w:suppressAutoHyphens w:val="0"/>
              <w:spacing w:after="0" w:line="240" w:lineRule="auto"/>
              <w:ind w:left="360"/>
              <w:jc w:val="both"/>
              <w:rPr>
                <w:sz w:val="20"/>
                <w:szCs w:val="20"/>
                <w:rFonts w:asciiTheme="minorHAnsi" w:hAnsiTheme="minorHAnsi"/>
              </w:rPr>
            </w:pPr>
            <w:r>
              <w:rPr>
                <w:sz w:val="20"/>
                <w:rFonts w:asciiTheme="minorHAnsi" w:hAnsiTheme="minorHAnsi"/>
              </w:rPr>
              <w:t xml:space="preserve">Komitet może współpracować z ekspertami naukowymi lub grupami ekspertów utworzonymi na szczeblu międzynarodowym, federalnym, regionalnym lub lokalnym.”;</w:t>
            </w:r>
          </w:p>
          <w:p w14:paraId="3573B9A7" w14:textId="77777777" w:rsidR="00873667" w:rsidRDefault="00873667">
            <w:pPr>
              <w:widowControl/>
              <w:suppressAutoHyphens w:val="0"/>
              <w:spacing w:after="0" w:line="240" w:lineRule="auto"/>
              <w:jc w:val="both"/>
              <w:rPr>
                <w:rFonts w:asciiTheme="minorHAnsi" w:hAnsiTheme="minorHAnsi"/>
                <w:sz w:val="20"/>
                <w:szCs w:val="20"/>
                <w:lang w:val="fr-BE"/>
              </w:rPr>
            </w:pPr>
          </w:p>
          <w:p w14:paraId="33A60EFD" w14:textId="77777777" w:rsidR="00873667" w:rsidRDefault="00873667" w:rsidP="00242999">
            <w:pPr>
              <w:pStyle w:val="ListParagraph"/>
              <w:widowControl/>
              <w:numPr>
                <w:ilvl w:val="0"/>
                <w:numId w:val="2"/>
              </w:numPr>
              <w:suppressAutoHyphens w:val="0"/>
              <w:spacing w:after="0" w:line="240" w:lineRule="auto"/>
              <w:jc w:val="both"/>
              <w:rPr>
                <w:sz w:val="20"/>
                <w:szCs w:val="20"/>
                <w:rFonts w:asciiTheme="minorHAnsi" w:hAnsiTheme="minorHAnsi"/>
              </w:rPr>
            </w:pPr>
            <w:r>
              <w:rPr>
                <w:sz w:val="20"/>
                <w:rFonts w:asciiTheme="minorHAnsi" w:hAnsiTheme="minorHAnsi"/>
              </w:rPr>
              <w:t xml:space="preserve">dodaje się ust. 3 w brzmieniu:</w:t>
            </w:r>
            <w:r>
              <w:rPr>
                <w:sz w:val="20"/>
                <w:rFonts w:asciiTheme="minorHAnsi" w:hAnsiTheme="minorHAnsi"/>
              </w:rPr>
              <w:t xml:space="preserve"> </w:t>
            </w:r>
          </w:p>
          <w:p w14:paraId="0499D927" w14:textId="77777777" w:rsidR="00873667" w:rsidRDefault="00873667">
            <w:pPr>
              <w:spacing w:after="0" w:line="240" w:lineRule="auto"/>
              <w:ind w:left="352"/>
              <w:jc w:val="both"/>
              <w:rPr>
                <w:sz w:val="20"/>
                <w:szCs w:val="20"/>
                <w:rFonts w:asciiTheme="minorHAnsi" w:hAnsiTheme="minorHAnsi"/>
              </w:rPr>
            </w:pPr>
            <w:r>
              <w:rPr>
                <w:sz w:val="20"/>
                <w:rFonts w:asciiTheme="minorHAnsi" w:hAnsiTheme="minorHAnsi"/>
              </w:rPr>
              <w:t xml:space="preserve">„§ 3.</w:t>
            </w:r>
            <w:r>
              <w:rPr>
                <w:sz w:val="20"/>
                <w:rFonts w:asciiTheme="minorHAnsi" w:hAnsiTheme="minorHAnsi"/>
              </w:rPr>
              <w:t xml:space="preserve"> </w:t>
            </w:r>
            <w:r>
              <w:rPr>
                <w:sz w:val="20"/>
                <w:rFonts w:asciiTheme="minorHAnsi" w:hAnsiTheme="minorHAnsi"/>
              </w:rPr>
              <w:t xml:space="preserve">Rząd zawiera z operatorami kartę zawierającą zasady postępowania, mającą w szczególności na celu zapewnienie obywatelom jak największej przejrzystości w zakresie rozwoju sieci telefonii komórkowej, ustanowienie jednej lub kilku linii postępowania dla operatorów na poziomie technicznym, środowiskowym i zdrowia publicznego oraz/lub określenie celów dla operatorów w zakresie gospodarowania odpadami związanymi z rozwojem sieci telefonii komórkowej.</w:t>
            </w:r>
          </w:p>
          <w:p w14:paraId="1D2C6D75" w14:textId="77777777" w:rsidR="00873667" w:rsidRDefault="00873667">
            <w:pPr>
              <w:spacing w:after="0" w:line="240" w:lineRule="auto"/>
              <w:ind w:left="352"/>
              <w:jc w:val="both"/>
              <w:rPr>
                <w:sz w:val="20"/>
                <w:szCs w:val="20"/>
                <w:rFonts w:asciiTheme="minorHAnsi" w:hAnsiTheme="minorHAnsi"/>
              </w:rPr>
            </w:pPr>
            <w:r>
              <w:rPr>
                <w:sz w:val="20"/>
                <w:rFonts w:asciiTheme="minorHAnsi" w:hAnsiTheme="minorHAnsi"/>
              </w:rPr>
              <w:t xml:space="preserve">Operatorzy mogą wspólnie zawierać, zmieniać lub odnawiać umowę środowiskową z regionem zgodnie z postanowieniami rozporządzenia z dnia 29 kwietnia 2004 r. w sprawie umów środowiskowych.”;</w:t>
            </w:r>
          </w:p>
          <w:p w14:paraId="4C6FF580" w14:textId="77777777" w:rsidR="00873667" w:rsidRDefault="00873667">
            <w:pPr>
              <w:spacing w:after="0" w:line="240" w:lineRule="auto"/>
              <w:ind w:left="352"/>
              <w:jc w:val="both"/>
              <w:rPr>
                <w:rFonts w:asciiTheme="minorHAnsi" w:hAnsiTheme="minorHAnsi"/>
                <w:sz w:val="20"/>
                <w:szCs w:val="20"/>
                <w:lang w:val="fr-BE"/>
              </w:rPr>
            </w:pPr>
          </w:p>
          <w:p w14:paraId="7E29FAB9" w14:textId="77777777" w:rsidR="00873667" w:rsidRDefault="00873667" w:rsidP="00242999">
            <w:pPr>
              <w:pStyle w:val="ListParagraph"/>
              <w:numPr>
                <w:ilvl w:val="0"/>
                <w:numId w:val="2"/>
              </w:numPr>
              <w:spacing w:after="0" w:line="240" w:lineRule="auto"/>
              <w:jc w:val="both"/>
              <w:rPr>
                <w:sz w:val="20"/>
                <w:szCs w:val="20"/>
                <w:rFonts w:asciiTheme="minorHAnsi" w:hAnsiTheme="minorHAnsi"/>
              </w:rPr>
            </w:pPr>
            <w:r>
              <w:rPr>
                <w:sz w:val="20"/>
                <w:rFonts w:asciiTheme="minorHAnsi" w:hAnsiTheme="minorHAnsi"/>
              </w:rPr>
              <w:t xml:space="preserve">dodaje się ust. 4 w brzmieniu:</w:t>
            </w:r>
          </w:p>
          <w:p w14:paraId="2B84997F" w14:textId="77777777" w:rsidR="00873667" w:rsidRDefault="00873667">
            <w:pPr>
              <w:pStyle w:val="ListParagraph"/>
              <w:spacing w:after="0" w:line="240" w:lineRule="auto"/>
              <w:ind w:left="360"/>
              <w:jc w:val="both"/>
              <w:rPr>
                <w:sz w:val="20"/>
                <w:szCs w:val="20"/>
                <w:rFonts w:asciiTheme="minorHAnsi" w:hAnsiTheme="minorHAnsi"/>
              </w:rPr>
            </w:pPr>
            <w:r>
              <w:rPr>
                <w:sz w:val="20"/>
                <w:rFonts w:asciiTheme="minorHAnsi" w:hAnsiTheme="minorHAnsi"/>
              </w:rPr>
              <w:t xml:space="preserve">„§ 4.</w:t>
            </w:r>
            <w:r>
              <w:rPr>
                <w:sz w:val="20"/>
                <w:rFonts w:asciiTheme="minorHAnsi" w:hAnsiTheme="minorHAnsi"/>
              </w:rPr>
              <w:t xml:space="preserve"> </w:t>
            </w:r>
            <w:r>
              <w:rPr>
                <w:sz w:val="20"/>
                <w:rFonts w:asciiTheme="minorHAnsi" w:hAnsiTheme="minorHAnsi"/>
              </w:rPr>
              <w:t xml:space="preserve">W przypadku przekroczenia norm, o których mowa w ust. 1a, stosuje się niniejszy ustęp.</w:t>
            </w:r>
            <w:r>
              <w:rPr>
                <w:sz w:val="20"/>
                <w:rFonts w:asciiTheme="minorHAnsi" w:hAnsiTheme="minorHAnsi"/>
              </w:rPr>
              <w:t xml:space="preserve"> </w:t>
            </w:r>
          </w:p>
          <w:p w14:paraId="19017495" w14:textId="77777777" w:rsidR="00873667" w:rsidRDefault="00873667">
            <w:pPr>
              <w:pStyle w:val="ListParagraph"/>
              <w:spacing w:after="0" w:line="240" w:lineRule="auto"/>
              <w:ind w:left="360"/>
              <w:jc w:val="both"/>
              <w:rPr>
                <w:sz w:val="20"/>
                <w:szCs w:val="20"/>
                <w:rFonts w:asciiTheme="minorHAnsi" w:hAnsiTheme="minorHAnsi"/>
              </w:rPr>
            </w:pPr>
            <w:r>
              <w:rPr>
                <w:sz w:val="20"/>
                <w:rFonts w:asciiTheme="minorHAnsi" w:hAnsiTheme="minorHAnsi"/>
              </w:rPr>
              <w:t xml:space="preserve">Operatorzy, których anteny przyczyniają się do przekroczenia norm, o których mowa w ust. 1a, zmniejszają pole elektryczne emitowane przez ich anteny, tak aby normy, o których mowa w ust. 1a, były przestrzegane, w stosownych przypadkach poprzez konsultacje ze sobą i z nadawcami.</w:t>
            </w:r>
          </w:p>
          <w:p w14:paraId="67E22AA1" w14:textId="77777777" w:rsidR="00873667" w:rsidRDefault="00873667">
            <w:pPr>
              <w:pStyle w:val="ListParagraph"/>
              <w:spacing w:after="0" w:line="240" w:lineRule="auto"/>
              <w:ind w:left="360"/>
              <w:jc w:val="both"/>
              <w:rPr>
                <w:sz w:val="20"/>
                <w:szCs w:val="20"/>
                <w:rFonts w:asciiTheme="minorHAnsi" w:hAnsiTheme="minorHAnsi"/>
              </w:rPr>
            </w:pPr>
            <w:r>
              <w:rPr>
                <w:sz w:val="20"/>
                <w:rFonts w:asciiTheme="minorHAnsi" w:hAnsiTheme="minorHAnsi"/>
              </w:rPr>
              <w:t xml:space="preserve">Nadawcy, których anteny przyczyniają się do przekroczenia norm, o których mowa w ust. 1a, przekazują operatorom i Bruxelles Environnement wszystkie informacje techniczne związane z promieniowaniem niejonizującym z tych anten, jeżeli różnią się one od informacji przekazanych zgodnie z art. 4.</w:t>
            </w:r>
            <w:r>
              <w:rPr>
                <w:sz w:val="20"/>
                <w:rFonts w:asciiTheme="minorHAnsi" w:hAnsiTheme="minorHAnsi"/>
              </w:rPr>
              <w:t xml:space="preserve"> </w:t>
            </w:r>
          </w:p>
          <w:p w14:paraId="6A8A4CA9" w14:textId="77777777" w:rsidR="00873667" w:rsidRDefault="00873667">
            <w:pPr>
              <w:pStyle w:val="ListParagraph"/>
              <w:spacing w:after="0" w:line="240" w:lineRule="auto"/>
              <w:ind w:left="360"/>
              <w:jc w:val="both"/>
              <w:rPr>
                <w:sz w:val="20"/>
                <w:szCs w:val="20"/>
                <w:rFonts w:asciiTheme="minorHAnsi" w:hAnsiTheme="minorHAnsi"/>
              </w:rPr>
            </w:pPr>
            <w:r>
              <w:rPr>
                <w:sz w:val="20"/>
                <w:rFonts w:asciiTheme="minorHAnsi" w:hAnsiTheme="minorHAnsi"/>
              </w:rPr>
              <w:t xml:space="preserve">Rząd może określić warunki tych konsultacji i metodę, która ma być stosowana przez operatorów w celu, w stosownych przypadkach, zmniejszenia ich odpowiedniego udziału w odniesieniu do gęstości mocy w związku z przekroczeniem norm określonych w ust. 1a.</w:t>
            </w:r>
            <w:r>
              <w:rPr>
                <w:sz w:val="20"/>
                <w:rFonts w:asciiTheme="minorHAnsi" w:hAnsiTheme="minorHAnsi"/>
              </w:rPr>
              <w:t xml:space="preserve"> </w:t>
            </w:r>
            <w:r>
              <w:rPr>
                <w:sz w:val="20"/>
                <w:rFonts w:asciiTheme="minorHAnsi" w:hAnsiTheme="minorHAnsi"/>
              </w:rPr>
              <w:t xml:space="preserve">Rząd określa zasady i warunki w przypadku porozumienia między operatorami oraz, w przypadku braku porozumienia, obowiązki, które mogą zostać na nich nałożone.</w:t>
            </w:r>
            <w:r>
              <w:rPr>
                <w:sz w:val="20"/>
                <w:rFonts w:asciiTheme="minorHAnsi" w:hAnsiTheme="minorHAnsi"/>
              </w:rPr>
              <w:t xml:space="preserve"> </w:t>
            </w:r>
          </w:p>
          <w:p w14:paraId="56ABD7FE" w14:textId="77777777" w:rsidR="00873667" w:rsidRDefault="00873667">
            <w:pPr>
              <w:pStyle w:val="ListParagraph"/>
              <w:spacing w:after="0" w:line="240" w:lineRule="auto"/>
              <w:ind w:left="360"/>
              <w:jc w:val="both"/>
              <w:rPr>
                <w:sz w:val="20"/>
                <w:szCs w:val="20"/>
                <w:rFonts w:asciiTheme="minorHAnsi" w:hAnsiTheme="minorHAnsi"/>
              </w:rPr>
            </w:pPr>
            <w:r>
              <w:rPr>
                <w:sz w:val="20"/>
                <w:rFonts w:asciiTheme="minorHAnsi" w:hAnsiTheme="minorHAnsi"/>
              </w:rPr>
              <w:t xml:space="preserve">Na zasadzie odstępstwa od ust. 1a, jeżeli obowiązki nałożone na operatorów na mocy poprzedniego akapitu lub jakiekolwiek inne środki wdrożone przez operatorów lub nadawcę nie pozwalają na zmniejszenie gęstości mocy danych anten w stopniu wystarczającym do zapewnienia zgodności z normami, o których mowa w ust. 1a, jedynie operatorzy uczestniczący w przekroczeniu są zobowiązani do przestrzegania, łącznie i z uwzględnieniem informacji przekazanych zgodnie z ust. 3 i art. 4, odpowiednio 42,6% i 17% norm, o których mowa w ust. 1a, w miejscach dostępnych publicznie w pomieszczeniach zamkniętych oraz w miejscach dostępnych publicznie na zewnątrz.</w:t>
            </w:r>
            <w:r>
              <w:rPr>
                <w:sz w:val="20"/>
                <w:rFonts w:asciiTheme="minorHAnsi" w:hAnsiTheme="minorHAnsi"/>
              </w:rPr>
              <w:t xml:space="preserve"> </w:t>
            </w:r>
          </w:p>
          <w:p w14:paraId="198A1AFF" w14:textId="77777777" w:rsidR="00873667" w:rsidRDefault="00873667">
            <w:pPr>
              <w:pStyle w:val="ListParagraph"/>
              <w:spacing w:after="0" w:line="240" w:lineRule="auto"/>
              <w:ind w:left="360"/>
              <w:jc w:val="both"/>
              <w:rPr>
                <w:sz w:val="20"/>
                <w:szCs w:val="20"/>
                <w:rFonts w:asciiTheme="minorHAnsi" w:hAnsiTheme="minorHAnsi"/>
              </w:rPr>
            </w:pPr>
            <w:r>
              <w:rPr>
                <w:sz w:val="20"/>
                <w:rFonts w:asciiTheme="minorHAnsi" w:hAnsiTheme="minorHAnsi"/>
              </w:rPr>
              <w:t xml:space="preserve">System wyjątków, o którym mowa w poprzednim akapicie, nie może w żadnym momencie obejmować gęstości promieniowania niejonizującego w miejscach dostępnych publicznie w pomieszczeniach zamkniętych oraz w miejscach dostępnych publicznie na zewnątrz wyższych niż te, o których mowa w zaleceniu Rady 1999/519/WE z dnia 12 lipca 1999 r. w sprawie ograniczenia narażenia ludności na pola elektromagnetyczne (od 0 Hz do 300 GHz) i jego przyszłych wersjach, i może dotyczyć jedynie 0,0065% powierzchni gruntowych i przegród budynków w bazie danych Urbis-Adm 3D.</w:t>
            </w:r>
            <w:r>
              <w:rPr>
                <w:sz w:val="20"/>
                <w:rFonts w:asciiTheme="minorHAnsi" w:hAnsiTheme="minorHAnsi"/>
              </w:rPr>
              <w:t xml:space="preserve"> </w:t>
            </w:r>
            <w:r>
              <w:rPr>
                <w:sz w:val="20"/>
                <w:rFonts w:asciiTheme="minorHAnsi" w:hAnsiTheme="minorHAnsi"/>
              </w:rPr>
              <w:t xml:space="preserve">Rząd ma prawo do ustalania niższych limitów.</w:t>
            </w:r>
            <w:r>
              <w:rPr>
                <w:sz w:val="20"/>
                <w:rFonts w:asciiTheme="minorHAnsi" w:hAnsiTheme="minorHAnsi"/>
              </w:rPr>
              <w:t xml:space="preserve"> </w:t>
            </w:r>
            <w:r>
              <w:rPr>
                <w:sz w:val="20"/>
                <w:rFonts w:asciiTheme="minorHAnsi" w:hAnsiTheme="minorHAnsi"/>
              </w:rPr>
              <w:t xml:space="preserve">Bruxelles Environnement prowadzi dla Rządu i Komitetu wykaz przypadków zastosowania, o których mowa w ust. 5.”.</w:t>
            </w:r>
          </w:p>
          <w:p w14:paraId="623A5571" w14:textId="77777777" w:rsidR="00873667" w:rsidRDefault="00873667">
            <w:pPr>
              <w:spacing w:after="0" w:line="240" w:lineRule="auto"/>
              <w:jc w:val="both"/>
              <w:rPr>
                <w:rFonts w:asciiTheme="minorHAnsi" w:hAnsiTheme="minorHAnsi"/>
                <w:sz w:val="20"/>
                <w:szCs w:val="20"/>
                <w:lang w:val="fr-BE"/>
              </w:rPr>
            </w:pPr>
          </w:p>
        </w:tc>
      </w:tr>
      <w:tr w:rsidR="00873667" w:rsidRPr="00404725" w14:paraId="7F775EBA" w14:textId="77777777" w:rsidTr="00873667">
        <w:tc>
          <w:tcPr>
            <w:tcW w:w="4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D0785F" w14:textId="77777777" w:rsidR="00873667" w:rsidRDefault="00873667">
            <w:pPr>
              <w:spacing w:after="0" w:line="240" w:lineRule="auto"/>
              <w:jc w:val="both"/>
              <w:rPr>
                <w:b/>
                <w:sz w:val="20"/>
                <w:szCs w:val="20"/>
                <w:rFonts w:asciiTheme="minorHAnsi" w:hAnsiTheme="minorHAnsi"/>
              </w:rPr>
            </w:pPr>
            <w:r>
              <w:rPr>
                <w:b/>
                <w:sz w:val="20"/>
                <w:rFonts w:asciiTheme="minorHAnsi" w:hAnsiTheme="minorHAnsi"/>
              </w:rPr>
              <w:t xml:space="preserve">Artykuł 4.</w:t>
            </w:r>
          </w:p>
          <w:p w14:paraId="7BA6CE1E" w14:textId="77777777" w:rsidR="00873667" w:rsidRDefault="00873667">
            <w:pPr>
              <w:spacing w:after="0" w:line="240" w:lineRule="auto"/>
              <w:jc w:val="both"/>
              <w:rPr>
                <w:sz w:val="20"/>
                <w:szCs w:val="20"/>
                <w:rFonts w:asciiTheme="minorHAnsi" w:hAnsiTheme="minorHAnsi"/>
              </w:rPr>
            </w:pPr>
            <w:r>
              <w:rPr>
                <w:sz w:val="20"/>
                <w:rFonts w:asciiTheme="minorHAnsi" w:hAnsiTheme="minorHAnsi"/>
              </w:rPr>
              <w:t xml:space="preserve">§ 1.</w:t>
            </w:r>
            <w:r>
              <w:rPr>
                <w:sz w:val="20"/>
                <w:rFonts w:asciiTheme="minorHAnsi" w:hAnsiTheme="minorHAnsi"/>
              </w:rPr>
              <w:t xml:space="preserve"> </w:t>
            </w:r>
            <w:r>
              <w:rPr>
                <w:sz w:val="20"/>
                <w:rFonts w:asciiTheme="minorHAnsi" w:hAnsiTheme="minorHAnsi"/>
              </w:rPr>
              <w:t xml:space="preserve">W tym samym rozporządzeniu po art. 3 dodaje się nagłówek w brzmieniu:</w:t>
            </w:r>
            <w:r>
              <w:rPr>
                <w:sz w:val="20"/>
                <w:rFonts w:asciiTheme="minorHAnsi" w:hAnsiTheme="minorHAnsi"/>
              </w:rPr>
              <w:t xml:space="preserve"> </w:t>
            </w:r>
            <w:r>
              <w:rPr>
                <w:sz w:val="20"/>
                <w:rFonts w:asciiTheme="minorHAnsi" w:hAnsiTheme="minorHAnsi"/>
              </w:rPr>
              <w:t xml:space="preserve">„</w:t>
            </w:r>
            <w:r>
              <w:rPr>
                <w:sz w:val="20"/>
                <w:rFonts w:asciiTheme="minorHAnsi" w:hAnsiTheme="minorHAnsi"/>
              </w:rPr>
              <w:t xml:space="preserve"> </w:t>
            </w:r>
            <w:r>
              <w:rPr>
                <w:sz w:val="20"/>
                <w:rFonts w:asciiTheme="minorHAnsi" w:hAnsiTheme="minorHAnsi"/>
              </w:rPr>
              <w:t xml:space="preserve">Ogólne obowiązki operatorów”.</w:t>
            </w:r>
          </w:p>
          <w:p w14:paraId="493E4D9C" w14:textId="77777777" w:rsidR="00873667" w:rsidRDefault="00873667">
            <w:pPr>
              <w:spacing w:after="0" w:line="240" w:lineRule="auto"/>
              <w:jc w:val="both"/>
              <w:rPr>
                <w:rFonts w:asciiTheme="minorHAnsi" w:hAnsiTheme="minorHAnsi"/>
                <w:sz w:val="20"/>
                <w:szCs w:val="20"/>
                <w:lang w:val="fr-BE"/>
              </w:rPr>
            </w:pPr>
          </w:p>
          <w:p w14:paraId="7634251F" w14:textId="77777777" w:rsidR="00873667" w:rsidRDefault="00873667">
            <w:pPr>
              <w:spacing w:after="0" w:line="240" w:lineRule="auto"/>
              <w:jc w:val="both"/>
              <w:rPr>
                <w:rFonts w:asciiTheme="minorHAnsi" w:hAnsiTheme="minorHAnsi"/>
                <w:sz w:val="20"/>
                <w:szCs w:val="20"/>
                <w:lang w:val="fr-BE"/>
              </w:rPr>
            </w:pPr>
          </w:p>
          <w:p w14:paraId="49811318" w14:textId="77777777" w:rsidR="00873667" w:rsidRDefault="00873667">
            <w:pPr>
              <w:spacing w:after="0" w:line="240" w:lineRule="auto"/>
              <w:jc w:val="both"/>
              <w:rPr>
                <w:sz w:val="20"/>
                <w:szCs w:val="20"/>
                <w:rFonts w:asciiTheme="minorHAnsi" w:hAnsiTheme="minorHAnsi"/>
              </w:rPr>
            </w:pPr>
            <w:r>
              <w:rPr>
                <w:sz w:val="20"/>
                <w:rFonts w:asciiTheme="minorHAnsi" w:hAnsiTheme="minorHAnsi"/>
              </w:rPr>
              <w:t xml:space="preserve">§ 2.</w:t>
            </w:r>
            <w:r>
              <w:rPr>
                <w:sz w:val="20"/>
                <w:rFonts w:asciiTheme="minorHAnsi" w:hAnsiTheme="minorHAnsi"/>
              </w:rPr>
              <w:t xml:space="preserve"> </w:t>
            </w:r>
            <w:r>
              <w:rPr>
                <w:sz w:val="20"/>
                <w:rFonts w:asciiTheme="minorHAnsi" w:hAnsiTheme="minorHAnsi"/>
              </w:rPr>
              <w:t xml:space="preserve">W tym samym rozporządzeniu pod nagłówkiem dodanym w ust. 1 dodaje się art. 3a w brzmieniu:</w:t>
            </w:r>
          </w:p>
          <w:p w14:paraId="77C64ADE" w14:textId="77777777" w:rsidR="00873667" w:rsidRDefault="00873667">
            <w:pPr>
              <w:spacing w:after="0" w:line="240" w:lineRule="auto"/>
              <w:ind w:left="200"/>
              <w:jc w:val="both"/>
              <w:rPr>
                <w:sz w:val="20"/>
                <w:szCs w:val="20"/>
                <w:rFonts w:asciiTheme="minorHAnsi" w:hAnsiTheme="minorHAnsi"/>
              </w:rPr>
            </w:pPr>
            <w:r>
              <w:rPr>
                <w:sz w:val="20"/>
                <w:rFonts w:asciiTheme="minorHAnsi" w:hAnsiTheme="minorHAnsi"/>
              </w:rPr>
              <w:t xml:space="preserve">„</w:t>
            </w:r>
            <w:r>
              <w:rPr>
                <w:sz w:val="20"/>
                <w:rFonts w:asciiTheme="minorHAnsi" w:hAnsiTheme="minorHAnsi"/>
              </w:rPr>
              <w:t xml:space="preserve"> </w:t>
            </w:r>
            <w:r>
              <w:rPr>
                <w:sz w:val="20"/>
                <w:rFonts w:asciiTheme="minorHAnsi" w:hAnsiTheme="minorHAnsi"/>
              </w:rPr>
              <w:t xml:space="preserve">Artykuł 3a.</w:t>
            </w:r>
            <w:r>
              <w:rPr>
                <w:sz w:val="20"/>
                <w:rFonts w:asciiTheme="minorHAnsi" w:hAnsiTheme="minorHAnsi"/>
              </w:rPr>
              <w:t xml:space="preserve"> </w:t>
            </w:r>
            <w:r>
              <w:rPr>
                <w:sz w:val="20"/>
                <w:rFonts w:asciiTheme="minorHAnsi" w:hAnsiTheme="minorHAnsi"/>
              </w:rPr>
              <w:t xml:space="preserve">Bez uszczerbku dla art. 3, każdy operator i nadawca eksploatujący antenę na terytorium Regionu Stołecznego Brukseli ma w każdej chwili możliwość uzasadnienia zgodności z normą immisji, o której mowa w art. 3, oraz natychmiastowego podjęcia wszelkich niezbędnych środków, jeżeli jest świadomy, w jakikolwiek sposób, że norma immisji, o której mowa w art. 3, nie jest przestrzegana.”.</w:t>
            </w:r>
          </w:p>
          <w:p w14:paraId="0D332DF9" w14:textId="77777777" w:rsidR="00873667" w:rsidRDefault="00873667">
            <w:pPr>
              <w:spacing w:after="0" w:line="240" w:lineRule="auto"/>
              <w:jc w:val="both"/>
              <w:rPr>
                <w:rFonts w:asciiTheme="minorHAnsi" w:hAnsiTheme="minorHAnsi"/>
                <w:sz w:val="20"/>
                <w:szCs w:val="20"/>
                <w:lang w:val="fr-BE"/>
              </w:rPr>
            </w:pPr>
          </w:p>
        </w:tc>
      </w:tr>
      <w:tr w:rsidR="00873667" w14:paraId="32D11D43" w14:textId="77777777" w:rsidTr="00873667">
        <w:tc>
          <w:tcPr>
            <w:tcW w:w="4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7A0B65" w14:textId="77777777" w:rsidR="00873667" w:rsidRDefault="00873667">
            <w:pPr>
              <w:spacing w:after="0" w:line="240" w:lineRule="auto"/>
              <w:jc w:val="both"/>
              <w:rPr>
                <w:b/>
                <w:sz w:val="20"/>
                <w:szCs w:val="20"/>
                <w:rFonts w:asciiTheme="minorHAnsi" w:hAnsiTheme="minorHAnsi"/>
              </w:rPr>
            </w:pPr>
            <w:r>
              <w:rPr>
                <w:b/>
                <w:sz w:val="20"/>
                <w:rFonts w:asciiTheme="minorHAnsi" w:hAnsiTheme="minorHAnsi"/>
              </w:rPr>
              <w:t xml:space="preserve">Artykuł 5.</w:t>
            </w:r>
          </w:p>
          <w:p w14:paraId="6213E50D" w14:textId="77777777" w:rsidR="00873667" w:rsidRDefault="00873667">
            <w:pPr>
              <w:spacing w:after="0" w:line="240" w:lineRule="auto"/>
              <w:jc w:val="both"/>
              <w:rPr>
                <w:sz w:val="20"/>
                <w:szCs w:val="20"/>
                <w:rFonts w:asciiTheme="minorHAnsi" w:hAnsiTheme="minorHAnsi"/>
              </w:rPr>
            </w:pPr>
            <w:r>
              <w:rPr>
                <w:sz w:val="20"/>
                <w:rFonts w:asciiTheme="minorHAnsi" w:hAnsiTheme="minorHAnsi"/>
              </w:rPr>
              <w:t xml:space="preserve">§ 1.</w:t>
            </w:r>
            <w:r>
              <w:rPr>
                <w:sz w:val="20"/>
                <w:rFonts w:asciiTheme="minorHAnsi" w:hAnsiTheme="minorHAnsi"/>
              </w:rPr>
              <w:t xml:space="preserve"> </w:t>
            </w:r>
            <w:r>
              <w:rPr>
                <w:sz w:val="20"/>
                <w:rFonts w:asciiTheme="minorHAnsi" w:hAnsiTheme="minorHAnsi"/>
              </w:rPr>
              <w:t xml:space="preserve">Nagłówek „Obowiązki informacyjne nałożone na operatorów” między art. 3a i art. 4 tego rozporządzenia zastępuje się nagłówkiem „Obowiązek informacyjny nałożony na operatorów i nadawców”.</w:t>
            </w:r>
          </w:p>
          <w:p w14:paraId="304708E1" w14:textId="77777777" w:rsidR="00873667" w:rsidRDefault="00873667">
            <w:pPr>
              <w:spacing w:after="0" w:line="240" w:lineRule="auto"/>
              <w:jc w:val="both"/>
              <w:rPr>
                <w:rFonts w:asciiTheme="minorHAnsi" w:hAnsiTheme="minorHAnsi"/>
                <w:sz w:val="20"/>
                <w:szCs w:val="20"/>
                <w:lang w:val="fr-BE"/>
              </w:rPr>
            </w:pPr>
          </w:p>
          <w:p w14:paraId="302C5B75" w14:textId="77777777" w:rsidR="00873667" w:rsidRDefault="00873667">
            <w:pPr>
              <w:spacing w:after="0" w:line="240" w:lineRule="auto"/>
              <w:jc w:val="both"/>
              <w:rPr>
                <w:sz w:val="20"/>
                <w:szCs w:val="20"/>
                <w:rFonts w:asciiTheme="minorHAnsi" w:hAnsiTheme="minorHAnsi"/>
              </w:rPr>
            </w:pPr>
            <w:r>
              <w:rPr>
                <w:sz w:val="20"/>
                <w:rFonts w:asciiTheme="minorHAnsi" w:hAnsiTheme="minorHAnsi"/>
              </w:rPr>
              <w:t xml:space="preserve">§ 2.</w:t>
            </w:r>
            <w:r>
              <w:rPr>
                <w:sz w:val="20"/>
                <w:rFonts w:asciiTheme="minorHAnsi" w:hAnsiTheme="minorHAnsi"/>
              </w:rPr>
              <w:t xml:space="preserve"> </w:t>
            </w:r>
            <w:r>
              <w:rPr>
                <w:sz w:val="20"/>
                <w:rFonts w:asciiTheme="minorHAnsi" w:hAnsiTheme="minorHAnsi"/>
              </w:rPr>
              <w:t xml:space="preserve">Artykuł 4 tego samego rozporządzenia otrzymuje brzmienie:</w:t>
            </w:r>
            <w:r>
              <w:rPr>
                <w:sz w:val="20"/>
                <w:rFonts w:asciiTheme="minorHAnsi" w:hAnsiTheme="minorHAnsi"/>
              </w:rPr>
              <w:t xml:space="preserve"> </w:t>
            </w:r>
          </w:p>
          <w:p w14:paraId="30BD686D" w14:textId="77777777" w:rsidR="00873667" w:rsidRDefault="00873667">
            <w:pPr>
              <w:spacing w:after="0" w:line="240" w:lineRule="auto"/>
              <w:ind w:left="200"/>
              <w:jc w:val="both"/>
              <w:rPr>
                <w:sz w:val="20"/>
                <w:szCs w:val="20"/>
                <w:rFonts w:asciiTheme="minorHAnsi" w:hAnsiTheme="minorHAnsi"/>
              </w:rPr>
            </w:pPr>
            <w:r>
              <w:rPr>
                <w:sz w:val="20"/>
                <w:rFonts w:asciiTheme="minorHAnsi" w:hAnsiTheme="minorHAnsi"/>
              </w:rPr>
              <w:t xml:space="preserve">„</w:t>
            </w:r>
            <w:r>
              <w:rPr>
                <w:sz w:val="20"/>
                <w:rFonts w:asciiTheme="minorHAnsi" w:hAnsiTheme="minorHAnsi"/>
              </w:rPr>
              <w:t xml:space="preserve"> </w:t>
            </w:r>
            <w:r>
              <w:rPr>
                <w:sz w:val="20"/>
                <w:rFonts w:asciiTheme="minorHAnsi" w:hAnsiTheme="minorHAnsi"/>
              </w:rPr>
              <w:t xml:space="preserve">Artykuł 4.</w:t>
            </w:r>
            <w:r>
              <w:rPr>
                <w:sz w:val="20"/>
                <w:rFonts w:asciiTheme="minorHAnsi" w:hAnsiTheme="minorHAnsi"/>
              </w:rPr>
              <w:t xml:space="preserve"> </w:t>
            </w:r>
            <w:r>
              <w:rPr>
                <w:sz w:val="20"/>
                <w:rFonts w:asciiTheme="minorHAnsi" w:hAnsiTheme="minorHAnsi"/>
              </w:rPr>
              <w:t xml:space="preserve">§ 1.</w:t>
            </w:r>
            <w:r>
              <w:rPr>
                <w:sz w:val="20"/>
                <w:rFonts w:asciiTheme="minorHAnsi" w:hAnsiTheme="minorHAnsi"/>
              </w:rPr>
              <w:t xml:space="preserve">  </w:t>
            </w:r>
            <w:r>
              <w:rPr>
                <w:sz w:val="20"/>
                <w:rFonts w:asciiTheme="minorHAnsi" w:hAnsiTheme="minorHAnsi"/>
              </w:rPr>
              <w:t xml:space="preserve">Operatorzy i nadawcy są zobowiązani do informowania Bruxelles Environnement, działu planowania miejskiego i dziedzictwa kulturowego oraz gminy, na terenie której znajduje się antena, o wszystkich antenach emitujących promieniowanie niejonizujące, których lista jest ustalana przez rząd, oraz o charakterystyce ich działania.</w:t>
            </w:r>
            <w:r>
              <w:rPr>
                <w:sz w:val="20"/>
                <w:rFonts w:asciiTheme="minorHAnsi" w:hAnsiTheme="minorHAnsi"/>
              </w:rPr>
              <w:t xml:space="preserve"> </w:t>
            </w:r>
            <w:r>
              <w:rPr>
                <w:sz w:val="20"/>
                <w:rFonts w:asciiTheme="minorHAnsi" w:hAnsiTheme="minorHAnsi"/>
              </w:rPr>
              <w:t xml:space="preserve">Cechy te obejmują w szczególności dokładną lokalizację i położenie instalacji, wykres promieniowania, rodzaj anteny, częstotliwości emisji, kąt nachylenia anten, wysokość i wymiar anteny oraz promieniowaną moc promieniowania.</w:t>
            </w:r>
            <w:r>
              <w:rPr>
                <w:sz w:val="20"/>
                <w:rFonts w:asciiTheme="minorHAnsi" w:hAnsiTheme="minorHAnsi"/>
              </w:rPr>
              <w:t xml:space="preserve"> </w:t>
            </w:r>
            <w:r>
              <w:rPr>
                <w:sz w:val="20"/>
                <w:rFonts w:asciiTheme="minorHAnsi" w:hAnsiTheme="minorHAnsi"/>
              </w:rPr>
              <w:t xml:space="preserve">Rząd może określić wykaz tych cech, wyróżnić je według odbiorców lub dodać inne cechy.</w:t>
            </w:r>
            <w:r>
              <w:rPr>
                <w:sz w:val="20"/>
                <w:rFonts w:asciiTheme="minorHAnsi" w:hAnsiTheme="minorHAnsi"/>
              </w:rPr>
              <w:t xml:space="preserve"> </w:t>
            </w:r>
            <w:r>
              <w:rPr>
                <w:sz w:val="20"/>
                <w:rFonts w:asciiTheme="minorHAnsi" w:hAnsiTheme="minorHAnsi"/>
              </w:rPr>
              <w:t xml:space="preserve">Bruxelles Environnement, dział planowania miejskiego i dziedzictwa kulturowego Brukseli oraz gminy mogą przewidzieć użycie formularza w celu przesłania im informacji, o których mowa.</w:t>
            </w:r>
            <w:r>
              <w:rPr>
                <w:sz w:val="20"/>
                <w:rFonts w:asciiTheme="minorHAnsi" w:hAnsiTheme="minorHAnsi"/>
              </w:rPr>
              <w:t xml:space="preserve"> </w:t>
            </w:r>
          </w:p>
          <w:p w14:paraId="6D5BFE07" w14:textId="77777777" w:rsidR="00873667" w:rsidRDefault="00873667">
            <w:pPr>
              <w:spacing w:after="0" w:line="240" w:lineRule="auto"/>
              <w:ind w:left="200"/>
              <w:jc w:val="both"/>
              <w:rPr>
                <w:sz w:val="20"/>
                <w:szCs w:val="20"/>
                <w:rFonts w:asciiTheme="minorHAnsi" w:hAnsiTheme="minorHAnsi"/>
              </w:rPr>
            </w:pPr>
            <w:r>
              <w:rPr>
                <w:sz w:val="20"/>
                <w:rFonts w:asciiTheme="minorHAnsi" w:hAnsiTheme="minorHAnsi"/>
              </w:rPr>
              <w:t xml:space="preserve">W przypadku gdy antena znajduje się w odległości mniejszej niż 200 metrów od granicy gminy, obowiązek ten zostaje przedłużony w odniesieniu do danej gminy przygranicznej.</w:t>
            </w:r>
            <w:r>
              <w:rPr>
                <w:sz w:val="20"/>
                <w:rFonts w:asciiTheme="minorHAnsi" w:hAnsiTheme="minorHAnsi"/>
              </w:rPr>
              <w:t xml:space="preserve"> </w:t>
            </w:r>
          </w:p>
          <w:p w14:paraId="7D2D49FA" w14:textId="77777777" w:rsidR="00873667" w:rsidRDefault="00873667">
            <w:pPr>
              <w:spacing w:after="0" w:line="240" w:lineRule="auto"/>
              <w:ind w:left="200"/>
              <w:jc w:val="both"/>
              <w:rPr>
                <w:sz w:val="20"/>
                <w:szCs w:val="20"/>
                <w:rFonts w:asciiTheme="minorHAnsi" w:hAnsiTheme="minorHAnsi"/>
              </w:rPr>
            </w:pPr>
            <w:r>
              <w:rPr>
                <w:sz w:val="20"/>
                <w:rFonts w:asciiTheme="minorHAnsi" w:hAnsiTheme="minorHAnsi"/>
              </w:rPr>
              <w:t xml:space="preserve">§ 2.</w:t>
            </w:r>
            <w:r>
              <w:rPr>
                <w:sz w:val="20"/>
                <w:rFonts w:asciiTheme="minorHAnsi" w:hAnsiTheme="minorHAnsi"/>
              </w:rPr>
              <w:t xml:space="preserve"> </w:t>
            </w:r>
            <w:r>
              <w:rPr>
                <w:sz w:val="20"/>
                <w:rFonts w:asciiTheme="minorHAnsi" w:hAnsiTheme="minorHAnsi"/>
              </w:rPr>
              <w:t xml:space="preserve">Operatorzy i nadawcy muszą na pierwsze żądanie przekazywać do Bruxelles Environnement wszelkie wymagane informacje, w tym, w stosownych przypadkach, wyciąg z ich baz danych konfiguracji sieci z OMC (Operation and Maintenance Centre).</w:t>
            </w:r>
            <w:r>
              <w:rPr>
                <w:sz w:val="20"/>
                <w:rFonts w:asciiTheme="minorHAnsi" w:hAnsiTheme="minorHAnsi"/>
              </w:rPr>
              <w:t xml:space="preserve"> </w:t>
            </w:r>
            <w:r>
              <w:rPr>
                <w:sz w:val="20"/>
                <w:rFonts w:asciiTheme="minorHAnsi" w:hAnsiTheme="minorHAnsi"/>
              </w:rPr>
              <w:t xml:space="preserve">Niniejszy wyciąg lub wszelkie inne informacje mogą dotyczyć wszystkich anten określonych przez Bruxelles Environnement i zostaną dostarczone drogą elektroniczną w ciągu 20 dni od otrzymania wniosku.</w:t>
            </w:r>
            <w:r>
              <w:rPr>
                <w:sz w:val="20"/>
                <w:rFonts w:asciiTheme="minorHAnsi" w:hAnsiTheme="minorHAnsi"/>
              </w:rPr>
              <w:t xml:space="preserve"> </w:t>
            </w:r>
            <w:r>
              <w:rPr>
                <w:sz w:val="20"/>
                <w:rFonts w:asciiTheme="minorHAnsi" w:hAnsiTheme="minorHAnsi"/>
              </w:rPr>
              <w:t xml:space="preserve">Informacje te powinny zawierać co najmniej maksymalną moc sygnalizotora na wyjściu z pola technicznego, liczbę częstotliwości nośnych oraz przechyły elektryczne, jeśli są one konfigurowane zdalnie z OMC ( Operation and Maintenance Centre).</w:t>
            </w:r>
            <w:r>
              <w:rPr>
                <w:sz w:val="20"/>
                <w:rFonts w:asciiTheme="minorHAnsi" w:hAnsiTheme="minorHAnsi"/>
              </w:rPr>
              <w:t xml:space="preserve"> </w:t>
            </w:r>
            <w:r>
              <w:rPr>
                <w:sz w:val="20"/>
                <w:rFonts w:asciiTheme="minorHAnsi" w:hAnsiTheme="minorHAnsi"/>
              </w:rPr>
              <w:t xml:space="preserve">Bruxelles Environnement może określać informacje zawarte w wyciągu, który ma zostać dostarczony, oraz ich format.</w:t>
            </w:r>
          </w:p>
          <w:p w14:paraId="4D7BEA57" w14:textId="77777777" w:rsidR="00873667" w:rsidRDefault="00873667">
            <w:pPr>
              <w:spacing w:after="0" w:line="240" w:lineRule="auto"/>
              <w:ind w:left="200"/>
              <w:jc w:val="both"/>
              <w:rPr>
                <w:sz w:val="20"/>
                <w:szCs w:val="20"/>
                <w:rFonts w:asciiTheme="minorHAnsi" w:hAnsiTheme="minorHAnsi"/>
              </w:rPr>
            </w:pPr>
            <w:r>
              <w:rPr>
                <w:sz w:val="20"/>
                <w:rFonts w:asciiTheme="minorHAnsi" w:hAnsiTheme="minorHAnsi"/>
              </w:rPr>
              <w:t xml:space="preserve">§ 3.</w:t>
            </w:r>
            <w:r>
              <w:rPr>
                <w:sz w:val="20"/>
                <w:rFonts w:asciiTheme="minorHAnsi" w:hAnsiTheme="minorHAnsi"/>
              </w:rPr>
              <w:t xml:space="preserve"> </w:t>
            </w:r>
            <w:r>
              <w:rPr>
                <w:sz w:val="20"/>
                <w:rFonts w:asciiTheme="minorHAnsi" w:hAnsiTheme="minorHAnsi"/>
              </w:rPr>
              <w:t xml:space="preserve">Operatorzy, których lista jest ustalana przez rząd, przekazują co roku Bruxelles Environnement sprawozdanie na temat efektywności energetycznej według technologii i zużycia energii przez anteny i ich sieć.</w:t>
            </w:r>
            <w:r>
              <w:rPr>
                <w:sz w:val="20"/>
                <w:rFonts w:asciiTheme="minorHAnsi" w:hAnsiTheme="minorHAnsi"/>
              </w:rPr>
              <w:t xml:space="preserve"> </w:t>
            </w:r>
            <w:r>
              <w:rPr>
                <w:sz w:val="20"/>
                <w:rFonts w:asciiTheme="minorHAnsi" w:hAnsiTheme="minorHAnsi"/>
              </w:rPr>
              <w:t xml:space="preserve">Rząd określi minimalną treść sprawozdania.”.</w:t>
            </w:r>
          </w:p>
          <w:p w14:paraId="25D9E273" w14:textId="77777777" w:rsidR="00873667" w:rsidRDefault="00873667">
            <w:pPr>
              <w:spacing w:after="0" w:line="240" w:lineRule="auto"/>
              <w:jc w:val="both"/>
              <w:rPr>
                <w:rFonts w:asciiTheme="minorHAnsi" w:hAnsiTheme="minorHAnsi"/>
                <w:sz w:val="20"/>
                <w:szCs w:val="20"/>
                <w:lang w:val="nl-NL"/>
              </w:rPr>
            </w:pPr>
          </w:p>
        </w:tc>
      </w:tr>
      <w:tr w:rsidR="00873667" w:rsidRPr="00404725" w14:paraId="39830A33" w14:textId="77777777" w:rsidTr="00873667">
        <w:tc>
          <w:tcPr>
            <w:tcW w:w="4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5C51C2" w14:textId="77777777" w:rsidR="00873667" w:rsidRDefault="00873667">
            <w:pPr>
              <w:spacing w:after="0" w:line="240" w:lineRule="auto"/>
              <w:jc w:val="both"/>
              <w:rPr>
                <w:b/>
                <w:sz w:val="20"/>
                <w:szCs w:val="20"/>
                <w:rFonts w:asciiTheme="minorHAnsi" w:hAnsiTheme="minorHAnsi"/>
              </w:rPr>
            </w:pPr>
            <w:r>
              <w:rPr>
                <w:b/>
                <w:sz w:val="20"/>
                <w:rFonts w:asciiTheme="minorHAnsi" w:hAnsiTheme="minorHAnsi"/>
              </w:rPr>
              <w:t xml:space="preserve">Artykuł 6.</w:t>
            </w:r>
          </w:p>
          <w:p w14:paraId="3FB93EB7" w14:textId="77777777" w:rsidR="00873667" w:rsidRDefault="00873667">
            <w:pPr>
              <w:spacing w:after="0" w:line="240" w:lineRule="auto"/>
              <w:jc w:val="both"/>
              <w:rPr>
                <w:sz w:val="20"/>
                <w:szCs w:val="20"/>
                <w:rFonts w:asciiTheme="minorHAnsi" w:hAnsiTheme="minorHAnsi"/>
              </w:rPr>
            </w:pPr>
            <w:r>
              <w:rPr>
                <w:sz w:val="20"/>
                <w:rFonts w:asciiTheme="minorHAnsi" w:hAnsiTheme="minorHAnsi"/>
              </w:rPr>
              <w:t xml:space="preserve">Artykuł 5 rozporządzenia uzupełnia się akapitem w brzmieniu:</w:t>
            </w:r>
            <w:r>
              <w:rPr>
                <w:sz w:val="20"/>
                <w:rFonts w:asciiTheme="minorHAnsi" w:hAnsiTheme="minorHAnsi"/>
              </w:rPr>
              <w:t xml:space="preserve"> </w:t>
            </w:r>
          </w:p>
          <w:p w14:paraId="40A7D802" w14:textId="77777777" w:rsidR="00873667" w:rsidRDefault="00873667">
            <w:pPr>
              <w:spacing w:after="0" w:line="240" w:lineRule="auto"/>
              <w:ind w:left="200"/>
              <w:jc w:val="both"/>
              <w:rPr>
                <w:sz w:val="20"/>
                <w:szCs w:val="20"/>
                <w:rFonts w:asciiTheme="minorHAnsi" w:hAnsiTheme="minorHAnsi"/>
              </w:rPr>
            </w:pPr>
            <w:r>
              <w:rPr>
                <w:sz w:val="20"/>
                <w:rFonts w:asciiTheme="minorHAnsi" w:hAnsiTheme="minorHAnsi"/>
              </w:rPr>
              <w:t xml:space="preserve">„</w:t>
            </w:r>
            <w:r>
              <w:rPr>
                <w:sz w:val="20"/>
                <w:rFonts w:asciiTheme="minorHAnsi" w:hAnsiTheme="minorHAnsi"/>
              </w:rPr>
              <w:t xml:space="preserve"> </w:t>
            </w:r>
            <w:r>
              <w:rPr>
                <w:sz w:val="20"/>
                <w:rFonts w:asciiTheme="minorHAnsi" w:hAnsiTheme="minorHAnsi"/>
              </w:rPr>
              <w:t xml:space="preserve">Rząd może przewidzieć zróżnicowane i szczególne systemy dla niektórych rodzajów anten w zależności od ich specyfiki.”.</w:t>
            </w:r>
            <w:r>
              <w:rPr>
                <w:sz w:val="20"/>
                <w:rFonts w:asciiTheme="minorHAnsi" w:hAnsiTheme="minorHAnsi"/>
              </w:rPr>
              <w:t xml:space="preserve"> </w:t>
            </w:r>
          </w:p>
          <w:p w14:paraId="0216A34A" w14:textId="77777777" w:rsidR="00873667" w:rsidRDefault="00873667">
            <w:pPr>
              <w:spacing w:after="0" w:line="240" w:lineRule="auto"/>
              <w:jc w:val="both"/>
              <w:rPr>
                <w:rFonts w:asciiTheme="minorHAnsi" w:hAnsiTheme="minorHAnsi"/>
                <w:sz w:val="20"/>
                <w:szCs w:val="20"/>
                <w:lang w:val="fr-BE"/>
              </w:rPr>
            </w:pPr>
          </w:p>
        </w:tc>
      </w:tr>
      <w:tr w:rsidR="00873667" w14:paraId="752366D5" w14:textId="77777777" w:rsidTr="00873667">
        <w:tc>
          <w:tcPr>
            <w:tcW w:w="4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2B28D5" w14:textId="77777777" w:rsidR="00873667" w:rsidRDefault="00873667">
            <w:pPr>
              <w:spacing w:after="0" w:line="240" w:lineRule="auto"/>
              <w:jc w:val="both"/>
              <w:rPr>
                <w:b/>
                <w:sz w:val="20"/>
                <w:szCs w:val="20"/>
                <w:rFonts w:asciiTheme="minorHAnsi" w:hAnsiTheme="minorHAnsi"/>
              </w:rPr>
            </w:pPr>
            <w:r>
              <w:rPr>
                <w:b/>
                <w:sz w:val="20"/>
                <w:rFonts w:asciiTheme="minorHAnsi" w:hAnsiTheme="minorHAnsi"/>
              </w:rPr>
              <w:t xml:space="preserve">Artykuł 7.</w:t>
            </w:r>
          </w:p>
          <w:p w14:paraId="59CA7035" w14:textId="77777777" w:rsidR="00873667" w:rsidRDefault="00873667">
            <w:pPr>
              <w:spacing w:after="0" w:line="240" w:lineRule="auto"/>
              <w:jc w:val="both"/>
              <w:rPr>
                <w:sz w:val="20"/>
                <w:szCs w:val="20"/>
                <w:rFonts w:asciiTheme="minorHAnsi" w:hAnsiTheme="minorHAnsi"/>
              </w:rPr>
            </w:pPr>
            <w:r>
              <w:rPr>
                <w:sz w:val="20"/>
                <w:rFonts w:asciiTheme="minorHAnsi" w:hAnsiTheme="minorHAnsi"/>
              </w:rPr>
              <w:t xml:space="preserve">W art. 8 niniejszego rozporządzenia wprowadza się następujące zmiany:</w:t>
            </w:r>
          </w:p>
          <w:p w14:paraId="463F92C5" w14:textId="77777777" w:rsidR="00873667" w:rsidRDefault="00873667">
            <w:pPr>
              <w:spacing w:after="0" w:line="240" w:lineRule="auto"/>
              <w:jc w:val="both"/>
              <w:rPr>
                <w:rFonts w:asciiTheme="minorHAnsi" w:hAnsiTheme="minorHAnsi"/>
                <w:sz w:val="20"/>
                <w:szCs w:val="20"/>
                <w:lang w:val="fr-BE"/>
              </w:rPr>
            </w:pPr>
          </w:p>
          <w:p w14:paraId="0FEE7087" w14:textId="77777777" w:rsidR="00873667" w:rsidRDefault="00873667" w:rsidP="00242999">
            <w:pPr>
              <w:pStyle w:val="ListParagraph"/>
              <w:widowControl/>
              <w:numPr>
                <w:ilvl w:val="0"/>
                <w:numId w:val="4"/>
              </w:numPr>
              <w:suppressAutoHyphens w:val="0"/>
              <w:spacing w:after="0" w:line="240" w:lineRule="auto"/>
              <w:jc w:val="both"/>
              <w:rPr>
                <w:sz w:val="20"/>
                <w:szCs w:val="20"/>
                <w:rFonts w:asciiTheme="minorHAnsi" w:hAnsiTheme="minorHAnsi"/>
              </w:rPr>
            </w:pPr>
            <w:r>
              <w:rPr>
                <w:sz w:val="20"/>
                <w:rFonts w:asciiTheme="minorHAnsi" w:hAnsiTheme="minorHAnsi"/>
              </w:rPr>
              <w:t xml:space="preserve">ust. 1 otrzymuje brzmienie:</w:t>
            </w:r>
            <w:r>
              <w:rPr>
                <w:sz w:val="20"/>
                <w:rFonts w:asciiTheme="minorHAnsi" w:hAnsiTheme="minorHAnsi"/>
              </w:rPr>
              <w:t xml:space="preserve"> </w:t>
            </w:r>
          </w:p>
          <w:p w14:paraId="495FA02B" w14:textId="77777777" w:rsidR="00873667" w:rsidRDefault="00873667">
            <w:pPr>
              <w:spacing w:after="0" w:line="240" w:lineRule="auto"/>
              <w:ind w:left="352"/>
              <w:jc w:val="both"/>
              <w:rPr>
                <w:sz w:val="20"/>
                <w:szCs w:val="20"/>
                <w:rFonts w:asciiTheme="minorHAnsi" w:hAnsiTheme="minorHAnsi"/>
              </w:rPr>
            </w:pPr>
            <w:r>
              <w:rPr>
                <w:sz w:val="20"/>
                <w:rFonts w:asciiTheme="minorHAnsi" w:hAnsiTheme="minorHAnsi"/>
              </w:rPr>
              <w:t xml:space="preserve">„§ 1.</w:t>
            </w:r>
            <w:r>
              <w:rPr>
                <w:sz w:val="20"/>
                <w:rFonts w:asciiTheme="minorHAnsi" w:hAnsiTheme="minorHAnsi"/>
              </w:rPr>
              <w:t xml:space="preserve"> </w:t>
            </w:r>
            <w:r>
              <w:rPr>
                <w:sz w:val="20"/>
                <w:rFonts w:asciiTheme="minorHAnsi" w:hAnsiTheme="minorHAnsi"/>
              </w:rPr>
              <w:t xml:space="preserve">Rząd jest odpowiedzialny za aktualizację i podanie do wiadomości publicznej rejestru anten, których lista jest ustalana przez rząd.</w:t>
            </w:r>
            <w:r>
              <w:rPr>
                <w:sz w:val="20"/>
                <w:rFonts w:asciiTheme="minorHAnsi" w:hAnsiTheme="minorHAnsi"/>
              </w:rPr>
              <w:t xml:space="preserve"> </w:t>
            </w:r>
            <w:r>
              <w:rPr>
                <w:sz w:val="20"/>
                <w:rFonts w:asciiTheme="minorHAnsi" w:hAnsiTheme="minorHAnsi"/>
              </w:rPr>
              <w:t xml:space="preserve">Rejestr ten obejmuje dane techniczne każdej anteny, w szczególności dokładną lokalizację anteny, jej typ, wymiary, orientację, moc emisyjną i inne dane techniczne w celu określenia gęstości mocy w miejscach publicznie dostępnych.</w:t>
            </w:r>
            <w:r>
              <w:rPr>
                <w:sz w:val="20"/>
                <w:rFonts w:asciiTheme="minorHAnsi" w:hAnsiTheme="minorHAnsi"/>
              </w:rPr>
              <w:t xml:space="preserve"> </w:t>
            </w:r>
            <w:r>
              <w:rPr>
                <w:sz w:val="20"/>
                <w:rFonts w:asciiTheme="minorHAnsi" w:hAnsiTheme="minorHAnsi"/>
              </w:rPr>
              <w:t xml:space="preserve">Rząd może określić dane techniczne i dodać inne cechy.</w:t>
            </w:r>
            <w:r>
              <w:rPr>
                <w:sz w:val="20"/>
                <w:rFonts w:asciiTheme="minorHAnsi" w:hAnsiTheme="minorHAnsi"/>
              </w:rPr>
              <w:t xml:space="preserve"> </w:t>
            </w:r>
          </w:p>
          <w:p w14:paraId="74906324" w14:textId="77777777" w:rsidR="00873667" w:rsidRDefault="00873667">
            <w:pPr>
              <w:spacing w:after="0" w:line="240" w:lineRule="auto"/>
              <w:ind w:left="352"/>
              <w:jc w:val="both"/>
              <w:rPr>
                <w:sz w:val="20"/>
                <w:szCs w:val="20"/>
                <w:rFonts w:asciiTheme="minorHAnsi" w:hAnsiTheme="minorHAnsi"/>
              </w:rPr>
            </w:pPr>
            <w:r>
              <w:rPr>
                <w:sz w:val="20"/>
                <w:rFonts w:asciiTheme="minorHAnsi" w:hAnsiTheme="minorHAnsi"/>
              </w:rPr>
              <w:t xml:space="preserve">Ten rejestr nadajników jest publikowany na stronie internetowej Bruxelles Environnement, aby umożliwić każdemu obywatelowi złożenie w dowolnym momencie do Bruxelles Environnement skargi dotyczącej zgodności ze standardem immisyjnym, o którym mowa w art. 3, lub zgodności z warunkami eksploatacji danych anten.</w:t>
            </w:r>
            <w:r>
              <w:rPr>
                <w:sz w:val="20"/>
                <w:rFonts w:asciiTheme="minorHAnsi" w:hAnsiTheme="minorHAnsi"/>
              </w:rPr>
              <w:t xml:space="preserve"> </w:t>
            </w:r>
            <w:r>
              <w:rPr>
                <w:sz w:val="20"/>
                <w:rFonts w:asciiTheme="minorHAnsi" w:hAnsiTheme="minorHAnsi"/>
              </w:rPr>
              <w:t xml:space="preserve">Bez uszczerbku dla mających zastosowanie kar i innych środków przewidzianych w niniejszym rozporządzeniu, jeżeli Bruxelles Environnement uzna skargę za zasadną, podejmuje środki w celu zapewnienia zgodności z przepisami niniejszego rozporządzenia.”;</w:t>
            </w:r>
          </w:p>
          <w:p w14:paraId="62384DE4" w14:textId="77777777" w:rsidR="00873667" w:rsidRDefault="00873667">
            <w:pPr>
              <w:spacing w:after="0" w:line="240" w:lineRule="auto"/>
              <w:ind w:left="352"/>
              <w:jc w:val="both"/>
              <w:rPr>
                <w:rFonts w:asciiTheme="minorHAnsi" w:hAnsiTheme="minorHAnsi"/>
                <w:sz w:val="20"/>
                <w:szCs w:val="20"/>
                <w:lang w:val="fr-BE"/>
              </w:rPr>
            </w:pPr>
          </w:p>
          <w:p w14:paraId="251120BC" w14:textId="77777777" w:rsidR="00873667" w:rsidRDefault="00873667" w:rsidP="00242999">
            <w:pPr>
              <w:pStyle w:val="ListParagraph"/>
              <w:widowControl/>
              <w:numPr>
                <w:ilvl w:val="0"/>
                <w:numId w:val="4"/>
              </w:numPr>
              <w:suppressAutoHyphens w:val="0"/>
              <w:spacing w:after="0" w:line="240" w:lineRule="auto"/>
              <w:jc w:val="both"/>
              <w:rPr>
                <w:sz w:val="20"/>
                <w:szCs w:val="20"/>
                <w:rFonts w:asciiTheme="minorHAnsi" w:hAnsiTheme="minorHAnsi"/>
              </w:rPr>
            </w:pPr>
            <w:r>
              <w:rPr>
                <w:sz w:val="20"/>
                <w:rFonts w:asciiTheme="minorHAnsi" w:hAnsiTheme="minorHAnsi"/>
              </w:rPr>
              <w:t xml:space="preserve">ust. 2 akapit pierwszy otrzymuje brzmienie:</w:t>
            </w:r>
            <w:r>
              <w:rPr>
                <w:sz w:val="20"/>
                <w:rFonts w:asciiTheme="minorHAnsi" w:hAnsiTheme="minorHAnsi"/>
              </w:rPr>
              <w:t xml:space="preserve"> </w:t>
            </w:r>
          </w:p>
          <w:p w14:paraId="1D219E45" w14:textId="77777777" w:rsidR="00873667" w:rsidRDefault="00873667">
            <w:pPr>
              <w:spacing w:after="0" w:line="240" w:lineRule="auto"/>
              <w:ind w:left="352"/>
              <w:jc w:val="both"/>
              <w:rPr>
                <w:sz w:val="20"/>
                <w:szCs w:val="20"/>
                <w:rFonts w:asciiTheme="minorHAnsi" w:hAnsiTheme="minorHAnsi"/>
              </w:rPr>
            </w:pPr>
            <w:r>
              <w:rPr>
                <w:sz w:val="20"/>
                <w:rFonts w:asciiTheme="minorHAnsi" w:hAnsiTheme="minorHAnsi"/>
              </w:rPr>
              <w:t xml:space="preserve">„§ 2.</w:t>
            </w:r>
            <w:r>
              <w:rPr>
                <w:sz w:val="20"/>
                <w:rFonts w:asciiTheme="minorHAnsi" w:hAnsiTheme="minorHAnsi"/>
              </w:rPr>
              <w:t xml:space="preserve"> </w:t>
            </w:r>
            <w:r>
              <w:rPr>
                <w:sz w:val="20"/>
                <w:rFonts w:asciiTheme="minorHAnsi" w:hAnsiTheme="minorHAnsi"/>
              </w:rPr>
              <w:t xml:space="preserve">Rząd tworzy rejestr dachów budynków zajmowanych przez władze publiczne, który mógłby pomieścić anteny.</w:t>
            </w:r>
            <w:r>
              <w:rPr>
                <w:sz w:val="20"/>
                <w:rFonts w:asciiTheme="minorHAnsi" w:hAnsiTheme="minorHAnsi"/>
              </w:rPr>
              <w:t xml:space="preserve"> </w:t>
            </w:r>
            <w:r>
              <w:rPr>
                <w:sz w:val="20"/>
                <w:rFonts w:asciiTheme="minorHAnsi" w:hAnsiTheme="minorHAnsi"/>
              </w:rPr>
              <w:t xml:space="preserve">Rejestr ten jest regularnie aktualizowany.”.</w:t>
            </w:r>
          </w:p>
          <w:p w14:paraId="2DC18BF8" w14:textId="77777777" w:rsidR="00873667" w:rsidRDefault="00873667">
            <w:pPr>
              <w:spacing w:after="0" w:line="240" w:lineRule="auto"/>
              <w:jc w:val="both"/>
              <w:rPr>
                <w:rFonts w:asciiTheme="minorHAnsi" w:hAnsiTheme="minorHAnsi"/>
                <w:sz w:val="20"/>
                <w:szCs w:val="20"/>
                <w:lang w:val="nl-NL"/>
              </w:rPr>
            </w:pPr>
          </w:p>
        </w:tc>
      </w:tr>
      <w:tr w:rsidR="00873667" w:rsidRPr="00404725" w14:paraId="3C371DE5" w14:textId="77777777" w:rsidTr="00873667">
        <w:tc>
          <w:tcPr>
            <w:tcW w:w="4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2CECFE" w14:textId="77777777" w:rsidR="00873667" w:rsidRDefault="00873667">
            <w:pPr>
              <w:spacing w:after="0" w:line="240" w:lineRule="auto"/>
              <w:jc w:val="both"/>
              <w:rPr>
                <w:b/>
                <w:sz w:val="20"/>
                <w:szCs w:val="20"/>
                <w:rFonts w:asciiTheme="minorHAnsi" w:hAnsiTheme="minorHAnsi"/>
              </w:rPr>
            </w:pPr>
            <w:r>
              <w:rPr>
                <w:b/>
                <w:sz w:val="20"/>
                <w:rFonts w:asciiTheme="minorHAnsi" w:hAnsiTheme="minorHAnsi"/>
              </w:rPr>
              <w:t xml:space="preserve">Artykuł 8.</w:t>
            </w:r>
          </w:p>
          <w:p w14:paraId="588CB09A" w14:textId="77777777" w:rsidR="00873667" w:rsidRDefault="00873667">
            <w:pPr>
              <w:spacing w:after="0" w:line="240" w:lineRule="auto"/>
              <w:jc w:val="both"/>
              <w:rPr>
                <w:bCs/>
                <w:sz w:val="20"/>
                <w:szCs w:val="20"/>
                <w:rFonts w:asciiTheme="minorHAnsi" w:hAnsiTheme="minorHAnsi"/>
              </w:rPr>
            </w:pPr>
            <w:r>
              <w:rPr>
                <w:sz w:val="20"/>
                <w:rFonts w:asciiTheme="minorHAnsi" w:hAnsiTheme="minorHAnsi"/>
              </w:rPr>
              <w:t xml:space="preserve">§ 1.</w:t>
            </w:r>
            <w:r>
              <w:rPr>
                <w:sz w:val="20"/>
                <w:rFonts w:asciiTheme="minorHAnsi" w:hAnsiTheme="minorHAnsi"/>
              </w:rPr>
              <w:t xml:space="preserve"> </w:t>
            </w:r>
            <w:r>
              <w:rPr>
                <w:sz w:val="20"/>
                <w:rFonts w:asciiTheme="minorHAnsi" w:hAnsiTheme="minorHAnsi"/>
              </w:rPr>
              <w:t xml:space="preserve">W tym samym rozporządzeniu po art. 8 dodaje się nagłówek w brzmieniu:</w:t>
            </w:r>
            <w:r>
              <w:rPr>
                <w:sz w:val="20"/>
                <w:rFonts w:asciiTheme="minorHAnsi" w:hAnsiTheme="minorHAnsi"/>
              </w:rPr>
              <w:t xml:space="preserve"> </w:t>
            </w:r>
            <w:r>
              <w:rPr>
                <w:sz w:val="20"/>
                <w:rFonts w:asciiTheme="minorHAnsi" w:hAnsiTheme="minorHAnsi"/>
              </w:rPr>
              <w:t xml:space="preserve">„</w:t>
            </w:r>
            <w:r>
              <w:rPr>
                <w:sz w:val="20"/>
                <w:rFonts w:asciiTheme="minorHAnsi" w:hAnsiTheme="minorHAnsi"/>
              </w:rPr>
              <w:t xml:space="preserve"> </w:t>
            </w:r>
            <w:r>
              <w:rPr>
                <w:sz w:val="20"/>
                <w:rFonts w:asciiTheme="minorHAnsi" w:hAnsiTheme="minorHAnsi"/>
              </w:rPr>
              <w:t xml:space="preserve">Ogólne obowiązki operatorów”.</w:t>
            </w:r>
          </w:p>
          <w:p w14:paraId="020B4B57" w14:textId="77777777" w:rsidR="00873667" w:rsidRDefault="00873667">
            <w:pPr>
              <w:spacing w:after="0" w:line="240" w:lineRule="auto"/>
              <w:jc w:val="both"/>
              <w:rPr>
                <w:rFonts w:asciiTheme="minorHAnsi" w:hAnsiTheme="minorHAnsi"/>
                <w:bCs/>
                <w:sz w:val="20"/>
                <w:szCs w:val="20"/>
                <w:lang w:val="fr-BE"/>
              </w:rPr>
            </w:pPr>
          </w:p>
          <w:p w14:paraId="0655FE8F" w14:textId="77777777" w:rsidR="00873667" w:rsidRDefault="00873667">
            <w:pPr>
              <w:spacing w:after="0" w:line="240" w:lineRule="auto"/>
              <w:jc w:val="both"/>
              <w:rPr>
                <w:bCs/>
                <w:sz w:val="20"/>
                <w:szCs w:val="20"/>
                <w:rFonts w:asciiTheme="minorHAnsi" w:hAnsiTheme="minorHAnsi"/>
              </w:rPr>
            </w:pPr>
            <w:r>
              <w:rPr>
                <w:sz w:val="20"/>
                <w:rFonts w:asciiTheme="minorHAnsi" w:hAnsiTheme="minorHAnsi"/>
              </w:rPr>
              <w:t xml:space="preserve">§ 2.</w:t>
            </w:r>
            <w:r>
              <w:rPr>
                <w:sz w:val="20"/>
                <w:rFonts w:asciiTheme="minorHAnsi" w:hAnsiTheme="minorHAnsi"/>
              </w:rPr>
              <w:t xml:space="preserve"> </w:t>
            </w:r>
            <w:r>
              <w:rPr>
                <w:sz w:val="20"/>
                <w:rFonts w:asciiTheme="minorHAnsi" w:hAnsiTheme="minorHAnsi"/>
              </w:rPr>
              <w:t xml:space="preserve">W tym samym rozporządzeniu pod nagłówkiem dodanym w ust. 1 dodaje się art. 8a w brzmieniu:</w:t>
            </w:r>
          </w:p>
          <w:p w14:paraId="2C135F09" w14:textId="77777777" w:rsidR="00873667" w:rsidRDefault="00873667">
            <w:pPr>
              <w:spacing w:after="0" w:line="240" w:lineRule="auto"/>
              <w:ind w:left="200"/>
              <w:jc w:val="both"/>
              <w:rPr>
                <w:bCs/>
                <w:sz w:val="20"/>
                <w:szCs w:val="20"/>
                <w:rFonts w:asciiTheme="minorHAnsi" w:hAnsiTheme="minorHAnsi"/>
              </w:rPr>
            </w:pPr>
            <w:r>
              <w:rPr>
                <w:sz w:val="20"/>
                <w:rFonts w:asciiTheme="minorHAnsi" w:hAnsiTheme="minorHAnsi"/>
              </w:rPr>
              <w:t xml:space="preserve">„</w:t>
            </w:r>
            <w:r>
              <w:rPr>
                <w:sz w:val="20"/>
                <w:rFonts w:asciiTheme="minorHAnsi" w:hAnsiTheme="minorHAnsi"/>
              </w:rPr>
              <w:t xml:space="preserve"> </w:t>
            </w:r>
            <w:r>
              <w:rPr>
                <w:sz w:val="20"/>
                <w:rFonts w:asciiTheme="minorHAnsi" w:hAnsiTheme="minorHAnsi"/>
              </w:rPr>
              <w:t xml:space="preserve">Artykuł 8a.</w:t>
            </w:r>
            <w:r>
              <w:rPr>
                <w:sz w:val="20"/>
                <w:rFonts w:asciiTheme="minorHAnsi" w:hAnsiTheme="minorHAnsi"/>
              </w:rPr>
              <w:t xml:space="preserve"> </w:t>
            </w:r>
            <w:r>
              <w:rPr>
                <w:sz w:val="20"/>
                <w:rFonts w:asciiTheme="minorHAnsi" w:hAnsiTheme="minorHAnsi"/>
              </w:rPr>
              <w:t xml:space="preserve">Operatorzy, których lista jest ustalana przez rząd, są zobowiązani do prowadzenia i wspierania kampanii informacyjnych w celu podniesienia świadomości na temat zapobiegania powstawaniu odpadów wynikających z ich działalności, w szczególności w świetle rozwoju technologicznego i odnawiania podłączonych urządzeń.</w:t>
            </w:r>
            <w:r>
              <w:rPr>
                <w:sz w:val="20"/>
                <w:rFonts w:asciiTheme="minorHAnsi" w:hAnsiTheme="minorHAnsi"/>
              </w:rPr>
              <w:t xml:space="preserve"> </w:t>
            </w:r>
          </w:p>
          <w:p w14:paraId="7E31B7BE" w14:textId="77777777" w:rsidR="00873667" w:rsidRDefault="00873667">
            <w:pPr>
              <w:spacing w:after="0" w:line="240" w:lineRule="auto"/>
              <w:ind w:left="200"/>
              <w:jc w:val="both"/>
              <w:rPr>
                <w:bCs/>
                <w:sz w:val="20"/>
                <w:szCs w:val="20"/>
                <w:rFonts w:asciiTheme="minorHAnsi" w:hAnsiTheme="minorHAnsi"/>
              </w:rPr>
            </w:pPr>
            <w:r>
              <w:rPr>
                <w:sz w:val="20"/>
                <w:rFonts w:asciiTheme="minorHAnsi" w:hAnsiTheme="minorHAnsi"/>
              </w:rPr>
              <w:t xml:space="preserve">Kampanie informacyjne informują społeczeństwo w szczególności o racjonalnym pod względem środowiskowym użytkowaniu wyrobów, wartości ponownego użycia i przygotowania do ponownego użycia podłączonych urządzeń, a ostatecznie o systemach zbierania i gospodarowania odpadami.</w:t>
            </w:r>
            <w:r>
              <w:rPr>
                <w:sz w:val="20"/>
                <w:rFonts w:asciiTheme="minorHAnsi" w:hAnsiTheme="minorHAnsi"/>
              </w:rPr>
              <w:t xml:space="preserve"> </w:t>
            </w:r>
          </w:p>
          <w:p w14:paraId="54630306" w14:textId="77777777" w:rsidR="00873667" w:rsidRDefault="00873667">
            <w:pPr>
              <w:spacing w:after="0" w:line="240" w:lineRule="auto"/>
              <w:ind w:left="200"/>
              <w:jc w:val="both"/>
              <w:rPr>
                <w:bCs/>
                <w:sz w:val="20"/>
                <w:szCs w:val="20"/>
                <w:rFonts w:asciiTheme="minorHAnsi" w:hAnsiTheme="minorHAnsi"/>
              </w:rPr>
            </w:pPr>
            <w:r>
              <w:rPr>
                <w:sz w:val="20"/>
                <w:rFonts w:asciiTheme="minorHAnsi" w:hAnsiTheme="minorHAnsi"/>
              </w:rPr>
              <w:t xml:space="preserve">Rząd może określić treść, częstotliwość i warunki kampanii informacyjnych, które mają być realizowane, a także ich odbiorców docelowych zgodnie z pożądanymi celami.”;</w:t>
            </w:r>
          </w:p>
          <w:p w14:paraId="7577DD4F" w14:textId="77777777" w:rsidR="00873667" w:rsidRDefault="00873667">
            <w:pPr>
              <w:spacing w:after="0" w:line="240" w:lineRule="auto"/>
              <w:jc w:val="both"/>
              <w:rPr>
                <w:rFonts w:asciiTheme="minorHAnsi" w:hAnsiTheme="minorHAnsi"/>
                <w:bCs/>
                <w:sz w:val="20"/>
                <w:szCs w:val="20"/>
                <w:lang w:val="fr-BE"/>
              </w:rPr>
            </w:pPr>
          </w:p>
          <w:p w14:paraId="127221A1" w14:textId="77777777" w:rsidR="00873667" w:rsidRDefault="00873667">
            <w:pPr>
              <w:spacing w:after="0" w:line="240" w:lineRule="auto"/>
              <w:jc w:val="both"/>
              <w:rPr>
                <w:bCs/>
                <w:sz w:val="20"/>
                <w:szCs w:val="20"/>
                <w:rFonts w:asciiTheme="minorHAnsi" w:hAnsiTheme="minorHAnsi"/>
              </w:rPr>
            </w:pPr>
            <w:r>
              <w:rPr>
                <w:sz w:val="20"/>
                <w:rFonts w:asciiTheme="minorHAnsi" w:hAnsiTheme="minorHAnsi"/>
              </w:rPr>
              <w:t xml:space="preserve">§ 3.</w:t>
            </w:r>
            <w:r>
              <w:rPr>
                <w:sz w:val="20"/>
                <w:rFonts w:asciiTheme="minorHAnsi" w:hAnsiTheme="minorHAnsi"/>
              </w:rPr>
              <w:t xml:space="preserve"> </w:t>
            </w:r>
            <w:r>
              <w:rPr>
                <w:sz w:val="20"/>
                <w:rFonts w:asciiTheme="minorHAnsi" w:hAnsiTheme="minorHAnsi"/>
              </w:rPr>
              <w:t xml:space="preserve">W tym samym rozporządzeniu pod nagłówkiem dodanym w ust. 1 dodaje się art. 8b w brzmieniu:</w:t>
            </w:r>
            <w:r>
              <w:rPr>
                <w:sz w:val="20"/>
                <w:rFonts w:asciiTheme="minorHAnsi" w:hAnsiTheme="minorHAnsi"/>
              </w:rPr>
              <w:t xml:space="preserve"> </w:t>
            </w:r>
          </w:p>
          <w:p w14:paraId="3F80CFC4" w14:textId="77777777" w:rsidR="00873667" w:rsidRDefault="00873667">
            <w:pPr>
              <w:spacing w:after="0" w:line="240" w:lineRule="auto"/>
              <w:ind w:left="200"/>
              <w:jc w:val="both"/>
              <w:rPr>
                <w:bCs/>
                <w:sz w:val="20"/>
                <w:szCs w:val="20"/>
                <w:rFonts w:asciiTheme="minorHAnsi" w:hAnsiTheme="minorHAnsi"/>
              </w:rPr>
            </w:pPr>
            <w:r>
              <w:rPr>
                <w:sz w:val="20"/>
                <w:rFonts w:asciiTheme="minorHAnsi" w:hAnsiTheme="minorHAnsi"/>
              </w:rPr>
              <w:t xml:space="preserve">„</w:t>
            </w:r>
            <w:r>
              <w:rPr>
                <w:sz w:val="20"/>
                <w:rFonts w:asciiTheme="minorHAnsi" w:hAnsiTheme="minorHAnsi"/>
              </w:rPr>
              <w:t xml:space="preserve"> </w:t>
            </w:r>
            <w:r>
              <w:rPr>
                <w:sz w:val="20"/>
                <w:rFonts w:asciiTheme="minorHAnsi" w:hAnsiTheme="minorHAnsi"/>
              </w:rPr>
              <w:t xml:space="preserve">Artykuł 8b.</w:t>
            </w:r>
            <w:r>
              <w:rPr>
                <w:sz w:val="20"/>
                <w:rFonts w:asciiTheme="minorHAnsi" w:hAnsiTheme="minorHAnsi"/>
              </w:rPr>
              <w:t xml:space="preserve"> </w:t>
            </w:r>
            <w:r>
              <w:rPr>
                <w:sz w:val="20"/>
                <w:rFonts w:asciiTheme="minorHAnsi" w:hAnsiTheme="minorHAnsi"/>
              </w:rPr>
              <w:t xml:space="preserve">Operatorzy, których lista jest ustalana przez rząd, są zobowiązani do sporządzania statystyk dotyczących wyrobów, które wprowadzają do obrotu i które są zbierane jako odpady lub są ponownie wykorzystywane, w rozumieniu przepisów rozporządzenia z dnia 14 czerwca 2012 r. w sprawie odpadów.”;</w:t>
            </w:r>
            <w:r>
              <w:rPr>
                <w:sz w:val="20"/>
                <w:rFonts w:asciiTheme="minorHAnsi" w:hAnsiTheme="minorHAnsi"/>
              </w:rPr>
              <w:t xml:space="preserve"> </w:t>
            </w:r>
          </w:p>
          <w:p w14:paraId="4BAF6779" w14:textId="77777777" w:rsidR="00873667" w:rsidRDefault="00873667">
            <w:pPr>
              <w:spacing w:after="0" w:line="240" w:lineRule="auto"/>
              <w:jc w:val="both"/>
              <w:rPr>
                <w:rFonts w:asciiTheme="minorHAnsi" w:hAnsiTheme="minorHAnsi"/>
                <w:bCs/>
                <w:sz w:val="20"/>
                <w:szCs w:val="20"/>
                <w:lang w:val="fr-BE"/>
              </w:rPr>
            </w:pPr>
          </w:p>
          <w:p w14:paraId="23215B8F" w14:textId="77777777" w:rsidR="00873667" w:rsidRDefault="00873667">
            <w:pPr>
              <w:spacing w:after="0" w:line="240" w:lineRule="auto"/>
              <w:jc w:val="both"/>
              <w:rPr>
                <w:bCs/>
                <w:sz w:val="20"/>
                <w:szCs w:val="20"/>
                <w:rFonts w:asciiTheme="minorHAnsi" w:hAnsiTheme="minorHAnsi"/>
              </w:rPr>
            </w:pPr>
            <w:r>
              <w:rPr>
                <w:sz w:val="20"/>
                <w:rFonts w:asciiTheme="minorHAnsi" w:hAnsiTheme="minorHAnsi"/>
              </w:rPr>
              <w:t xml:space="preserve">§ 4.</w:t>
            </w:r>
            <w:r>
              <w:rPr>
                <w:sz w:val="20"/>
                <w:rFonts w:asciiTheme="minorHAnsi" w:hAnsiTheme="minorHAnsi"/>
              </w:rPr>
              <w:t xml:space="preserve"> </w:t>
            </w:r>
            <w:r>
              <w:rPr>
                <w:sz w:val="20"/>
                <w:rFonts w:asciiTheme="minorHAnsi" w:hAnsiTheme="minorHAnsi"/>
              </w:rPr>
              <w:t xml:space="preserve">W tym samym rozporządzeniu pod nagłówkiem dodanym w ust. 1 dodaje się art. 8c w brzmieniu:</w:t>
            </w:r>
            <w:r>
              <w:rPr>
                <w:sz w:val="20"/>
                <w:rFonts w:asciiTheme="minorHAnsi" w:hAnsiTheme="minorHAnsi"/>
              </w:rPr>
              <w:t xml:space="preserve"> </w:t>
            </w:r>
          </w:p>
          <w:p w14:paraId="51C2452E" w14:textId="77777777" w:rsidR="00873667" w:rsidRDefault="00873667">
            <w:pPr>
              <w:spacing w:after="0" w:line="240" w:lineRule="auto"/>
              <w:ind w:left="200"/>
              <w:jc w:val="both"/>
              <w:rPr>
                <w:bCs/>
                <w:sz w:val="20"/>
                <w:szCs w:val="20"/>
                <w:rFonts w:asciiTheme="minorHAnsi" w:hAnsiTheme="minorHAnsi"/>
              </w:rPr>
            </w:pPr>
            <w:r>
              <w:rPr>
                <w:sz w:val="20"/>
                <w:rFonts w:asciiTheme="minorHAnsi" w:hAnsiTheme="minorHAnsi"/>
              </w:rPr>
              <w:t xml:space="preserve">„</w:t>
            </w:r>
            <w:r>
              <w:rPr>
                <w:sz w:val="20"/>
                <w:rFonts w:asciiTheme="minorHAnsi" w:hAnsiTheme="minorHAnsi"/>
              </w:rPr>
              <w:t xml:space="preserve"> </w:t>
            </w:r>
            <w:r>
              <w:rPr>
                <w:sz w:val="20"/>
                <w:rFonts w:asciiTheme="minorHAnsi" w:hAnsiTheme="minorHAnsi"/>
              </w:rPr>
              <w:t xml:space="preserve">Artykuł 8c.</w:t>
            </w:r>
            <w:r>
              <w:rPr>
                <w:sz w:val="20"/>
                <w:rFonts w:asciiTheme="minorHAnsi" w:hAnsiTheme="minorHAnsi"/>
              </w:rPr>
              <w:t xml:space="preserve"> </w:t>
            </w:r>
            <w:r>
              <w:rPr>
                <w:sz w:val="20"/>
                <w:rFonts w:asciiTheme="minorHAnsi" w:hAnsiTheme="minorHAnsi"/>
              </w:rPr>
              <w:t xml:space="preserve">Najpóźniej do dnia 1 kwietnia każdego roku operatorzy, oddzielnie lub łącznie, przedkładają Bruxelles Environnement roczne sprawozdanie za poprzedni rok (okres od 1 stycznia do 31 grudnia) zawierające w szczególności szczegółowe informacje na temat zrealizowanych działań, wydanych kwot i odnotowanych skutków w związku ze środkami wdrożonymi na mocy art. 8a, a także sprawozdanie dotyczące danych statystycznych, o których mowa w art. 8b.</w:t>
            </w:r>
          </w:p>
          <w:p w14:paraId="24E4D373" w14:textId="77777777" w:rsidR="00873667" w:rsidRDefault="00873667">
            <w:pPr>
              <w:spacing w:after="0" w:line="240" w:lineRule="auto"/>
              <w:ind w:left="200"/>
              <w:jc w:val="both"/>
              <w:rPr>
                <w:bCs/>
                <w:sz w:val="20"/>
                <w:szCs w:val="20"/>
                <w:rFonts w:asciiTheme="minorHAnsi" w:hAnsiTheme="minorHAnsi"/>
              </w:rPr>
            </w:pPr>
            <w:r>
              <w:rPr>
                <w:sz w:val="20"/>
                <w:rFonts w:asciiTheme="minorHAnsi" w:hAnsiTheme="minorHAnsi"/>
              </w:rPr>
              <w:t xml:space="preserve">Rząd może określić treść sprawozdania rocznego, o którym mowa w poprzednim akapicie, i zapewnić dalsze informacje, które mają być zawarte w tym sprawozdaniu.”.</w:t>
            </w:r>
            <w:r>
              <w:rPr>
                <w:sz w:val="20"/>
                <w:rFonts w:asciiTheme="minorHAnsi" w:hAnsiTheme="minorHAnsi"/>
              </w:rPr>
              <w:t xml:space="preserve"> </w:t>
            </w:r>
          </w:p>
          <w:p w14:paraId="79909F2B" w14:textId="77777777" w:rsidR="00873667" w:rsidRDefault="00873667">
            <w:pPr>
              <w:spacing w:after="0" w:line="240" w:lineRule="auto"/>
              <w:jc w:val="both"/>
              <w:rPr>
                <w:rFonts w:asciiTheme="minorHAnsi" w:hAnsiTheme="minorHAnsi"/>
                <w:b/>
                <w:sz w:val="20"/>
                <w:szCs w:val="20"/>
                <w:lang w:val="fr-BE"/>
              </w:rPr>
            </w:pPr>
          </w:p>
        </w:tc>
      </w:tr>
      <w:tr w:rsidR="00873667" w:rsidRPr="00404725" w14:paraId="471265F9" w14:textId="77777777" w:rsidTr="00873667">
        <w:tc>
          <w:tcPr>
            <w:tcW w:w="4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82BBF9" w14:textId="77777777" w:rsidR="00873667" w:rsidRDefault="00873667">
            <w:pPr>
              <w:spacing w:after="0" w:line="240" w:lineRule="auto"/>
              <w:jc w:val="both"/>
              <w:rPr>
                <w:b/>
                <w:sz w:val="20"/>
                <w:szCs w:val="20"/>
                <w:rFonts w:asciiTheme="minorHAnsi" w:hAnsiTheme="minorHAnsi"/>
              </w:rPr>
            </w:pPr>
            <w:r>
              <w:rPr>
                <w:b/>
                <w:sz w:val="20"/>
                <w:rFonts w:asciiTheme="minorHAnsi" w:hAnsiTheme="minorHAnsi"/>
              </w:rPr>
              <w:t xml:space="preserve">Artykuł 9.</w:t>
            </w:r>
          </w:p>
          <w:p w14:paraId="17721ADF" w14:textId="77777777" w:rsidR="00873667" w:rsidRDefault="00873667">
            <w:pPr>
              <w:spacing w:after="0" w:line="240" w:lineRule="auto"/>
              <w:jc w:val="both"/>
              <w:rPr>
                <w:sz w:val="20"/>
                <w:szCs w:val="20"/>
                <w:rFonts w:asciiTheme="minorHAnsi" w:hAnsiTheme="minorHAnsi"/>
              </w:rPr>
            </w:pPr>
            <w:r>
              <w:rPr>
                <w:sz w:val="20"/>
                <w:rFonts w:asciiTheme="minorHAnsi" w:hAnsiTheme="minorHAnsi"/>
              </w:rPr>
              <w:t xml:space="preserve">§ 1.</w:t>
            </w:r>
            <w:r>
              <w:rPr>
                <w:sz w:val="20"/>
                <w:rFonts w:asciiTheme="minorHAnsi" w:hAnsiTheme="minorHAnsi"/>
              </w:rPr>
              <w:t xml:space="preserve"> </w:t>
            </w:r>
            <w:r>
              <w:rPr>
                <w:sz w:val="20"/>
                <w:rFonts w:asciiTheme="minorHAnsi" w:hAnsiTheme="minorHAnsi"/>
              </w:rPr>
              <w:t xml:space="preserve">Nagłówek „Naruszenie i sankcje karne” między art. 8 i art. 9 tego rozporządzenia zastępuje się nagłówkiem „Naruszenie”.</w:t>
            </w:r>
            <w:r>
              <w:rPr>
                <w:sz w:val="20"/>
                <w:rFonts w:asciiTheme="minorHAnsi" w:hAnsiTheme="minorHAnsi"/>
              </w:rPr>
              <w:t xml:space="preserve"> </w:t>
            </w:r>
          </w:p>
          <w:p w14:paraId="0F7DA792" w14:textId="77777777" w:rsidR="00873667" w:rsidRDefault="00873667">
            <w:pPr>
              <w:spacing w:after="0" w:line="240" w:lineRule="auto"/>
              <w:jc w:val="both"/>
              <w:rPr>
                <w:rFonts w:asciiTheme="minorHAnsi" w:hAnsiTheme="minorHAnsi"/>
                <w:sz w:val="20"/>
                <w:szCs w:val="20"/>
                <w:lang w:val="fr-BE"/>
              </w:rPr>
            </w:pPr>
          </w:p>
          <w:p w14:paraId="6292353F" w14:textId="77777777" w:rsidR="00873667" w:rsidRDefault="00873667">
            <w:pPr>
              <w:spacing w:after="0" w:line="240" w:lineRule="auto"/>
              <w:jc w:val="both"/>
              <w:rPr>
                <w:sz w:val="20"/>
                <w:szCs w:val="20"/>
                <w:rFonts w:asciiTheme="minorHAnsi" w:hAnsiTheme="minorHAnsi"/>
              </w:rPr>
            </w:pPr>
            <w:r>
              <w:rPr>
                <w:sz w:val="20"/>
                <w:rFonts w:asciiTheme="minorHAnsi" w:hAnsiTheme="minorHAnsi"/>
              </w:rPr>
              <w:t xml:space="preserve">§ 2.</w:t>
            </w:r>
            <w:r>
              <w:rPr>
                <w:sz w:val="20"/>
                <w:rFonts w:asciiTheme="minorHAnsi" w:hAnsiTheme="minorHAnsi"/>
              </w:rPr>
              <w:t xml:space="preserve"> </w:t>
            </w:r>
            <w:r>
              <w:rPr>
                <w:sz w:val="20"/>
                <w:rFonts w:asciiTheme="minorHAnsi" w:hAnsiTheme="minorHAnsi"/>
              </w:rPr>
              <w:t xml:space="preserve">Artykuł 9 tego samego rozporządzenia otrzymuje brzmienie:</w:t>
            </w:r>
            <w:r>
              <w:rPr>
                <w:sz w:val="20"/>
                <w:rFonts w:asciiTheme="minorHAnsi" w:hAnsiTheme="minorHAnsi"/>
              </w:rPr>
              <w:t xml:space="preserve"> </w:t>
            </w:r>
          </w:p>
          <w:p w14:paraId="1E11AE58" w14:textId="77777777" w:rsidR="00873667" w:rsidRDefault="00873667">
            <w:pPr>
              <w:spacing w:after="0" w:line="240" w:lineRule="auto"/>
              <w:ind w:left="200"/>
              <w:jc w:val="both"/>
              <w:rPr>
                <w:sz w:val="20"/>
                <w:szCs w:val="20"/>
                <w:rFonts w:asciiTheme="minorHAnsi" w:hAnsiTheme="minorHAnsi"/>
              </w:rPr>
            </w:pPr>
            <w:r>
              <w:rPr>
                <w:sz w:val="20"/>
                <w:rFonts w:asciiTheme="minorHAnsi" w:hAnsiTheme="minorHAnsi"/>
              </w:rPr>
              <w:t xml:space="preserve">„</w:t>
            </w:r>
            <w:r>
              <w:rPr>
                <w:sz w:val="20"/>
                <w:rFonts w:asciiTheme="minorHAnsi" w:hAnsiTheme="minorHAnsi"/>
              </w:rPr>
              <w:t xml:space="preserve"> </w:t>
            </w:r>
            <w:r>
              <w:rPr>
                <w:sz w:val="20"/>
                <w:rFonts w:asciiTheme="minorHAnsi" w:hAnsiTheme="minorHAnsi"/>
              </w:rPr>
              <w:t xml:space="preserve">Podlega karze przewidzianej w art. 31 ust. 1 kodeksu z dnia 25 marca 1999 r. o kontroli, zapobieganiu, wykrywaniu i karaniu przestępstw przeciwko środowisku i odpowiedzialności za środowisko, który:</w:t>
            </w:r>
          </w:p>
          <w:p w14:paraId="275A347F" w14:textId="77777777" w:rsidR="00873667" w:rsidRDefault="00873667" w:rsidP="00242999">
            <w:pPr>
              <w:pStyle w:val="ListParagraph"/>
              <w:numPr>
                <w:ilvl w:val="0"/>
                <w:numId w:val="5"/>
              </w:numPr>
              <w:spacing w:after="0" w:line="240" w:lineRule="auto"/>
              <w:jc w:val="both"/>
              <w:rPr>
                <w:sz w:val="20"/>
                <w:szCs w:val="20"/>
                <w:rFonts w:asciiTheme="minorHAnsi" w:hAnsiTheme="minorHAnsi"/>
              </w:rPr>
            </w:pPr>
            <w:r>
              <w:rPr>
                <w:sz w:val="20"/>
                <w:rFonts w:asciiTheme="minorHAnsi" w:hAnsiTheme="minorHAnsi"/>
              </w:rPr>
              <w:t xml:space="preserve">nie spełnia norm, o których mowa w art. 3 lub środków wykonawczych do niego;</w:t>
            </w:r>
          </w:p>
          <w:p w14:paraId="4A9CAD66" w14:textId="77777777" w:rsidR="00873667" w:rsidRDefault="00873667" w:rsidP="00242999">
            <w:pPr>
              <w:pStyle w:val="ListParagraph"/>
              <w:numPr>
                <w:ilvl w:val="0"/>
                <w:numId w:val="5"/>
              </w:numPr>
              <w:spacing w:after="0" w:line="240" w:lineRule="auto"/>
              <w:jc w:val="both"/>
              <w:rPr>
                <w:sz w:val="20"/>
                <w:szCs w:val="20"/>
                <w:rFonts w:asciiTheme="minorHAnsi" w:hAnsiTheme="minorHAnsi"/>
              </w:rPr>
            </w:pPr>
            <w:r>
              <w:rPr>
                <w:sz w:val="20"/>
                <w:rFonts w:asciiTheme="minorHAnsi" w:hAnsiTheme="minorHAnsi"/>
              </w:rPr>
              <w:t xml:space="preserve">nie wypełnia obowiązków informacyjnych, o których mowa w art. 4 lub środków wykonawczych do niego;</w:t>
            </w:r>
          </w:p>
          <w:p w14:paraId="77B503E8" w14:textId="77777777" w:rsidR="00873667" w:rsidRDefault="00873667" w:rsidP="00242999">
            <w:pPr>
              <w:pStyle w:val="ListParagraph"/>
              <w:numPr>
                <w:ilvl w:val="0"/>
                <w:numId w:val="5"/>
              </w:numPr>
              <w:spacing w:after="0" w:line="240" w:lineRule="auto"/>
              <w:jc w:val="both"/>
              <w:rPr>
                <w:sz w:val="20"/>
                <w:szCs w:val="20"/>
                <w:rFonts w:asciiTheme="minorHAnsi" w:hAnsiTheme="minorHAnsi"/>
              </w:rPr>
            </w:pPr>
            <w:r>
              <w:rPr>
                <w:sz w:val="20"/>
                <w:rFonts w:asciiTheme="minorHAnsi" w:hAnsiTheme="minorHAnsi"/>
              </w:rPr>
              <w:t xml:space="preserve">nie spełnia norm eksploatacyjnych, o których mowa w art. 5 lub środków wykonawczych do niego;</w:t>
            </w:r>
          </w:p>
          <w:p w14:paraId="7663E406" w14:textId="77777777" w:rsidR="00873667" w:rsidRDefault="00873667" w:rsidP="00242999">
            <w:pPr>
              <w:pStyle w:val="ListParagraph"/>
              <w:numPr>
                <w:ilvl w:val="0"/>
                <w:numId w:val="5"/>
              </w:numPr>
              <w:spacing w:after="0" w:line="240" w:lineRule="auto"/>
              <w:jc w:val="both"/>
              <w:rPr>
                <w:sz w:val="20"/>
                <w:szCs w:val="20"/>
                <w:rFonts w:asciiTheme="minorHAnsi" w:hAnsiTheme="minorHAnsi"/>
              </w:rPr>
            </w:pPr>
            <w:r>
              <w:rPr>
                <w:sz w:val="20"/>
                <w:rFonts w:asciiTheme="minorHAnsi" w:hAnsiTheme="minorHAnsi"/>
              </w:rPr>
              <w:t xml:space="preserve">nie wypełnia obowiązków w zakresie komunikacji i sprawozdawczości, o których mowa w art. 8a, 8b i 8c lub środków wykonawczych do nich;</w:t>
            </w:r>
            <w:r>
              <w:rPr>
                <w:sz w:val="20"/>
                <w:rFonts w:asciiTheme="minorHAnsi" w:hAnsiTheme="minorHAnsi"/>
              </w:rPr>
              <w:t xml:space="preserve"> </w:t>
            </w:r>
          </w:p>
          <w:p w14:paraId="712FA70C" w14:textId="77777777" w:rsidR="00873667" w:rsidRDefault="00873667" w:rsidP="00242999">
            <w:pPr>
              <w:pStyle w:val="ListParagraph"/>
              <w:numPr>
                <w:ilvl w:val="0"/>
                <w:numId w:val="5"/>
              </w:numPr>
              <w:spacing w:after="0" w:line="240" w:lineRule="auto"/>
              <w:jc w:val="both"/>
              <w:rPr>
                <w:sz w:val="20"/>
                <w:szCs w:val="20"/>
                <w:rFonts w:asciiTheme="minorHAnsi" w:hAnsiTheme="minorHAnsi"/>
              </w:rPr>
            </w:pPr>
            <w:r>
              <w:rPr>
                <w:sz w:val="20"/>
                <w:rFonts w:asciiTheme="minorHAnsi" w:hAnsiTheme="minorHAnsi"/>
              </w:rPr>
              <w:t xml:space="preserve">nie spełnia ogólnych norm lub warunków, o których mowa w art. 7 lub środków wykonawczych do niego.”.</w:t>
            </w:r>
          </w:p>
          <w:p w14:paraId="4C2874B7" w14:textId="77777777" w:rsidR="00873667" w:rsidRDefault="00873667">
            <w:pPr>
              <w:spacing w:after="0" w:line="240" w:lineRule="auto"/>
              <w:jc w:val="both"/>
              <w:rPr>
                <w:rFonts w:asciiTheme="minorHAnsi" w:hAnsiTheme="minorHAnsi"/>
                <w:b/>
                <w:sz w:val="20"/>
                <w:szCs w:val="20"/>
                <w:lang w:val="fr-BE"/>
              </w:rPr>
            </w:pPr>
          </w:p>
        </w:tc>
      </w:tr>
      <w:tr w:rsidR="00873667" w:rsidRPr="00404725" w14:paraId="2D02939A" w14:textId="77777777" w:rsidTr="00873667">
        <w:tc>
          <w:tcPr>
            <w:tcW w:w="4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7DEE4F7" w14:textId="77777777" w:rsidR="00873667" w:rsidRDefault="00873667">
            <w:pPr>
              <w:spacing w:after="0" w:line="240" w:lineRule="auto"/>
              <w:jc w:val="both"/>
              <w:rPr>
                <w:b/>
                <w:sz w:val="20"/>
                <w:szCs w:val="20"/>
                <w:rFonts w:asciiTheme="minorHAnsi" w:hAnsiTheme="minorHAnsi"/>
              </w:rPr>
            </w:pPr>
            <w:r>
              <w:rPr>
                <w:b/>
                <w:sz w:val="20"/>
                <w:rFonts w:asciiTheme="minorHAnsi" w:hAnsiTheme="minorHAnsi"/>
              </w:rPr>
              <w:t xml:space="preserve">Rozdział 3.</w:t>
            </w:r>
            <w:r>
              <w:rPr>
                <w:b/>
                <w:sz w:val="20"/>
                <w:rFonts w:asciiTheme="minorHAnsi" w:hAnsiTheme="minorHAnsi"/>
              </w:rPr>
              <w:t xml:space="preserve"> </w:t>
            </w:r>
            <w:r>
              <w:rPr>
                <w:b/>
                <w:sz w:val="20"/>
                <w:rFonts w:asciiTheme="minorHAnsi" w:hAnsiTheme="minorHAnsi"/>
              </w:rPr>
              <w:t xml:space="preserve">Zmiana rozporządzenia z dnia 5 czerwca 1997 r. dotyczącego pozwoleń środowiskowych</w:t>
            </w:r>
          </w:p>
        </w:tc>
      </w:tr>
      <w:tr w:rsidR="00873667" w:rsidRPr="00404725" w14:paraId="26B50698" w14:textId="77777777" w:rsidTr="00873667">
        <w:tc>
          <w:tcPr>
            <w:tcW w:w="4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E53371" w14:textId="77777777" w:rsidR="00873667" w:rsidRDefault="00873667">
            <w:pPr>
              <w:spacing w:after="0" w:line="240" w:lineRule="auto"/>
              <w:jc w:val="both"/>
              <w:rPr>
                <w:b/>
                <w:sz w:val="20"/>
                <w:szCs w:val="20"/>
                <w:rFonts w:asciiTheme="minorHAnsi" w:hAnsiTheme="minorHAnsi"/>
              </w:rPr>
            </w:pPr>
            <w:r>
              <w:rPr>
                <w:b/>
                <w:sz w:val="20"/>
                <w:rFonts w:asciiTheme="minorHAnsi" w:hAnsiTheme="minorHAnsi"/>
              </w:rPr>
              <w:t xml:space="preserve">Artykuł 10.</w:t>
            </w:r>
          </w:p>
          <w:p w14:paraId="31F34E3E" w14:textId="77777777" w:rsidR="00873667" w:rsidRDefault="00873667">
            <w:pPr>
              <w:spacing w:after="0" w:line="240" w:lineRule="auto"/>
              <w:jc w:val="both"/>
              <w:rPr>
                <w:bCs/>
                <w:sz w:val="20"/>
                <w:szCs w:val="20"/>
                <w:rFonts w:asciiTheme="minorHAnsi" w:hAnsiTheme="minorHAnsi"/>
              </w:rPr>
            </w:pPr>
            <w:r>
              <w:rPr>
                <w:sz w:val="20"/>
                <w:rFonts w:asciiTheme="minorHAnsi" w:hAnsiTheme="minorHAnsi"/>
              </w:rPr>
              <w:t xml:space="preserve">Artykuł 100 ust. 1 rozporządzenia z dnia 5 czerwca 1997 r. dotyczącego pozwoleń środowiskowych uzupełnia się akapitem w brzmieniu:</w:t>
            </w:r>
            <w:r>
              <w:rPr>
                <w:sz w:val="20"/>
                <w:rFonts w:asciiTheme="minorHAnsi" w:hAnsiTheme="minorHAnsi"/>
              </w:rPr>
              <w:t xml:space="preserve"> </w:t>
            </w:r>
          </w:p>
          <w:p w14:paraId="5E0D7258" w14:textId="77777777" w:rsidR="00873667" w:rsidRDefault="00873667">
            <w:pPr>
              <w:spacing w:after="0" w:line="240" w:lineRule="auto"/>
              <w:ind w:left="200"/>
              <w:jc w:val="both"/>
              <w:rPr>
                <w:bCs/>
                <w:sz w:val="20"/>
                <w:szCs w:val="20"/>
                <w:rFonts w:asciiTheme="minorHAnsi" w:hAnsiTheme="minorHAnsi"/>
              </w:rPr>
            </w:pPr>
            <w:r>
              <w:rPr>
                <w:sz w:val="20"/>
                <w:rFonts w:asciiTheme="minorHAnsi" w:hAnsiTheme="minorHAnsi"/>
              </w:rPr>
              <w:t xml:space="preserve">„</w:t>
            </w:r>
            <w:r>
              <w:rPr>
                <w:sz w:val="20"/>
                <w:rFonts w:asciiTheme="minorHAnsi" w:hAnsiTheme="minorHAnsi"/>
              </w:rPr>
              <w:t xml:space="preserve"> </w:t>
            </w:r>
            <w:r>
              <w:rPr>
                <w:sz w:val="20"/>
                <w:rFonts w:asciiTheme="minorHAnsi" w:hAnsiTheme="minorHAnsi"/>
              </w:rPr>
              <w:t xml:space="preserve">W drodze odstępstwa od ust. 1 za zgłoszenie klasy III lub klasy IC nie pobiera się opłaty za złożenie wniosku.”.</w:t>
            </w:r>
          </w:p>
          <w:p w14:paraId="44E8814B" w14:textId="77777777" w:rsidR="00873667" w:rsidRDefault="00873667">
            <w:pPr>
              <w:spacing w:after="0" w:line="240" w:lineRule="auto"/>
              <w:jc w:val="both"/>
              <w:rPr>
                <w:rFonts w:asciiTheme="minorHAnsi" w:hAnsiTheme="minorHAnsi"/>
                <w:b/>
                <w:sz w:val="20"/>
                <w:szCs w:val="20"/>
                <w:lang w:val="fr-BE"/>
              </w:rPr>
            </w:pPr>
          </w:p>
        </w:tc>
      </w:tr>
      <w:tr w:rsidR="00873667" w:rsidRPr="00404725" w14:paraId="42769B24" w14:textId="77777777" w:rsidTr="00873667">
        <w:tc>
          <w:tcPr>
            <w:tcW w:w="4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9CAC1B9" w14:textId="77777777" w:rsidR="00873667" w:rsidRDefault="00873667">
            <w:pPr>
              <w:spacing w:after="0" w:line="240" w:lineRule="auto"/>
              <w:jc w:val="both"/>
              <w:rPr>
                <w:b/>
                <w:sz w:val="20"/>
                <w:szCs w:val="20"/>
                <w:rFonts w:asciiTheme="minorHAnsi" w:hAnsiTheme="minorHAnsi"/>
              </w:rPr>
            </w:pPr>
            <w:r>
              <w:rPr>
                <w:b/>
                <w:sz w:val="20"/>
                <w:rFonts w:asciiTheme="minorHAnsi" w:hAnsiTheme="minorHAnsi"/>
              </w:rPr>
              <w:t xml:space="preserve">Rozdział 4.</w:t>
            </w:r>
            <w:r>
              <w:rPr>
                <w:b/>
                <w:sz w:val="20"/>
                <w:rFonts w:asciiTheme="minorHAnsi" w:hAnsiTheme="minorHAnsi"/>
              </w:rPr>
              <w:t xml:space="preserve"> </w:t>
            </w:r>
            <w:r>
              <w:rPr>
                <w:b/>
                <w:sz w:val="20"/>
                <w:rFonts w:asciiTheme="minorHAnsi" w:hAnsiTheme="minorHAnsi"/>
              </w:rPr>
              <w:t xml:space="preserve">Zmiana</w:t>
            </w:r>
            <w:r>
              <w:rPr>
                <w:b/>
                <w:sz w:val="20"/>
              </w:rPr>
              <w:t xml:space="preserve"> </w:t>
            </w:r>
            <w:r>
              <w:rPr>
                <w:b/>
                <w:sz w:val="20"/>
                <w:rFonts w:asciiTheme="minorHAnsi" w:hAnsiTheme="minorHAnsi"/>
              </w:rPr>
              <w:t xml:space="preserve">rozporządzenia z dnia 2 maja 2013 r. w sprawie brukselskiego kodeksu zarządzania powietrzem, klimatem i energią</w:t>
            </w:r>
          </w:p>
        </w:tc>
      </w:tr>
      <w:tr w:rsidR="00873667" w:rsidRPr="00404725" w14:paraId="7CDD59C4" w14:textId="77777777" w:rsidTr="00873667">
        <w:tc>
          <w:tcPr>
            <w:tcW w:w="4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2A921D" w14:textId="77777777" w:rsidR="00873667" w:rsidRDefault="00873667">
            <w:pPr>
              <w:spacing w:after="0" w:line="240" w:lineRule="auto"/>
              <w:jc w:val="both"/>
              <w:rPr>
                <w:b/>
                <w:sz w:val="20"/>
                <w:szCs w:val="20"/>
                <w:rFonts w:asciiTheme="minorHAnsi" w:hAnsiTheme="minorHAnsi"/>
              </w:rPr>
            </w:pPr>
            <w:r>
              <w:rPr>
                <w:b/>
                <w:sz w:val="20"/>
                <w:rFonts w:asciiTheme="minorHAnsi" w:hAnsiTheme="minorHAnsi"/>
              </w:rPr>
              <w:t xml:space="preserve">Artykuł 11.</w:t>
            </w:r>
            <w:r>
              <w:rPr>
                <w:b/>
                <w:sz w:val="20"/>
                <w:rFonts w:asciiTheme="minorHAnsi" w:hAnsiTheme="minorHAnsi"/>
              </w:rPr>
              <w:t xml:space="preserve"> </w:t>
            </w:r>
          </w:p>
          <w:p w14:paraId="0B343ACE" w14:textId="77777777" w:rsidR="00873667" w:rsidRDefault="00873667">
            <w:pPr>
              <w:spacing w:after="0" w:line="240" w:lineRule="auto"/>
              <w:jc w:val="both"/>
              <w:rPr>
                <w:bCs/>
                <w:sz w:val="20"/>
                <w:szCs w:val="20"/>
                <w:rFonts w:asciiTheme="minorHAnsi" w:hAnsiTheme="minorHAnsi"/>
              </w:rPr>
            </w:pPr>
            <w:r>
              <w:rPr>
                <w:sz w:val="20"/>
                <w:rFonts w:asciiTheme="minorHAnsi" w:hAnsiTheme="minorHAnsi"/>
              </w:rPr>
              <w:t xml:space="preserve">§ 1.</w:t>
            </w:r>
            <w:r>
              <w:rPr>
                <w:sz w:val="20"/>
                <w:rFonts w:asciiTheme="minorHAnsi" w:hAnsiTheme="minorHAnsi"/>
              </w:rPr>
              <w:t xml:space="preserve"> </w:t>
            </w:r>
            <w:r>
              <w:rPr>
                <w:sz w:val="20"/>
                <w:rFonts w:asciiTheme="minorHAnsi" w:hAnsiTheme="minorHAnsi"/>
              </w:rPr>
              <w:t xml:space="preserve">W księdze 2 tytuł 5 rozporządzenia z dnia 2 maja 2013 r. w sprawie brukselskiego kodeksu zarządzania powietrzem, klimatem i energią dodaje się rozdział 3 zatytułowany „Rozdział 3.</w:t>
            </w:r>
            <w:r>
              <w:rPr>
                <w:sz w:val="20"/>
                <w:rFonts w:asciiTheme="minorHAnsi" w:hAnsiTheme="minorHAnsi"/>
              </w:rPr>
              <w:t xml:space="preserve"> </w:t>
            </w:r>
            <w:r>
              <w:rPr>
                <w:sz w:val="20"/>
                <w:rFonts w:asciiTheme="minorHAnsi" w:hAnsiTheme="minorHAnsi"/>
              </w:rPr>
              <w:t xml:space="preserve">-</w:t>
            </w:r>
            <w:r>
              <w:rPr>
                <w:sz w:val="20"/>
                <w:rFonts w:asciiTheme="minorHAnsi" w:hAnsiTheme="minorHAnsi"/>
              </w:rPr>
              <w:t xml:space="preserve"> </w:t>
            </w:r>
            <w:r>
              <w:rPr>
                <w:sz w:val="20"/>
                <w:rFonts w:asciiTheme="minorHAnsi" w:hAnsiTheme="minorHAnsi"/>
              </w:rPr>
              <w:t xml:space="preserve">Zrównoważony i odpowiedzialny plan cyfrowy”.</w:t>
            </w:r>
          </w:p>
          <w:p w14:paraId="6DC0A343" w14:textId="77777777" w:rsidR="00873667" w:rsidRDefault="00873667">
            <w:pPr>
              <w:spacing w:after="0" w:line="240" w:lineRule="auto"/>
              <w:jc w:val="both"/>
              <w:rPr>
                <w:rFonts w:asciiTheme="minorHAnsi" w:hAnsiTheme="minorHAnsi"/>
                <w:bCs/>
                <w:sz w:val="20"/>
                <w:szCs w:val="20"/>
                <w:lang w:val="fr-BE"/>
              </w:rPr>
            </w:pPr>
          </w:p>
          <w:p w14:paraId="1244248C" w14:textId="77777777" w:rsidR="00873667" w:rsidRDefault="00873667">
            <w:pPr>
              <w:spacing w:after="0" w:line="240" w:lineRule="auto"/>
              <w:jc w:val="both"/>
              <w:rPr>
                <w:bCs/>
                <w:sz w:val="20"/>
                <w:szCs w:val="20"/>
                <w:rFonts w:asciiTheme="minorHAnsi" w:hAnsiTheme="minorHAnsi"/>
              </w:rPr>
            </w:pPr>
            <w:r>
              <w:rPr>
                <w:sz w:val="20"/>
                <w:rFonts w:asciiTheme="minorHAnsi" w:hAnsiTheme="minorHAnsi"/>
              </w:rPr>
              <w:t xml:space="preserve">§ 2.</w:t>
            </w:r>
            <w:r>
              <w:rPr>
                <w:sz w:val="20"/>
                <w:rFonts w:asciiTheme="minorHAnsi" w:hAnsiTheme="minorHAnsi"/>
              </w:rPr>
              <w:t xml:space="preserve"> </w:t>
            </w:r>
            <w:r>
              <w:rPr>
                <w:sz w:val="20"/>
                <w:rFonts w:asciiTheme="minorHAnsi" w:hAnsiTheme="minorHAnsi"/>
              </w:rPr>
              <w:t xml:space="preserve">W rozdziale 3 dodanym w ust. 1 dodaje się art. 2.5.8 w brzmieniu:</w:t>
            </w:r>
            <w:r>
              <w:rPr>
                <w:sz w:val="20"/>
                <w:rFonts w:asciiTheme="minorHAnsi" w:hAnsiTheme="minorHAnsi"/>
              </w:rPr>
              <w:t xml:space="preserve"> </w:t>
            </w:r>
          </w:p>
          <w:p w14:paraId="5B3AD537" w14:textId="77777777" w:rsidR="00873667" w:rsidRDefault="00873667">
            <w:pPr>
              <w:spacing w:after="0" w:line="240" w:lineRule="auto"/>
              <w:ind w:left="200"/>
              <w:jc w:val="both"/>
              <w:rPr>
                <w:bCs/>
                <w:sz w:val="20"/>
                <w:szCs w:val="20"/>
                <w:rFonts w:asciiTheme="minorHAnsi" w:hAnsiTheme="minorHAnsi"/>
              </w:rPr>
            </w:pPr>
            <w:r>
              <w:rPr>
                <w:sz w:val="20"/>
                <w:rFonts w:asciiTheme="minorHAnsi" w:hAnsiTheme="minorHAnsi"/>
              </w:rPr>
              <w:t xml:space="preserve">„</w:t>
            </w:r>
            <w:r>
              <w:rPr>
                <w:sz w:val="20"/>
                <w:rFonts w:asciiTheme="minorHAnsi" w:hAnsiTheme="minorHAnsi"/>
              </w:rPr>
              <w:t xml:space="preserve"> </w:t>
            </w:r>
            <w:r>
              <w:rPr>
                <w:sz w:val="20"/>
                <w:rFonts w:asciiTheme="minorHAnsi" w:hAnsiTheme="minorHAnsi"/>
              </w:rPr>
              <w:t xml:space="preserve">Artykuł 2.5.8.</w:t>
            </w:r>
            <w:r>
              <w:rPr>
                <w:sz w:val="20"/>
                <w:rFonts w:asciiTheme="minorHAnsi" w:hAnsiTheme="minorHAnsi"/>
              </w:rPr>
              <w:t xml:space="preserve"> </w:t>
            </w:r>
            <w:r>
              <w:rPr>
                <w:sz w:val="20"/>
                <w:rFonts w:asciiTheme="minorHAnsi" w:hAnsiTheme="minorHAnsi"/>
              </w:rPr>
              <w:t xml:space="preserve">Operatorzy i nadawcy, o których mowa w rozporządzeniu z dnia 1 marca 2007 r. w sprawie ochrony środowiska przed wszelkimi niekorzystnymi i szkodliwymi skutkami powodowanymi przez promieniowanie niejonizujące i którzy są wymienieni przez rząd, są zobowiązani do wdrożenia w terminie ustalonym przez rząd, a najpóźniej w ciągu 2 lat od wejścia w życie niniejszego artykułu, „zrównoważonego i odpowiedzialnego planu cyfrowego” w celu zmniejszenia zużycia energii i emisji gazów cieplarnianych w związku z ich działalnością, w szczególności poprzez podnoszenie świadomości na temat wzrostu zużycia danych mobilnych.</w:t>
            </w:r>
            <w:r>
              <w:rPr>
                <w:sz w:val="20"/>
                <w:rFonts w:asciiTheme="minorHAnsi" w:hAnsiTheme="minorHAnsi"/>
              </w:rPr>
              <w:t xml:space="preserve"> </w:t>
            </w:r>
            <w:r>
              <w:rPr>
                <w:sz w:val="20"/>
                <w:rFonts w:asciiTheme="minorHAnsi" w:hAnsiTheme="minorHAnsi"/>
              </w:rPr>
              <w:t xml:space="preserve">Plan jest przeznaczony na okres 5 lat i jest odnawiany na każdy kolejny okres 5 lat.</w:t>
            </w:r>
            <w:r>
              <w:rPr>
                <w:sz w:val="20"/>
                <w:rFonts w:asciiTheme="minorHAnsi" w:hAnsiTheme="minorHAnsi"/>
              </w:rPr>
              <w:t xml:space="preserve"> </w:t>
            </w:r>
            <w:r>
              <w:rPr>
                <w:sz w:val="20"/>
                <w:rFonts w:asciiTheme="minorHAnsi" w:hAnsiTheme="minorHAnsi"/>
              </w:rPr>
              <w:t xml:space="preserve">Plan jest zatwierdzany przez Bruxelles Environnement przed jego wdrożeniem.</w:t>
            </w:r>
            <w:r>
              <w:rPr>
                <w:sz w:val="20"/>
                <w:rFonts w:asciiTheme="minorHAnsi" w:hAnsiTheme="minorHAnsi"/>
              </w:rPr>
              <w:t xml:space="preserve"> </w:t>
            </w:r>
          </w:p>
          <w:p w14:paraId="7B128E52" w14:textId="77777777" w:rsidR="00873667" w:rsidRDefault="00873667">
            <w:pPr>
              <w:spacing w:after="0" w:line="240" w:lineRule="auto"/>
              <w:ind w:left="200"/>
              <w:jc w:val="both"/>
              <w:rPr>
                <w:bCs/>
                <w:sz w:val="20"/>
                <w:szCs w:val="20"/>
                <w:rFonts w:asciiTheme="minorHAnsi" w:hAnsiTheme="minorHAnsi"/>
              </w:rPr>
            </w:pPr>
            <w:r>
              <w:rPr>
                <w:sz w:val="20"/>
                <w:rFonts w:asciiTheme="minorHAnsi" w:hAnsiTheme="minorHAnsi"/>
              </w:rPr>
              <w:t xml:space="preserve">Rząd określi warunki przygotowania i realizacji tego planu.</w:t>
            </w:r>
            <w:r>
              <w:rPr>
                <w:sz w:val="20"/>
                <w:rFonts w:asciiTheme="minorHAnsi" w:hAnsiTheme="minorHAnsi"/>
              </w:rPr>
              <w:t xml:space="preserve"> </w:t>
            </w:r>
            <w:r>
              <w:rPr>
                <w:sz w:val="20"/>
                <w:rFonts w:asciiTheme="minorHAnsi" w:hAnsiTheme="minorHAnsi"/>
              </w:rPr>
              <w:t xml:space="preserve">W szczególności określi minimalną treść planu i jego warunki przyjęcia, zmiany i odnowienia, a także cele ilościowe, które mają być realizowane w ramach planu.</w:t>
            </w:r>
            <w:r>
              <w:rPr>
                <w:sz w:val="20"/>
                <w:rFonts w:asciiTheme="minorHAnsi" w:hAnsiTheme="minorHAnsi"/>
              </w:rPr>
              <w:t xml:space="preserve"> </w:t>
            </w:r>
            <w:r>
              <w:rPr>
                <w:sz w:val="20"/>
                <w:rFonts w:asciiTheme="minorHAnsi" w:hAnsiTheme="minorHAnsi"/>
              </w:rPr>
              <w:t xml:space="preserve">Rząd może również rozszerzyć obowiązek wdrożenia „zrównoważonego i odpowiedzialnego planu cyfrowego” na inne osoby prawne.</w:t>
            </w:r>
            <w:r>
              <w:rPr>
                <w:sz w:val="20"/>
                <w:rFonts w:asciiTheme="minorHAnsi" w:hAnsiTheme="minorHAnsi"/>
              </w:rPr>
              <w:t xml:space="preserve"> </w:t>
            </w:r>
          </w:p>
          <w:p w14:paraId="11EADCD9" w14:textId="77777777" w:rsidR="00873667" w:rsidRDefault="00873667">
            <w:pPr>
              <w:spacing w:after="0" w:line="240" w:lineRule="auto"/>
              <w:jc w:val="both"/>
              <w:rPr>
                <w:rFonts w:asciiTheme="minorHAnsi" w:hAnsiTheme="minorHAnsi"/>
                <w:b/>
                <w:sz w:val="20"/>
                <w:szCs w:val="20"/>
                <w:lang w:val="fr-BE"/>
              </w:rPr>
            </w:pPr>
          </w:p>
          <w:p w14:paraId="7A272A73" w14:textId="77777777" w:rsidR="00873667" w:rsidRDefault="00873667">
            <w:pPr>
              <w:spacing w:after="0" w:line="240" w:lineRule="auto"/>
              <w:jc w:val="both"/>
              <w:rPr>
                <w:bCs/>
                <w:sz w:val="20"/>
                <w:szCs w:val="20"/>
                <w:rFonts w:asciiTheme="minorHAnsi" w:hAnsiTheme="minorHAnsi"/>
              </w:rPr>
            </w:pPr>
            <w:r>
              <w:rPr>
                <w:sz w:val="20"/>
                <w:rFonts w:asciiTheme="minorHAnsi" w:hAnsiTheme="minorHAnsi"/>
              </w:rPr>
              <w:t xml:space="preserve">§ 3.</w:t>
            </w:r>
            <w:r>
              <w:rPr>
                <w:sz w:val="20"/>
                <w:rFonts w:asciiTheme="minorHAnsi" w:hAnsiTheme="minorHAnsi"/>
              </w:rPr>
              <w:t xml:space="preserve"> </w:t>
            </w:r>
            <w:r>
              <w:rPr>
                <w:sz w:val="20"/>
                <w:rFonts w:asciiTheme="minorHAnsi" w:hAnsiTheme="minorHAnsi"/>
              </w:rPr>
              <w:t xml:space="preserve">W art. 2.6.6 tego samego rozporządzenia dodaje się lit. f) w brzmieniu:</w:t>
            </w:r>
          </w:p>
          <w:p w14:paraId="4B9471C4" w14:textId="77777777" w:rsidR="00873667" w:rsidRDefault="00873667">
            <w:pPr>
              <w:spacing w:after="0" w:line="240" w:lineRule="auto"/>
              <w:ind w:left="200"/>
              <w:jc w:val="both"/>
              <w:rPr>
                <w:bCs/>
                <w:sz w:val="20"/>
                <w:szCs w:val="20"/>
                <w:rFonts w:asciiTheme="minorHAnsi" w:hAnsiTheme="minorHAnsi"/>
              </w:rPr>
            </w:pPr>
            <w:r>
              <w:rPr>
                <w:sz w:val="20"/>
                <w:rFonts w:asciiTheme="minorHAnsi" w:hAnsiTheme="minorHAnsi"/>
              </w:rPr>
              <w:t xml:space="preserve">„f) operatorzy, nadawcy i osoby prawne, którzy podlegają obowiązkowi nałożonemu na mocy lub zgodnie z art. 2.5.8 i którzy nie przestrzegają tego obowiązku.”.</w:t>
            </w:r>
          </w:p>
          <w:p w14:paraId="18DD4CF0" w14:textId="77777777" w:rsidR="00873667" w:rsidRDefault="00873667">
            <w:pPr>
              <w:spacing w:after="0" w:line="240" w:lineRule="auto"/>
              <w:jc w:val="both"/>
              <w:rPr>
                <w:rFonts w:asciiTheme="minorHAnsi" w:hAnsiTheme="minorHAnsi"/>
                <w:b/>
                <w:sz w:val="20"/>
                <w:szCs w:val="20"/>
                <w:lang w:val="fr-BE"/>
              </w:rPr>
            </w:pPr>
          </w:p>
        </w:tc>
      </w:tr>
      <w:tr w:rsidR="00873667" w:rsidRPr="00404725" w14:paraId="1FB6048C" w14:textId="77777777" w:rsidTr="00873667">
        <w:tc>
          <w:tcPr>
            <w:tcW w:w="4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2C9B873" w14:textId="77777777" w:rsidR="00873667" w:rsidRDefault="00873667">
            <w:pPr>
              <w:spacing w:after="0" w:line="240" w:lineRule="auto"/>
              <w:jc w:val="both"/>
              <w:rPr>
                <w:b/>
                <w:sz w:val="20"/>
                <w:szCs w:val="20"/>
                <w:rFonts w:asciiTheme="minorHAnsi" w:hAnsiTheme="minorHAnsi"/>
              </w:rPr>
            </w:pPr>
            <w:r>
              <w:rPr>
                <w:b/>
                <w:sz w:val="20"/>
                <w:rFonts w:asciiTheme="minorHAnsi" w:hAnsiTheme="minorHAnsi"/>
              </w:rPr>
              <w:t xml:space="preserve">Rozdział 5.</w:t>
            </w:r>
            <w:r>
              <w:rPr>
                <w:b/>
                <w:sz w:val="20"/>
                <w:rFonts w:asciiTheme="minorHAnsi" w:hAnsiTheme="minorHAnsi"/>
              </w:rPr>
              <w:t xml:space="preserve"> </w:t>
            </w:r>
            <w:r>
              <w:rPr>
                <w:b/>
                <w:sz w:val="20"/>
                <w:rFonts w:asciiTheme="minorHAnsi" w:hAnsiTheme="minorHAnsi"/>
              </w:rPr>
              <w:t xml:space="preserve">Przepisy zmieniające, przejściowe i dotyczące wejścia w życie</w:t>
            </w:r>
          </w:p>
        </w:tc>
      </w:tr>
      <w:tr w:rsidR="00873667" w:rsidRPr="00404725" w14:paraId="75774D9A" w14:textId="77777777" w:rsidTr="00873667">
        <w:tc>
          <w:tcPr>
            <w:tcW w:w="4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D93080" w14:textId="77777777" w:rsidR="00873667" w:rsidRDefault="00873667">
            <w:pPr>
              <w:spacing w:after="0" w:line="240" w:lineRule="auto"/>
              <w:jc w:val="both"/>
              <w:rPr>
                <w:b/>
                <w:sz w:val="20"/>
                <w:szCs w:val="20"/>
                <w:rFonts w:asciiTheme="minorHAnsi" w:hAnsiTheme="minorHAnsi"/>
              </w:rPr>
            </w:pPr>
            <w:r>
              <w:rPr>
                <w:b/>
                <w:sz w:val="20"/>
                <w:rFonts w:asciiTheme="minorHAnsi" w:hAnsiTheme="minorHAnsi"/>
              </w:rPr>
              <w:t xml:space="preserve">Artykuł 12.</w:t>
            </w:r>
          </w:p>
          <w:p w14:paraId="3B265679" w14:textId="77777777" w:rsidR="00873667" w:rsidRDefault="00873667">
            <w:pPr>
              <w:spacing w:after="0" w:line="240" w:lineRule="auto"/>
              <w:jc w:val="both"/>
              <w:rPr>
                <w:bCs/>
                <w:sz w:val="20"/>
                <w:szCs w:val="20"/>
                <w:rFonts w:asciiTheme="minorHAnsi" w:hAnsiTheme="minorHAnsi"/>
              </w:rPr>
            </w:pPr>
            <w:r>
              <w:rPr>
                <w:sz w:val="20"/>
                <w:rFonts w:asciiTheme="minorHAnsi" w:hAnsiTheme="minorHAnsi"/>
              </w:rPr>
              <w:t xml:space="preserve">Uchyla się art. 10 rozporządzenia z dnia 1 marca 2007 r. w sprawie ochrony środowiska przed wszelkimi niekorzystnymi i szkodliwymi skutkami powodowanymi przez promieniowanie niejonizujące.</w:t>
            </w:r>
            <w:r>
              <w:rPr>
                <w:sz w:val="20"/>
                <w:rFonts w:asciiTheme="minorHAnsi" w:hAnsiTheme="minorHAnsi"/>
              </w:rPr>
              <w:t xml:space="preserve"> </w:t>
            </w:r>
          </w:p>
          <w:p w14:paraId="48D02DBB" w14:textId="77777777" w:rsidR="00873667" w:rsidRDefault="00873667">
            <w:pPr>
              <w:spacing w:after="0" w:line="240" w:lineRule="auto"/>
              <w:jc w:val="both"/>
              <w:rPr>
                <w:rFonts w:asciiTheme="minorHAnsi" w:hAnsiTheme="minorHAnsi"/>
                <w:b/>
                <w:sz w:val="20"/>
                <w:szCs w:val="20"/>
                <w:lang w:val="fr-BE"/>
              </w:rPr>
            </w:pPr>
          </w:p>
        </w:tc>
      </w:tr>
      <w:tr w:rsidR="00873667" w:rsidRPr="00404725" w14:paraId="1453FE58" w14:textId="77777777" w:rsidTr="00873667">
        <w:tc>
          <w:tcPr>
            <w:tcW w:w="4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E8F1A5" w14:textId="77777777" w:rsidR="00873667" w:rsidRDefault="00873667">
            <w:pPr>
              <w:spacing w:after="0" w:line="240" w:lineRule="auto"/>
              <w:jc w:val="both"/>
              <w:rPr>
                <w:b/>
                <w:sz w:val="20"/>
                <w:szCs w:val="20"/>
                <w:rFonts w:asciiTheme="minorHAnsi" w:hAnsiTheme="minorHAnsi"/>
              </w:rPr>
            </w:pPr>
            <w:r>
              <w:rPr>
                <w:b/>
                <w:sz w:val="20"/>
                <w:rFonts w:asciiTheme="minorHAnsi" w:hAnsiTheme="minorHAnsi"/>
              </w:rPr>
              <w:t xml:space="preserve">Artykuł 13.</w:t>
            </w:r>
          </w:p>
          <w:p w14:paraId="0F8B4BF1" w14:textId="77777777" w:rsidR="00873667" w:rsidRDefault="00873667">
            <w:pPr>
              <w:spacing w:after="0" w:line="240" w:lineRule="auto"/>
              <w:jc w:val="both"/>
              <w:rPr>
                <w:sz w:val="20"/>
                <w:szCs w:val="20"/>
                <w:rFonts w:asciiTheme="minorHAnsi" w:hAnsiTheme="minorHAnsi"/>
              </w:rPr>
            </w:pPr>
            <w:r>
              <w:rPr>
                <w:sz w:val="20"/>
                <w:rFonts w:asciiTheme="minorHAnsi" w:hAnsiTheme="minorHAnsi"/>
              </w:rPr>
              <w:t xml:space="preserve">W terminie 30 dni od wejścia w życie niniejszego rozporządzenia Bruxelles Environnement powiadamia operatorów, których pozwolenia środowiskowe przyczyniają się do przekroczenia norm, o których mowa w art. 3 ust. 1a rozporządzenia z dnia 1 marca 2007 r. w sprawie ochrony środowiska przed wszelkimi niekorzystnymi i szkodliwymi skutkami powodowanymi przez promieniowanie niejonizujące wprowadzonych niniejszym rozporządzeniem, o obowiązku złożenia przez nich, w terminie dwóch miesięcy, wniosku o pozwolenie środowiskowe w celu wypełnienia zobowiązań wynikających z rozporządzenia z dnia 1 marca 2007 r. w sprawie ochrony środowiska przed wszelkimi niekorzystnymi i szkodliwymi skutkami powodowanymi przez promieniowanie niejonizujące ze zmianami wprowadzonymi niniejszym rozporządzeniem.</w:t>
            </w:r>
            <w:r>
              <w:rPr>
                <w:sz w:val="20"/>
                <w:rFonts w:asciiTheme="minorHAnsi" w:hAnsiTheme="minorHAnsi"/>
              </w:rPr>
              <w:t xml:space="preserve"> </w:t>
            </w:r>
          </w:p>
          <w:p w14:paraId="6DED1FE9" w14:textId="77777777" w:rsidR="00873667" w:rsidRDefault="00873667">
            <w:pPr>
              <w:spacing w:after="0" w:line="240" w:lineRule="auto"/>
              <w:jc w:val="both"/>
              <w:rPr>
                <w:sz w:val="20"/>
                <w:szCs w:val="20"/>
                <w:rFonts w:asciiTheme="minorHAnsi" w:hAnsiTheme="minorHAnsi"/>
              </w:rPr>
            </w:pPr>
            <w:r>
              <w:rPr>
                <w:sz w:val="20"/>
                <w:rFonts w:asciiTheme="minorHAnsi" w:hAnsiTheme="minorHAnsi"/>
              </w:rPr>
              <w:t xml:space="preserve">Eksploatacja anten przez operatorów może być kontynuowana niezależnie od norm, o których mowa w art. 3 ust. 1a rozporządzenia z dnia 1 marca 2007 r. w sprawie ochrony środowiska przed wszelkimi niekorzystnymi i szkodliwymi skutkami powodowanymi przez promieniowanie niejonizujące wprowadzonym niniejszym rozporządzeniem do czasu powiadomienia o decyzji w sprawie wniosku o pozwolenie środowiskowe.</w:t>
            </w:r>
            <w:r>
              <w:rPr>
                <w:sz w:val="20"/>
                <w:rFonts w:asciiTheme="minorHAnsi" w:hAnsiTheme="minorHAnsi"/>
              </w:rPr>
              <w:t xml:space="preserve"> </w:t>
            </w:r>
          </w:p>
          <w:p w14:paraId="3CEE12CC" w14:textId="77777777" w:rsidR="00873667" w:rsidRDefault="00873667">
            <w:pPr>
              <w:spacing w:after="0" w:line="240" w:lineRule="auto"/>
              <w:jc w:val="both"/>
              <w:rPr>
                <w:rFonts w:asciiTheme="minorHAnsi" w:hAnsiTheme="minorHAnsi"/>
                <w:b/>
                <w:sz w:val="20"/>
                <w:szCs w:val="20"/>
                <w:lang w:val="fr-BE"/>
              </w:rPr>
            </w:pPr>
          </w:p>
        </w:tc>
      </w:tr>
      <w:tr w:rsidR="00873667" w:rsidRPr="00404725" w14:paraId="6715F848" w14:textId="77777777" w:rsidTr="00873667">
        <w:tc>
          <w:tcPr>
            <w:tcW w:w="4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512E76" w14:textId="77777777" w:rsidR="00873667" w:rsidRDefault="00873667">
            <w:pPr>
              <w:spacing w:after="0" w:line="240" w:lineRule="auto"/>
              <w:jc w:val="both"/>
              <w:rPr>
                <w:b/>
                <w:sz w:val="20"/>
                <w:szCs w:val="20"/>
                <w:rFonts w:asciiTheme="minorHAnsi" w:hAnsiTheme="minorHAnsi"/>
              </w:rPr>
            </w:pPr>
            <w:r>
              <w:rPr>
                <w:b/>
                <w:sz w:val="20"/>
                <w:rFonts w:asciiTheme="minorHAnsi" w:hAnsiTheme="minorHAnsi"/>
              </w:rPr>
              <w:t xml:space="preserve">Artykuł 14.</w:t>
            </w:r>
            <w:r>
              <w:rPr>
                <w:b/>
                <w:sz w:val="20"/>
                <w:rFonts w:asciiTheme="minorHAnsi" w:hAnsiTheme="minorHAnsi"/>
              </w:rPr>
              <w:t xml:space="preserve"> </w:t>
            </w:r>
          </w:p>
          <w:p w14:paraId="4670636C" w14:textId="77777777" w:rsidR="00873667" w:rsidRDefault="00873667">
            <w:pPr>
              <w:spacing w:after="0" w:line="240" w:lineRule="auto"/>
              <w:jc w:val="both"/>
              <w:rPr>
                <w:b/>
                <w:sz w:val="20"/>
                <w:szCs w:val="20"/>
                <w:rFonts w:asciiTheme="minorHAnsi" w:hAnsiTheme="minorHAnsi"/>
              </w:rPr>
            </w:pPr>
            <w:r>
              <w:rPr>
                <w:sz w:val="20"/>
                <w:rFonts w:asciiTheme="minorHAnsi" w:hAnsiTheme="minorHAnsi"/>
              </w:rPr>
              <w:t xml:space="preserve">Niniejsze rozporządzenie wchodzi w życie pierwszego dnia miesiąca następującego po upływie okresu dziesięciu dni rozpoczynającego się w dniu następującym po jego opublikowaniu w belgijskim dzienniku urzędowym, z wyjątkiem art. 5 ust. 2 (tylko w odniesieniu do art. 4 ust. 3, przyszłość rozporządzenia z dnia 1 marca 2007 r. w sprawie ochrony środowiska przed wszelkimi niekorzystnymi i szkodliwymi skutkami powodowanymi przez promieniowanie niejonizujące), 8 i 11, których datę wejścia w życie ustala rząd.</w:t>
            </w:r>
            <w:r>
              <w:rPr>
                <w:sz w:val="20"/>
                <w:rFonts w:asciiTheme="minorHAnsi" w:hAnsiTheme="minorHAnsi"/>
              </w:rPr>
              <w:t xml:space="preserve"> </w:t>
            </w:r>
          </w:p>
          <w:p w14:paraId="60A2F821" w14:textId="77777777" w:rsidR="00873667" w:rsidRDefault="00873667">
            <w:pPr>
              <w:spacing w:after="0" w:line="240" w:lineRule="auto"/>
              <w:jc w:val="both"/>
              <w:rPr>
                <w:rFonts w:asciiTheme="minorHAnsi" w:hAnsiTheme="minorHAnsi"/>
                <w:b/>
                <w:sz w:val="20"/>
                <w:szCs w:val="20"/>
                <w:lang w:val="fr-BE"/>
              </w:rPr>
            </w:pPr>
          </w:p>
        </w:tc>
      </w:tr>
    </w:tbl>
    <w:p w14:paraId="155A3904" w14:textId="414A1C9B" w:rsidR="00873667" w:rsidRDefault="00873667" w:rsidP="00873667">
      <w:pPr>
        <w:rPr>
          <w:lang w:val="fr-BE"/>
        </w:rPr>
      </w:pPr>
    </w:p>
    <w:tbl>
      <w:tblPr>
        <w:tblW w:w="9782" w:type="dxa"/>
        <w:tblInd w:w="-318" w:type="dxa"/>
        <w:tblLayout w:type="fixed"/>
        <w:tblCellMar>
          <w:left w:w="10" w:type="dxa"/>
          <w:right w:w="10" w:type="dxa"/>
        </w:tblCellMar>
        <w:tblLook w:val="04A0" w:firstRow="1" w:lastRow="0" w:firstColumn="1" w:lastColumn="0" w:noHBand="0" w:noVBand="1"/>
      </w:tblPr>
      <w:tblGrid>
        <w:gridCol w:w="4821"/>
        <w:gridCol w:w="4961"/>
      </w:tblGrid>
      <w:tr w:rsidR="00873667" w:rsidRPr="00746272" w14:paraId="3DDA5F8F" w14:textId="77777777" w:rsidTr="00242999">
        <w:trPr>
          <w:gridAfter w:val="1"/>
          <w:wAfter w:w="4961" w:type="dxa"/>
        </w:trPr>
        <w:tc>
          <w:tcPr>
            <w:tcW w:w="4821" w:type="dxa"/>
            <w:tcMar>
              <w:top w:w="0" w:type="dxa"/>
              <w:left w:w="108" w:type="dxa"/>
              <w:bottom w:w="0" w:type="dxa"/>
              <w:right w:w="108" w:type="dxa"/>
            </w:tcMar>
          </w:tcPr>
          <w:p w14:paraId="143E8754" w14:textId="77777777" w:rsidR="00873667" w:rsidRPr="00746272" w:rsidRDefault="00873667" w:rsidP="00242999">
            <w:pPr>
              <w:spacing w:after="0" w:line="240" w:lineRule="auto"/>
              <w:jc w:val="both"/>
              <w:rPr>
                <w:sz w:val="20"/>
                <w:szCs w:val="20"/>
                <w:rFonts w:asciiTheme="minorHAnsi" w:hAnsiTheme="minorHAnsi"/>
              </w:rPr>
            </w:pPr>
            <w:r>
              <w:rPr>
                <w:sz w:val="20"/>
                <w:rFonts w:asciiTheme="minorHAnsi" w:hAnsiTheme="minorHAnsi"/>
              </w:rPr>
              <w:t xml:space="preserve">Bruksela,</w:t>
            </w:r>
          </w:p>
        </w:tc>
      </w:tr>
      <w:tr w:rsidR="00873667" w:rsidRPr="00404725" w14:paraId="334B20E3" w14:textId="77777777" w:rsidTr="00242999">
        <w:trPr>
          <w:gridAfter w:val="1"/>
          <w:wAfter w:w="4961" w:type="dxa"/>
        </w:trPr>
        <w:tc>
          <w:tcPr>
            <w:tcW w:w="4821" w:type="dxa"/>
            <w:tcMar>
              <w:top w:w="0" w:type="dxa"/>
              <w:left w:w="108" w:type="dxa"/>
              <w:bottom w:w="0" w:type="dxa"/>
              <w:right w:w="108" w:type="dxa"/>
            </w:tcMar>
          </w:tcPr>
          <w:p w14:paraId="7D90B3B5" w14:textId="77777777" w:rsidR="00873667" w:rsidRPr="00873667" w:rsidRDefault="00873667" w:rsidP="00242999">
            <w:pPr>
              <w:spacing w:after="0" w:line="240" w:lineRule="auto"/>
              <w:jc w:val="both"/>
              <w:rPr>
                <w:sz w:val="20"/>
                <w:szCs w:val="20"/>
                <w:rFonts w:asciiTheme="minorHAnsi" w:hAnsiTheme="minorHAnsi"/>
              </w:rPr>
            </w:pPr>
            <w:r>
              <w:rPr>
                <w:sz w:val="20"/>
                <w:rFonts w:asciiTheme="minorHAnsi" w:hAnsiTheme="minorHAnsi"/>
              </w:rPr>
              <w:t xml:space="preserve">W imieniu rządu Regionu Stołecznego Brukseli,</w:t>
            </w:r>
          </w:p>
        </w:tc>
      </w:tr>
      <w:tr w:rsidR="00873667" w:rsidRPr="00404725" w14:paraId="55B38421" w14:textId="77777777" w:rsidTr="00242999">
        <w:tc>
          <w:tcPr>
            <w:tcW w:w="4821" w:type="dxa"/>
            <w:shd w:val="clear" w:color="auto" w:fill="auto"/>
            <w:tcMar>
              <w:top w:w="0" w:type="dxa"/>
              <w:left w:w="108" w:type="dxa"/>
              <w:bottom w:w="0" w:type="dxa"/>
              <w:right w:w="108" w:type="dxa"/>
            </w:tcMar>
          </w:tcPr>
          <w:p w14:paraId="52DDBFBC" w14:textId="77777777" w:rsidR="00873667" w:rsidRPr="00873667" w:rsidRDefault="00873667" w:rsidP="00873667">
            <w:pPr>
              <w:spacing w:after="0" w:line="240" w:lineRule="auto"/>
              <w:rPr>
                <w:rFonts w:asciiTheme="minorHAnsi" w:hAnsiTheme="minorHAnsi"/>
                <w:sz w:val="20"/>
                <w:szCs w:val="20"/>
                <w:lang w:val="fr-BE"/>
              </w:rPr>
            </w:pPr>
          </w:p>
        </w:tc>
        <w:tc>
          <w:tcPr>
            <w:tcW w:w="4961" w:type="dxa"/>
            <w:shd w:val="clear" w:color="auto" w:fill="auto"/>
          </w:tcPr>
          <w:p w14:paraId="20116099" w14:textId="77777777" w:rsidR="00873667" w:rsidRPr="00873667" w:rsidRDefault="00873667" w:rsidP="00242999">
            <w:pPr>
              <w:suppressAutoHyphens w:val="0"/>
              <w:autoSpaceDE w:val="0"/>
              <w:adjustRightInd w:val="0"/>
              <w:spacing w:after="0" w:line="240" w:lineRule="auto"/>
              <w:jc w:val="both"/>
              <w:rPr>
                <w:rFonts w:asciiTheme="minorHAnsi" w:eastAsiaTheme="minorHAnsi" w:hAnsiTheme="minorHAnsi" w:cs="TimesNewRoman"/>
                <w:kern w:val="0"/>
                <w:sz w:val="20"/>
                <w:szCs w:val="20"/>
                <w:lang w:val="fr-BE"/>
              </w:rPr>
            </w:pPr>
          </w:p>
        </w:tc>
      </w:tr>
    </w:tbl>
    <w:p w14:paraId="62E0C8D1" w14:textId="77777777" w:rsidR="00873667" w:rsidRPr="00873667" w:rsidRDefault="00873667" w:rsidP="00873667">
      <w:pPr>
        <w:spacing w:after="0" w:line="240" w:lineRule="auto"/>
        <w:jc w:val="both"/>
        <w:rPr>
          <w:rFonts w:asciiTheme="minorHAnsi" w:hAnsiTheme="minorHAnsi" w:cstheme="minorHAnsi"/>
          <w:sz w:val="20"/>
          <w:szCs w:val="20"/>
          <w:lang w:val="fr-BE"/>
        </w:rPr>
      </w:pPr>
    </w:p>
    <w:p w14:paraId="6484EA2B" w14:textId="77777777" w:rsidR="00873667" w:rsidRPr="00873667" w:rsidRDefault="00873667" w:rsidP="00873667">
      <w:pPr>
        <w:spacing w:after="0" w:line="240" w:lineRule="auto"/>
        <w:jc w:val="both"/>
        <w:rPr>
          <w:rFonts w:asciiTheme="minorHAnsi" w:hAnsiTheme="minorHAnsi" w:cstheme="minorHAnsi"/>
          <w:sz w:val="20"/>
          <w:szCs w:val="20"/>
          <w:lang w:val="fr-BE"/>
        </w:rPr>
      </w:pPr>
    </w:p>
    <w:p w14:paraId="5A185135" w14:textId="77777777" w:rsidR="00873667" w:rsidRPr="00B93F33" w:rsidRDefault="00873667" w:rsidP="00873667">
      <w:pPr>
        <w:spacing w:after="0" w:line="240" w:lineRule="auto"/>
        <w:jc w:val="center"/>
        <w:rPr>
          <w:b/>
          <w:bCs/>
          <w:sz w:val="20"/>
          <w:szCs w:val="20"/>
          <w:rFonts w:asciiTheme="minorHAnsi" w:hAnsiTheme="minorHAnsi" w:cstheme="minorHAnsi"/>
        </w:rPr>
      </w:pPr>
      <w:r>
        <w:rPr>
          <w:b/>
          <w:sz w:val="20"/>
          <w:rFonts w:asciiTheme="minorHAnsi" w:hAnsiTheme="minorHAnsi"/>
        </w:rPr>
        <w:t xml:space="preserve">R. VERVOORT</w:t>
      </w:r>
    </w:p>
    <w:p w14:paraId="4D31CE76" w14:textId="3E9F61CF" w:rsidR="00873667" w:rsidRPr="00873667" w:rsidRDefault="00873667" w:rsidP="00873667">
      <w:pPr>
        <w:spacing w:after="0" w:line="240" w:lineRule="auto"/>
        <w:jc w:val="center"/>
        <w:rPr>
          <w:sz w:val="20"/>
          <w:szCs w:val="20"/>
          <w:rFonts w:asciiTheme="minorHAnsi" w:hAnsiTheme="minorHAnsi" w:cstheme="minorHAnsi"/>
        </w:rPr>
      </w:pPr>
      <w:r>
        <w:rPr>
          <w:sz w:val="20"/>
          <w:rFonts w:asciiTheme="minorHAnsi" w:hAnsiTheme="minorHAnsi"/>
        </w:rPr>
        <w:t xml:space="preserve">Przewodniczący Rady Ministrów rządu Regionu Stołecznego Brukseli.</w:t>
      </w:r>
    </w:p>
    <w:p w14:paraId="0ACA50B3" w14:textId="77777777" w:rsidR="00873667" w:rsidRPr="00404725" w:rsidRDefault="00873667" w:rsidP="00873667">
      <w:pPr>
        <w:spacing w:after="0" w:line="240" w:lineRule="auto"/>
        <w:jc w:val="center"/>
        <w:rPr>
          <w:rFonts w:asciiTheme="minorHAnsi" w:hAnsiTheme="minorHAnsi" w:cstheme="minorHAnsi"/>
          <w:sz w:val="20"/>
          <w:szCs w:val="20"/>
          <w:lang w:val="fr-FR"/>
        </w:rPr>
      </w:pPr>
    </w:p>
    <w:p w14:paraId="0E868F9D" w14:textId="77777777" w:rsidR="00873667" w:rsidRPr="00B93F33" w:rsidRDefault="00873667" w:rsidP="00873667">
      <w:pPr>
        <w:spacing w:after="0" w:line="240" w:lineRule="auto"/>
        <w:jc w:val="center"/>
        <w:rPr>
          <w:b/>
          <w:bCs/>
          <w:sz w:val="20"/>
          <w:szCs w:val="20"/>
          <w:rFonts w:asciiTheme="minorHAnsi" w:hAnsiTheme="minorHAnsi" w:cstheme="minorHAnsi"/>
        </w:rPr>
      </w:pPr>
      <w:r>
        <w:rPr>
          <w:b/>
          <w:sz w:val="20"/>
          <w:rFonts w:asciiTheme="minorHAnsi" w:hAnsiTheme="minorHAnsi"/>
        </w:rPr>
        <w:t xml:space="preserve">E. VAN DEN BRANDT</w:t>
      </w:r>
    </w:p>
    <w:p w14:paraId="0FD79330" w14:textId="037809FC" w:rsidR="00873667" w:rsidRDefault="00873667" w:rsidP="00873667">
      <w:pPr>
        <w:spacing w:after="0" w:line="240" w:lineRule="auto"/>
        <w:jc w:val="center"/>
        <w:rPr>
          <w:sz w:val="20"/>
          <w:szCs w:val="20"/>
          <w:rFonts w:asciiTheme="minorHAnsi" w:hAnsiTheme="minorHAnsi" w:cstheme="minorHAnsi"/>
        </w:rPr>
      </w:pPr>
      <w:r>
        <w:rPr>
          <w:sz w:val="20"/>
          <w:rFonts w:asciiTheme="minorHAnsi" w:hAnsiTheme="minorHAnsi"/>
        </w:rPr>
        <w:t xml:space="preserve">Minister ds. mobilności, robót publicznych i bezpieczeństwa ruchu drogowego.</w:t>
      </w:r>
    </w:p>
    <w:p w14:paraId="2F23BC79" w14:textId="77777777" w:rsidR="00873667" w:rsidRPr="00873667" w:rsidRDefault="00873667" w:rsidP="00873667">
      <w:pPr>
        <w:spacing w:after="0" w:line="240" w:lineRule="auto"/>
        <w:jc w:val="center"/>
        <w:rPr>
          <w:rFonts w:asciiTheme="minorHAnsi" w:hAnsiTheme="minorHAnsi" w:cstheme="minorHAnsi"/>
          <w:sz w:val="20"/>
          <w:szCs w:val="20"/>
          <w:lang w:val="fr-BE"/>
        </w:rPr>
      </w:pPr>
    </w:p>
    <w:p w14:paraId="5C36561A" w14:textId="77777777" w:rsidR="00873667" w:rsidRPr="00404725" w:rsidRDefault="00873667" w:rsidP="00873667">
      <w:pPr>
        <w:spacing w:after="0" w:line="240" w:lineRule="auto"/>
        <w:jc w:val="center"/>
        <w:rPr>
          <w:b/>
          <w:bCs/>
          <w:sz w:val="20"/>
          <w:szCs w:val="20"/>
          <w:rFonts w:asciiTheme="minorHAnsi" w:hAnsiTheme="minorHAnsi" w:cstheme="minorHAnsi"/>
        </w:rPr>
      </w:pPr>
      <w:r>
        <w:rPr>
          <w:b/>
          <w:sz w:val="20"/>
          <w:rFonts w:asciiTheme="minorHAnsi" w:hAnsiTheme="minorHAnsi"/>
        </w:rPr>
        <w:t xml:space="preserve">A. MARON</w:t>
      </w:r>
    </w:p>
    <w:p w14:paraId="67F20717" w14:textId="3CC9598F" w:rsidR="00873667" w:rsidRPr="00AD5588" w:rsidRDefault="00873667" w:rsidP="00873667">
      <w:pPr>
        <w:spacing w:after="0" w:line="240" w:lineRule="auto"/>
        <w:jc w:val="center"/>
        <w:rPr>
          <w:sz w:val="20"/>
          <w:szCs w:val="20"/>
          <w:rFonts w:asciiTheme="minorHAnsi" w:hAnsiTheme="minorHAnsi" w:cstheme="minorHAnsi"/>
        </w:rPr>
      </w:pPr>
      <w:r>
        <w:rPr>
          <w:sz w:val="20"/>
          <w:rFonts w:asciiTheme="minorHAnsi" w:hAnsiTheme="minorHAnsi"/>
        </w:rPr>
        <w:t xml:space="preserve">Minister ds. transformacji klimatycznej, środowiska, energii i demokracji uczestniczącej.</w:t>
      </w:r>
    </w:p>
    <w:p w14:paraId="4B06F6AA" w14:textId="77777777" w:rsidR="00873667" w:rsidRPr="00B93F33" w:rsidRDefault="00873667" w:rsidP="00873667">
      <w:pPr>
        <w:spacing w:after="0" w:line="240" w:lineRule="auto"/>
        <w:jc w:val="center"/>
        <w:rPr>
          <w:b/>
          <w:bCs/>
          <w:sz w:val="20"/>
          <w:szCs w:val="20"/>
          <w:rFonts w:asciiTheme="minorHAnsi" w:hAnsiTheme="minorHAnsi" w:cstheme="minorHAnsi"/>
        </w:rPr>
      </w:pPr>
      <w:r>
        <w:rPr>
          <w:b/>
          <w:sz w:val="20"/>
          <w:rFonts w:asciiTheme="minorHAnsi" w:hAnsiTheme="minorHAnsi"/>
        </w:rPr>
        <w:t xml:space="preserve">S. GATZ</w:t>
      </w:r>
    </w:p>
    <w:p w14:paraId="215BED01" w14:textId="5190AA1C" w:rsidR="00873667" w:rsidRPr="00873667" w:rsidRDefault="00873667" w:rsidP="00873667">
      <w:pPr>
        <w:spacing w:after="0" w:line="240" w:lineRule="auto"/>
        <w:jc w:val="center"/>
        <w:rPr>
          <w:sz w:val="20"/>
          <w:szCs w:val="20"/>
          <w:rFonts w:asciiTheme="minorHAnsi" w:hAnsiTheme="minorHAnsi" w:cstheme="minorHAnsi"/>
        </w:rPr>
      </w:pPr>
      <w:r>
        <w:rPr>
          <w:sz w:val="20"/>
          <w:rFonts w:asciiTheme="minorHAnsi" w:hAnsiTheme="minorHAnsi"/>
        </w:rPr>
        <w:t xml:space="preserve">Minister</w:t>
      </w:r>
      <w:r>
        <w:rPr>
          <w:sz w:val="20"/>
          <w:color w:val="333333"/>
          <w:shd w:val="clear" w:color="auto" w:fill="FFFFFF"/>
          <w:rFonts w:asciiTheme="minorHAnsi" w:hAnsiTheme="minorHAnsi"/>
        </w:rPr>
        <w:t xml:space="preserve"> </w:t>
      </w:r>
      <w:r>
        <w:rPr>
          <w:sz w:val="20"/>
          <w:rFonts w:asciiTheme="minorHAnsi" w:hAnsiTheme="minorHAnsi"/>
        </w:rPr>
        <w:t xml:space="preserve">ds. finansów, budżetu, służby cywilnej, promowania wielojęzyczności i wizerunku Brukseli.</w:t>
      </w:r>
    </w:p>
    <w:p w14:paraId="5E9FF636" w14:textId="77777777" w:rsidR="00873667" w:rsidRPr="00404725" w:rsidRDefault="00873667" w:rsidP="00873667">
      <w:pPr>
        <w:spacing w:after="0" w:line="240" w:lineRule="auto"/>
        <w:jc w:val="center"/>
        <w:rPr>
          <w:rFonts w:asciiTheme="minorHAnsi" w:hAnsiTheme="minorHAnsi" w:cstheme="minorHAnsi"/>
          <w:sz w:val="20"/>
          <w:szCs w:val="20"/>
          <w:lang w:val="fr-FR"/>
        </w:rPr>
      </w:pPr>
    </w:p>
    <w:p w14:paraId="39B54DF5" w14:textId="77777777" w:rsidR="00873667" w:rsidRPr="00B93F33" w:rsidRDefault="00873667" w:rsidP="00873667">
      <w:pPr>
        <w:spacing w:after="0" w:line="240" w:lineRule="auto"/>
        <w:jc w:val="center"/>
        <w:rPr>
          <w:b/>
          <w:bCs/>
          <w:sz w:val="20"/>
          <w:szCs w:val="20"/>
          <w:rFonts w:asciiTheme="minorHAnsi" w:hAnsiTheme="minorHAnsi" w:cstheme="minorHAnsi"/>
        </w:rPr>
      </w:pPr>
      <w:r>
        <w:rPr>
          <w:b/>
          <w:sz w:val="20"/>
          <w:rFonts w:asciiTheme="minorHAnsi" w:hAnsiTheme="minorHAnsi"/>
        </w:rPr>
        <w:t xml:space="preserve">B. CERLFAYT</w:t>
      </w:r>
    </w:p>
    <w:p w14:paraId="5443ECE7" w14:textId="4C81C041" w:rsidR="00873667" w:rsidRPr="00873667" w:rsidRDefault="00873667" w:rsidP="00873667">
      <w:pPr>
        <w:spacing w:after="0" w:line="240" w:lineRule="auto"/>
        <w:jc w:val="center"/>
        <w:rPr>
          <w:sz w:val="20"/>
          <w:szCs w:val="20"/>
          <w:rFonts w:asciiTheme="minorHAnsi" w:hAnsiTheme="minorHAnsi" w:cstheme="minorHAnsi"/>
        </w:rPr>
      </w:pPr>
      <w:r>
        <w:rPr>
          <w:sz w:val="20"/>
          <w:rFonts w:asciiTheme="minorHAnsi" w:hAnsiTheme="minorHAnsi"/>
        </w:rPr>
        <w:t xml:space="preserve">Minister ds. zatrudnienia i szkolenia zawodowego, transformacji cyfrowej, władz lokalnych i dobrostanu zwierząt.</w:t>
      </w:r>
    </w:p>
    <w:p w14:paraId="76D391AC" w14:textId="77777777" w:rsidR="00873667" w:rsidRPr="00873667" w:rsidRDefault="00873667" w:rsidP="00873667">
      <w:pPr>
        <w:spacing w:after="0" w:line="240" w:lineRule="auto"/>
        <w:jc w:val="center"/>
        <w:rPr>
          <w:rFonts w:asciiTheme="minorHAnsi" w:hAnsiTheme="minorHAnsi" w:cstheme="minorHAnsi"/>
          <w:sz w:val="20"/>
          <w:szCs w:val="20"/>
          <w:lang w:val="fr-BE"/>
        </w:rPr>
      </w:pPr>
    </w:p>
    <w:p w14:paraId="2D887231" w14:textId="77777777" w:rsidR="00873667" w:rsidRPr="00B93F33" w:rsidRDefault="00873667" w:rsidP="00873667">
      <w:pPr>
        <w:spacing w:after="0" w:line="240" w:lineRule="auto"/>
        <w:jc w:val="center"/>
        <w:rPr>
          <w:b/>
          <w:bCs/>
          <w:sz w:val="20"/>
          <w:szCs w:val="20"/>
          <w:rFonts w:asciiTheme="minorHAnsi" w:hAnsiTheme="minorHAnsi" w:cstheme="minorHAnsi"/>
        </w:rPr>
      </w:pPr>
      <w:r>
        <w:rPr>
          <w:b/>
          <w:sz w:val="20"/>
          <w:rFonts w:asciiTheme="minorHAnsi" w:hAnsiTheme="minorHAnsi"/>
        </w:rPr>
        <w:t xml:space="preserve">N. BEN HAMOU</w:t>
      </w:r>
    </w:p>
    <w:p w14:paraId="66917B45" w14:textId="77777777" w:rsidR="00873667" w:rsidRPr="00B93F33" w:rsidRDefault="00873667" w:rsidP="00873667">
      <w:pPr>
        <w:spacing w:after="0" w:line="240" w:lineRule="auto"/>
        <w:jc w:val="center"/>
        <w:rPr>
          <w:sz w:val="20"/>
          <w:szCs w:val="20"/>
          <w:rFonts w:asciiTheme="minorHAnsi" w:hAnsiTheme="minorHAnsi" w:cstheme="minorHAnsi"/>
        </w:rPr>
      </w:pPr>
      <w:r>
        <w:rPr>
          <w:sz w:val="20"/>
          <w:rFonts w:asciiTheme="minorHAnsi" w:hAnsiTheme="minorHAnsi"/>
        </w:rPr>
        <w:t xml:space="preserve">Sekretarz stanu ds. mieszkalnictwa i równości szans.</w:t>
      </w:r>
    </w:p>
    <w:p w14:paraId="6FA2FE24" w14:textId="77777777" w:rsidR="00873667" w:rsidRPr="00404725" w:rsidRDefault="00873667" w:rsidP="00873667">
      <w:pPr>
        <w:spacing w:after="0" w:line="240" w:lineRule="auto"/>
        <w:jc w:val="center"/>
        <w:rPr>
          <w:rFonts w:asciiTheme="minorHAnsi" w:hAnsiTheme="minorHAnsi" w:cstheme="minorHAnsi"/>
          <w:sz w:val="20"/>
          <w:szCs w:val="20"/>
          <w:lang w:val="fr-FR"/>
        </w:rPr>
      </w:pPr>
    </w:p>
    <w:p w14:paraId="5AFC9699" w14:textId="77777777" w:rsidR="00873667" w:rsidRPr="00B93F33" w:rsidRDefault="00873667" w:rsidP="00873667">
      <w:pPr>
        <w:spacing w:after="0" w:line="240" w:lineRule="auto"/>
        <w:jc w:val="center"/>
        <w:rPr>
          <w:b/>
          <w:bCs/>
          <w:sz w:val="20"/>
          <w:szCs w:val="20"/>
          <w:rFonts w:asciiTheme="minorHAnsi" w:hAnsiTheme="minorHAnsi" w:cstheme="minorHAnsi"/>
        </w:rPr>
      </w:pPr>
      <w:r>
        <w:rPr>
          <w:b/>
          <w:sz w:val="20"/>
          <w:rFonts w:asciiTheme="minorHAnsi" w:hAnsiTheme="minorHAnsi"/>
        </w:rPr>
        <w:t xml:space="preserve">B. TRACHTE</w:t>
      </w:r>
    </w:p>
    <w:p w14:paraId="272A5E99" w14:textId="77777777" w:rsidR="00873667" w:rsidRPr="00B93F33" w:rsidRDefault="00873667" w:rsidP="00873667">
      <w:pPr>
        <w:spacing w:after="0" w:line="240" w:lineRule="auto"/>
        <w:jc w:val="center"/>
        <w:rPr>
          <w:sz w:val="20"/>
          <w:szCs w:val="20"/>
          <w:rFonts w:asciiTheme="minorHAnsi" w:hAnsiTheme="minorHAnsi" w:cstheme="minorHAnsi"/>
        </w:rPr>
      </w:pPr>
      <w:r>
        <w:rPr>
          <w:sz w:val="20"/>
          <w:rFonts w:asciiTheme="minorHAnsi" w:hAnsiTheme="minorHAnsi"/>
        </w:rPr>
        <w:t xml:space="preserve">Sekretarz stanu ds. transformacji gospodarczej i badań naukowych.</w:t>
      </w:r>
    </w:p>
    <w:p w14:paraId="42F74CF6" w14:textId="77777777" w:rsidR="00873667" w:rsidRPr="00404725" w:rsidRDefault="00873667" w:rsidP="00873667">
      <w:pPr>
        <w:spacing w:after="0" w:line="240" w:lineRule="auto"/>
        <w:rPr>
          <w:rFonts w:asciiTheme="minorHAnsi" w:hAnsiTheme="minorHAnsi" w:cstheme="minorHAnsi"/>
          <w:sz w:val="20"/>
          <w:szCs w:val="20"/>
          <w:lang w:val="fr-FR"/>
        </w:rPr>
      </w:pPr>
    </w:p>
    <w:p w14:paraId="03B3C3B2" w14:textId="77777777" w:rsidR="00873667" w:rsidRPr="00B93F33" w:rsidRDefault="00873667" w:rsidP="00873667">
      <w:pPr>
        <w:spacing w:after="0" w:line="240" w:lineRule="auto"/>
        <w:jc w:val="center"/>
        <w:rPr>
          <w:b/>
          <w:bCs/>
          <w:sz w:val="20"/>
          <w:szCs w:val="20"/>
          <w:rFonts w:asciiTheme="minorHAnsi" w:hAnsiTheme="minorHAnsi" w:cstheme="minorHAnsi"/>
        </w:rPr>
      </w:pPr>
      <w:r>
        <w:rPr>
          <w:b/>
          <w:sz w:val="20"/>
          <w:rFonts w:asciiTheme="minorHAnsi" w:hAnsiTheme="minorHAnsi"/>
        </w:rPr>
        <w:t xml:space="preserve">P. SMET</w:t>
      </w:r>
    </w:p>
    <w:p w14:paraId="2267296E" w14:textId="77777777" w:rsidR="00873667" w:rsidRPr="00B93F33" w:rsidRDefault="00873667" w:rsidP="00873667">
      <w:pPr>
        <w:spacing w:after="0" w:line="240" w:lineRule="auto"/>
        <w:jc w:val="center"/>
        <w:rPr>
          <w:b/>
          <w:bCs/>
          <w:caps/>
          <w:sz w:val="20"/>
          <w:szCs w:val="20"/>
          <w:u w:val="single"/>
          <w:rFonts w:asciiTheme="minorHAnsi" w:hAnsiTheme="minorHAnsi" w:cstheme="minorHAnsi"/>
        </w:rPr>
      </w:pPr>
      <w:r>
        <w:rPr>
          <w:sz w:val="20"/>
          <w:rFonts w:asciiTheme="minorHAnsi" w:hAnsiTheme="minorHAnsi"/>
        </w:rPr>
        <w:t xml:space="preserve">Sekretarz stanu ds. planowania przestrzennego i dziedzictwa, stosunków europejskich i międzynarodowych, handlu zagranicznego oraz walki z pożarami i pomocy medycznej w nagłych wypadkach.</w:t>
      </w:r>
    </w:p>
    <w:p w14:paraId="53382B18" w14:textId="28B96DA2" w:rsidR="00873667" w:rsidRPr="00404725" w:rsidRDefault="00873667" w:rsidP="00873667">
      <w:pPr>
        <w:rPr>
          <w:lang w:val="fr-FR"/>
        </w:rPr>
      </w:pPr>
    </w:p>
    <w:sectPr w:rsidR="00873667" w:rsidRPr="0040472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B379A7"/>
    <w:multiLevelType w:val="hybridMultilevel"/>
    <w:tmpl w:val="7E88C574"/>
    <w:lvl w:ilvl="0" w:tplc="3982BAE0">
      <w:numFmt w:val="bullet"/>
      <w:lvlText w:val="-"/>
      <w:lvlJc w:val="left"/>
      <w:pPr>
        <w:ind w:left="712" w:hanging="360"/>
      </w:pPr>
      <w:rPr>
        <w:rFonts w:ascii="Arial" w:eastAsia="Times New Roman" w:hAnsi="Arial" w:cs="Arial" w:hint="default"/>
      </w:rPr>
    </w:lvl>
    <w:lvl w:ilvl="1" w:tplc="080C0003">
      <w:start w:val="1"/>
      <w:numFmt w:val="bullet"/>
      <w:lvlText w:val="o"/>
      <w:lvlJc w:val="left"/>
      <w:pPr>
        <w:ind w:left="1432" w:hanging="360"/>
      </w:pPr>
      <w:rPr>
        <w:rFonts w:ascii="Courier New" w:hAnsi="Courier New" w:cs="Courier New" w:hint="default"/>
      </w:rPr>
    </w:lvl>
    <w:lvl w:ilvl="2" w:tplc="080C0005">
      <w:start w:val="1"/>
      <w:numFmt w:val="bullet"/>
      <w:lvlText w:val=""/>
      <w:lvlJc w:val="left"/>
      <w:pPr>
        <w:ind w:left="2152" w:hanging="360"/>
      </w:pPr>
      <w:rPr>
        <w:rFonts w:ascii="Wingdings" w:hAnsi="Wingdings" w:hint="default"/>
      </w:rPr>
    </w:lvl>
    <w:lvl w:ilvl="3" w:tplc="080C0001">
      <w:start w:val="1"/>
      <w:numFmt w:val="bullet"/>
      <w:lvlText w:val=""/>
      <w:lvlJc w:val="left"/>
      <w:pPr>
        <w:ind w:left="2872" w:hanging="360"/>
      </w:pPr>
      <w:rPr>
        <w:rFonts w:ascii="Symbol" w:hAnsi="Symbol" w:hint="default"/>
      </w:rPr>
    </w:lvl>
    <w:lvl w:ilvl="4" w:tplc="080C0003">
      <w:start w:val="1"/>
      <w:numFmt w:val="bullet"/>
      <w:lvlText w:val="o"/>
      <w:lvlJc w:val="left"/>
      <w:pPr>
        <w:ind w:left="3592" w:hanging="360"/>
      </w:pPr>
      <w:rPr>
        <w:rFonts w:ascii="Courier New" w:hAnsi="Courier New" w:cs="Courier New" w:hint="default"/>
      </w:rPr>
    </w:lvl>
    <w:lvl w:ilvl="5" w:tplc="080C0005">
      <w:start w:val="1"/>
      <w:numFmt w:val="bullet"/>
      <w:lvlText w:val=""/>
      <w:lvlJc w:val="left"/>
      <w:pPr>
        <w:ind w:left="4312" w:hanging="360"/>
      </w:pPr>
      <w:rPr>
        <w:rFonts w:ascii="Wingdings" w:hAnsi="Wingdings" w:hint="default"/>
      </w:rPr>
    </w:lvl>
    <w:lvl w:ilvl="6" w:tplc="080C0001">
      <w:start w:val="1"/>
      <w:numFmt w:val="bullet"/>
      <w:lvlText w:val=""/>
      <w:lvlJc w:val="left"/>
      <w:pPr>
        <w:ind w:left="5032" w:hanging="360"/>
      </w:pPr>
      <w:rPr>
        <w:rFonts w:ascii="Symbol" w:hAnsi="Symbol" w:hint="default"/>
      </w:rPr>
    </w:lvl>
    <w:lvl w:ilvl="7" w:tplc="080C0003">
      <w:start w:val="1"/>
      <w:numFmt w:val="bullet"/>
      <w:lvlText w:val="o"/>
      <w:lvlJc w:val="left"/>
      <w:pPr>
        <w:ind w:left="5752" w:hanging="360"/>
      </w:pPr>
      <w:rPr>
        <w:rFonts w:ascii="Courier New" w:hAnsi="Courier New" w:cs="Courier New" w:hint="default"/>
      </w:rPr>
    </w:lvl>
    <w:lvl w:ilvl="8" w:tplc="080C0005">
      <w:start w:val="1"/>
      <w:numFmt w:val="bullet"/>
      <w:lvlText w:val=""/>
      <w:lvlJc w:val="left"/>
      <w:pPr>
        <w:ind w:left="6472" w:hanging="360"/>
      </w:pPr>
      <w:rPr>
        <w:rFonts w:ascii="Wingdings" w:hAnsi="Wingdings" w:hint="default"/>
      </w:rPr>
    </w:lvl>
  </w:abstractNum>
  <w:abstractNum w:abstractNumId="1" w15:restartNumberingAfterBreak="0">
    <w:nsid w:val="358434A5"/>
    <w:multiLevelType w:val="hybridMultilevel"/>
    <w:tmpl w:val="BDD2A55E"/>
    <w:lvl w:ilvl="0" w:tplc="080C0017">
      <w:start w:val="1"/>
      <w:numFmt w:val="lowerLetter"/>
      <w:lvlText w:val="%1)"/>
      <w:lvlJc w:val="left"/>
      <w:pPr>
        <w:ind w:left="360" w:hanging="360"/>
      </w:pPr>
    </w:lvl>
    <w:lvl w:ilvl="1" w:tplc="080C0019">
      <w:start w:val="1"/>
      <w:numFmt w:val="lowerLetter"/>
      <w:lvlText w:val="%2."/>
      <w:lvlJc w:val="left"/>
      <w:pPr>
        <w:ind w:left="1080" w:hanging="360"/>
      </w:pPr>
    </w:lvl>
    <w:lvl w:ilvl="2" w:tplc="080C001B">
      <w:start w:val="1"/>
      <w:numFmt w:val="lowerRoman"/>
      <w:lvlText w:val="%3."/>
      <w:lvlJc w:val="right"/>
      <w:pPr>
        <w:ind w:left="1800" w:hanging="180"/>
      </w:pPr>
    </w:lvl>
    <w:lvl w:ilvl="3" w:tplc="080C000F">
      <w:start w:val="1"/>
      <w:numFmt w:val="decimal"/>
      <w:lvlText w:val="%4."/>
      <w:lvlJc w:val="left"/>
      <w:pPr>
        <w:ind w:left="2520" w:hanging="360"/>
      </w:pPr>
    </w:lvl>
    <w:lvl w:ilvl="4" w:tplc="080C0019">
      <w:start w:val="1"/>
      <w:numFmt w:val="lowerLetter"/>
      <w:lvlText w:val="%5."/>
      <w:lvlJc w:val="left"/>
      <w:pPr>
        <w:ind w:left="3240" w:hanging="360"/>
      </w:pPr>
    </w:lvl>
    <w:lvl w:ilvl="5" w:tplc="080C001B">
      <w:start w:val="1"/>
      <w:numFmt w:val="lowerRoman"/>
      <w:lvlText w:val="%6."/>
      <w:lvlJc w:val="right"/>
      <w:pPr>
        <w:ind w:left="3960" w:hanging="180"/>
      </w:pPr>
    </w:lvl>
    <w:lvl w:ilvl="6" w:tplc="080C000F">
      <w:start w:val="1"/>
      <w:numFmt w:val="decimal"/>
      <w:lvlText w:val="%7."/>
      <w:lvlJc w:val="left"/>
      <w:pPr>
        <w:ind w:left="4680" w:hanging="360"/>
      </w:pPr>
    </w:lvl>
    <w:lvl w:ilvl="7" w:tplc="080C0019">
      <w:start w:val="1"/>
      <w:numFmt w:val="lowerLetter"/>
      <w:lvlText w:val="%8."/>
      <w:lvlJc w:val="left"/>
      <w:pPr>
        <w:ind w:left="5400" w:hanging="360"/>
      </w:pPr>
    </w:lvl>
    <w:lvl w:ilvl="8" w:tplc="080C001B">
      <w:start w:val="1"/>
      <w:numFmt w:val="lowerRoman"/>
      <w:lvlText w:val="%9."/>
      <w:lvlJc w:val="right"/>
      <w:pPr>
        <w:ind w:left="6120" w:hanging="180"/>
      </w:pPr>
    </w:lvl>
  </w:abstractNum>
  <w:abstractNum w:abstractNumId="2" w15:restartNumberingAfterBreak="0">
    <w:nsid w:val="35FC517B"/>
    <w:multiLevelType w:val="hybridMultilevel"/>
    <w:tmpl w:val="C5BE886A"/>
    <w:lvl w:ilvl="0" w:tplc="BB6A7E18">
      <w:start w:val="1"/>
      <w:numFmt w:val="decimal"/>
      <w:lvlText w:val="%1."/>
      <w:lvlJc w:val="left"/>
      <w:pPr>
        <w:ind w:left="560" w:hanging="360"/>
      </w:pPr>
    </w:lvl>
    <w:lvl w:ilvl="1" w:tplc="080C0019">
      <w:start w:val="1"/>
      <w:numFmt w:val="lowerLetter"/>
      <w:lvlText w:val="%2."/>
      <w:lvlJc w:val="left"/>
      <w:pPr>
        <w:ind w:left="1280" w:hanging="360"/>
      </w:pPr>
    </w:lvl>
    <w:lvl w:ilvl="2" w:tplc="080C001B">
      <w:start w:val="1"/>
      <w:numFmt w:val="lowerRoman"/>
      <w:lvlText w:val="%3."/>
      <w:lvlJc w:val="right"/>
      <w:pPr>
        <w:ind w:left="2000" w:hanging="180"/>
      </w:pPr>
    </w:lvl>
    <w:lvl w:ilvl="3" w:tplc="080C000F">
      <w:start w:val="1"/>
      <w:numFmt w:val="decimal"/>
      <w:lvlText w:val="%4."/>
      <w:lvlJc w:val="left"/>
      <w:pPr>
        <w:ind w:left="2720" w:hanging="360"/>
      </w:pPr>
    </w:lvl>
    <w:lvl w:ilvl="4" w:tplc="080C0019">
      <w:start w:val="1"/>
      <w:numFmt w:val="lowerLetter"/>
      <w:lvlText w:val="%5."/>
      <w:lvlJc w:val="left"/>
      <w:pPr>
        <w:ind w:left="3440" w:hanging="360"/>
      </w:pPr>
    </w:lvl>
    <w:lvl w:ilvl="5" w:tplc="080C001B">
      <w:start w:val="1"/>
      <w:numFmt w:val="lowerRoman"/>
      <w:lvlText w:val="%6."/>
      <w:lvlJc w:val="right"/>
      <w:pPr>
        <w:ind w:left="4160" w:hanging="180"/>
      </w:pPr>
    </w:lvl>
    <w:lvl w:ilvl="6" w:tplc="080C000F">
      <w:start w:val="1"/>
      <w:numFmt w:val="decimal"/>
      <w:lvlText w:val="%7."/>
      <w:lvlJc w:val="left"/>
      <w:pPr>
        <w:ind w:left="4880" w:hanging="360"/>
      </w:pPr>
    </w:lvl>
    <w:lvl w:ilvl="7" w:tplc="080C0019">
      <w:start w:val="1"/>
      <w:numFmt w:val="lowerLetter"/>
      <w:lvlText w:val="%8."/>
      <w:lvlJc w:val="left"/>
      <w:pPr>
        <w:ind w:left="5600" w:hanging="360"/>
      </w:pPr>
    </w:lvl>
    <w:lvl w:ilvl="8" w:tplc="080C001B">
      <w:start w:val="1"/>
      <w:numFmt w:val="lowerRoman"/>
      <w:lvlText w:val="%9."/>
      <w:lvlJc w:val="right"/>
      <w:pPr>
        <w:ind w:left="6320" w:hanging="180"/>
      </w:pPr>
    </w:lvl>
  </w:abstractNum>
  <w:abstractNum w:abstractNumId="3" w15:restartNumberingAfterBreak="0">
    <w:nsid w:val="4DB14E4F"/>
    <w:multiLevelType w:val="hybridMultilevel"/>
    <w:tmpl w:val="BDD2A55E"/>
    <w:lvl w:ilvl="0" w:tplc="080C0017">
      <w:start w:val="1"/>
      <w:numFmt w:val="lowerLetter"/>
      <w:lvlText w:val="%1)"/>
      <w:lvlJc w:val="left"/>
      <w:pPr>
        <w:ind w:left="360" w:hanging="360"/>
      </w:pPr>
    </w:lvl>
    <w:lvl w:ilvl="1" w:tplc="080C0019">
      <w:start w:val="1"/>
      <w:numFmt w:val="lowerLetter"/>
      <w:lvlText w:val="%2."/>
      <w:lvlJc w:val="left"/>
      <w:pPr>
        <w:ind w:left="1080" w:hanging="360"/>
      </w:pPr>
    </w:lvl>
    <w:lvl w:ilvl="2" w:tplc="080C001B">
      <w:start w:val="1"/>
      <w:numFmt w:val="lowerRoman"/>
      <w:lvlText w:val="%3."/>
      <w:lvlJc w:val="right"/>
      <w:pPr>
        <w:ind w:left="1800" w:hanging="180"/>
      </w:pPr>
    </w:lvl>
    <w:lvl w:ilvl="3" w:tplc="080C000F">
      <w:start w:val="1"/>
      <w:numFmt w:val="decimal"/>
      <w:lvlText w:val="%4."/>
      <w:lvlJc w:val="left"/>
      <w:pPr>
        <w:ind w:left="2520" w:hanging="360"/>
      </w:pPr>
    </w:lvl>
    <w:lvl w:ilvl="4" w:tplc="080C0019">
      <w:start w:val="1"/>
      <w:numFmt w:val="lowerLetter"/>
      <w:lvlText w:val="%5."/>
      <w:lvlJc w:val="left"/>
      <w:pPr>
        <w:ind w:left="3240" w:hanging="360"/>
      </w:pPr>
    </w:lvl>
    <w:lvl w:ilvl="5" w:tplc="080C001B">
      <w:start w:val="1"/>
      <w:numFmt w:val="lowerRoman"/>
      <w:lvlText w:val="%6."/>
      <w:lvlJc w:val="right"/>
      <w:pPr>
        <w:ind w:left="3960" w:hanging="180"/>
      </w:pPr>
    </w:lvl>
    <w:lvl w:ilvl="6" w:tplc="080C000F">
      <w:start w:val="1"/>
      <w:numFmt w:val="decimal"/>
      <w:lvlText w:val="%7."/>
      <w:lvlJc w:val="left"/>
      <w:pPr>
        <w:ind w:left="4680" w:hanging="360"/>
      </w:pPr>
    </w:lvl>
    <w:lvl w:ilvl="7" w:tplc="080C0019">
      <w:start w:val="1"/>
      <w:numFmt w:val="lowerLetter"/>
      <w:lvlText w:val="%8."/>
      <w:lvlJc w:val="left"/>
      <w:pPr>
        <w:ind w:left="5400" w:hanging="360"/>
      </w:pPr>
    </w:lvl>
    <w:lvl w:ilvl="8" w:tplc="080C001B">
      <w:start w:val="1"/>
      <w:numFmt w:val="lowerRoman"/>
      <w:lvlText w:val="%9."/>
      <w:lvlJc w:val="right"/>
      <w:pPr>
        <w:ind w:left="6120" w:hanging="180"/>
      </w:pPr>
    </w:lvl>
  </w:abstractNum>
  <w:abstractNum w:abstractNumId="4" w15:restartNumberingAfterBreak="0">
    <w:nsid w:val="539B2EF4"/>
    <w:multiLevelType w:val="hybridMultilevel"/>
    <w:tmpl w:val="BDD2A55E"/>
    <w:lvl w:ilvl="0" w:tplc="080C0017">
      <w:start w:val="1"/>
      <w:numFmt w:val="lowerLetter"/>
      <w:lvlText w:val="%1)"/>
      <w:lvlJc w:val="left"/>
      <w:pPr>
        <w:ind w:left="360" w:hanging="360"/>
      </w:pPr>
    </w:lvl>
    <w:lvl w:ilvl="1" w:tplc="080C0019">
      <w:start w:val="1"/>
      <w:numFmt w:val="lowerLetter"/>
      <w:lvlText w:val="%2."/>
      <w:lvlJc w:val="left"/>
      <w:pPr>
        <w:ind w:left="1080" w:hanging="360"/>
      </w:pPr>
    </w:lvl>
    <w:lvl w:ilvl="2" w:tplc="080C001B">
      <w:start w:val="1"/>
      <w:numFmt w:val="lowerRoman"/>
      <w:lvlText w:val="%3."/>
      <w:lvlJc w:val="right"/>
      <w:pPr>
        <w:ind w:left="1800" w:hanging="180"/>
      </w:pPr>
    </w:lvl>
    <w:lvl w:ilvl="3" w:tplc="080C000F">
      <w:start w:val="1"/>
      <w:numFmt w:val="decimal"/>
      <w:lvlText w:val="%4."/>
      <w:lvlJc w:val="left"/>
      <w:pPr>
        <w:ind w:left="2520" w:hanging="360"/>
      </w:pPr>
    </w:lvl>
    <w:lvl w:ilvl="4" w:tplc="080C0019">
      <w:start w:val="1"/>
      <w:numFmt w:val="lowerLetter"/>
      <w:lvlText w:val="%5."/>
      <w:lvlJc w:val="left"/>
      <w:pPr>
        <w:ind w:left="3240" w:hanging="360"/>
      </w:pPr>
    </w:lvl>
    <w:lvl w:ilvl="5" w:tplc="080C001B">
      <w:start w:val="1"/>
      <w:numFmt w:val="lowerRoman"/>
      <w:lvlText w:val="%6."/>
      <w:lvlJc w:val="right"/>
      <w:pPr>
        <w:ind w:left="3960" w:hanging="180"/>
      </w:pPr>
    </w:lvl>
    <w:lvl w:ilvl="6" w:tplc="080C000F">
      <w:start w:val="1"/>
      <w:numFmt w:val="decimal"/>
      <w:lvlText w:val="%7."/>
      <w:lvlJc w:val="left"/>
      <w:pPr>
        <w:ind w:left="4680" w:hanging="360"/>
      </w:pPr>
    </w:lvl>
    <w:lvl w:ilvl="7" w:tplc="080C0019">
      <w:start w:val="1"/>
      <w:numFmt w:val="lowerLetter"/>
      <w:lvlText w:val="%8."/>
      <w:lvlJc w:val="left"/>
      <w:pPr>
        <w:ind w:left="5400" w:hanging="360"/>
      </w:pPr>
    </w:lvl>
    <w:lvl w:ilvl="8" w:tplc="080C001B">
      <w:start w:val="1"/>
      <w:numFmt w:val="lowerRoman"/>
      <w:lvlText w:val="%9."/>
      <w:lvlJc w:val="right"/>
      <w:pPr>
        <w:ind w:left="6120" w:hanging="180"/>
      </w:pPr>
    </w:lvl>
  </w:abstractNum>
  <w:num w:numId="1" w16cid:durableId="19616308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7403427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46330790">
    <w:abstractNumId w:val="0"/>
  </w:num>
  <w:num w:numId="4" w16cid:durableId="166369916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629198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dirty" w:grammar="dirty"/>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3667"/>
    <w:rsid w:val="003D1F7F"/>
    <w:rsid w:val="00404725"/>
    <w:rsid w:val="00457E53"/>
    <w:rsid w:val="00873667"/>
    <w:rsid w:val="00AC2FE0"/>
    <w:rsid w:val="00C4092C"/>
    <w:rsid w:val="00DA344D"/>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7E94F7"/>
  <w15:chartTrackingRefBased/>
  <w15:docId w15:val="{36913070-18DD-44A6-BEE9-0B7FBDBFE2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3667"/>
    <w:pPr>
      <w:widowControl w:val="0"/>
      <w:suppressAutoHyphens/>
      <w:autoSpaceDN w:val="0"/>
      <w:spacing w:after="200" w:line="276" w:lineRule="auto"/>
    </w:pPr>
    <w:rPr>
      <w:rFonts w:ascii="Calibri" w:eastAsia="SimSun" w:hAnsi="Calibri" w:cs="Calibri"/>
      <w:kern w:val="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stParagraphChar">
    <w:name w:val="List Paragraph Char"/>
    <w:link w:val="ListParagraph"/>
    <w:uiPriority w:val="34"/>
    <w:locked/>
    <w:rsid w:val="00873667"/>
    <w:rPr>
      <w:rFonts w:ascii="Calibri" w:eastAsia="SimSun" w:hAnsi="Calibri" w:cs="Calibri"/>
      <w:kern w:val="3"/>
    </w:rPr>
  </w:style>
  <w:style w:type="paragraph" w:styleId="ListParagraph">
    <w:name w:val="List Paragraph"/>
    <w:basedOn w:val="Normal"/>
    <w:link w:val="ListParagraphChar"/>
    <w:uiPriority w:val="34"/>
    <w:qFormat/>
    <w:rsid w:val="00873667"/>
    <w:pPr>
      <w:ind w:left="720"/>
      <w:contextualSpacing/>
    </w:pPr>
  </w:style>
  <w:style w:type="paragraph" w:customStyle="1" w:styleId="Textbody">
    <w:name w:val="Text body"/>
    <w:basedOn w:val="Normal"/>
    <w:rsid w:val="00873667"/>
    <w:pPr>
      <w:widowControl/>
      <w:spacing w:after="120" w:line="200" w:lineRule="exact"/>
    </w:pPr>
    <w:rPr>
      <w:rFonts w:ascii="Times New Roman" w:eastAsia="Times New Roman" w:hAnsi="Times New Roman" w:cs="Times New Roman"/>
      <w:sz w:val="18"/>
      <w:szCs w:val="24"/>
      <w:lang w:eastAsia="ar-SA"/>
    </w:rPr>
  </w:style>
  <w:style w:type="table" w:styleId="TableGrid">
    <w:name w:val="Table Grid"/>
    <w:basedOn w:val="TableNormal"/>
    <w:uiPriority w:val="59"/>
    <w:rsid w:val="00873667"/>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873667"/>
    <w:pPr>
      <w:widowControl/>
      <w:suppressAutoHyphens w:val="0"/>
      <w:autoSpaceDN/>
      <w:spacing w:before="100" w:beforeAutospacing="1" w:after="100" w:afterAutospacing="1" w:line="240" w:lineRule="auto"/>
    </w:pPr>
    <w:rPr>
      <w:rFonts w:ascii="Times New Roman" w:eastAsia="Times New Roman" w:hAnsi="Times New Roman" w:cs="Times New Roman"/>
      <w:kern w:val="0"/>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1978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7</Pages>
  <Words>3878</Words>
  <Characters>22107</Characters>
  <Application>Microsoft Office Word</Application>
  <DocSecurity>0</DocSecurity>
  <Lines>184</Lines>
  <Paragraphs>51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25934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CHEIKH Naim</dc:creator>
  <cp:keywords/>
  <dc:description/>
  <cp:lastModifiedBy>Liana Brili</cp:lastModifiedBy>
  <cp:revision>5</cp:revision>
  <dcterms:created xsi:type="dcterms:W3CDTF">2022-10-04T13:25:00Z</dcterms:created>
  <dcterms:modified xsi:type="dcterms:W3CDTF">2022-10-12T11:00:00Z</dcterms:modified>
</cp:coreProperties>
</file>