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b/>
                <w:bCs/>
                <w:sz w:val="20"/>
                <w:szCs w:val="20"/>
                <w:rFonts w:ascii="Calibri" w:hAnsi="Calibri"/>
              </w:rPr>
            </w:pPr>
            <w:r>
              <w:rPr>
                <w:b/>
                <w:sz w:val="20"/>
                <w:rFonts w:ascii="Calibri" w:hAnsi="Calibri"/>
              </w:rPr>
              <w:t xml:space="preserve">ANTEPROJETO DE PORTARIA QUE ALTERA A PORTARIA DE 1 DE MARÇO DE 2007 RELATIVA À PROTEÇÃO DO AMBIENTE CONTRA OS EFEITOS ADVERSOS E NOCIVOS CAUSADOS PELAS RADIAÇÕES NÃO IONIZANTES, A PORTARIA DE 5 DE JUNHO DE 1997 RELATIVA ÀS LICENÇAS AMBIENTAIS E</w:t>
            </w:r>
            <w:r>
              <w:rPr>
                <w:sz w:val="22"/>
                <w:rFonts w:ascii="Calibri" w:hAnsi="Calibri"/>
              </w:rPr>
              <w:t xml:space="preserve"> </w:t>
            </w:r>
            <w:r>
              <w:rPr>
                <w:b/>
                <w:sz w:val="20"/>
                <w:rFonts w:ascii="Calibri" w:hAnsi="Calibri"/>
              </w:rPr>
              <w:t xml:space="preserve">A PORTARIA DE 2 DE MAIO DE 2013 SOBRE O CÓDIGO DE BRUXELAS RELATIVO À GESTÃO DO AR, DO CLIMA E DA ENERGIA</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O Governo da Região de Bruxelas-Capital,</w:t>
            </w:r>
          </w:p>
          <w:p w14:paraId="6A372BBA" w14:textId="77777777" w:rsidR="00873667" w:rsidRDefault="00873667">
            <w:pPr>
              <w:spacing w:after="0" w:line="240" w:lineRule="auto"/>
              <w:jc w:val="both"/>
              <w:rPr>
                <w:rFonts w:asciiTheme="minorHAnsi" w:hAnsiTheme="minorHAnsi"/>
                <w:color w:val="000000" w:themeColor="text1"/>
                <w:sz w:val="20"/>
                <w:szCs w:val="20"/>
                <w:lang w:val="fr-BE"/>
              </w:rPr>
            </w:pPr>
          </w:p>
          <w:p w14:paraId="61958105"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o relatório de avaliação, designado por «teste de igualdade de oportunidades», exigido pelo artigo 2.º, n.º 1, da Portaria de 4 de outubro de 2018 para a introdução do teste de igualdade de oportunidades nas linhas políticas da Região de Bruxelas-Capital e pelo artigo 1.º do Decreto do Governo da Região de Bruxelas-Capital, de 22 de novembro de 2018, que aplica esta portaria;</w:t>
            </w:r>
            <w:r>
              <w:rPr>
                <w:color w:val="000000" w:themeColor="text1"/>
                <w:sz w:val="20"/>
                <w:rFonts w:asciiTheme="minorHAnsi" w:hAnsiTheme="minorHAnsi"/>
              </w:rPr>
              <w:t xml:space="preserve"> </w:t>
            </w:r>
          </w:p>
          <w:p w14:paraId="3F837FB9" w14:textId="77777777" w:rsidR="00873667" w:rsidRDefault="00873667">
            <w:pPr>
              <w:spacing w:after="0" w:line="240" w:lineRule="auto"/>
              <w:jc w:val="both"/>
              <w:rPr>
                <w:rFonts w:asciiTheme="minorHAnsi" w:hAnsiTheme="minorHAnsi"/>
                <w:color w:val="000000" w:themeColor="text1"/>
                <w:sz w:val="20"/>
                <w:szCs w:val="20"/>
                <w:lang w:val="fr-BE"/>
              </w:rPr>
            </w:pPr>
          </w:p>
          <w:p w14:paraId="32C7AD0E"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a Diretiva (UE) 2018/1972 do Parlamento Europeu e do Conselho, de 11 de dezembro de 2018, que estabelece o Código Europeu das Comunicações Eletrónicas, artigo 57.º, n.º 5;</w:t>
            </w:r>
          </w:p>
          <w:p w14:paraId="3146CB8D" w14:textId="77777777" w:rsidR="00873667" w:rsidRDefault="00873667">
            <w:pPr>
              <w:spacing w:after="0" w:line="240" w:lineRule="auto"/>
              <w:jc w:val="both"/>
              <w:rPr>
                <w:rFonts w:asciiTheme="minorHAnsi" w:hAnsiTheme="minorHAnsi"/>
                <w:color w:val="000000" w:themeColor="text1"/>
                <w:sz w:val="20"/>
                <w:szCs w:val="20"/>
                <w:lang w:val="fr-BE"/>
              </w:rPr>
            </w:pPr>
          </w:p>
          <w:p w14:paraId="03FBB56C" w14:textId="77777777" w:rsidR="00873667" w:rsidRDefault="00873667">
            <w:pPr>
              <w:spacing w:after="0" w:line="240" w:lineRule="auto"/>
              <w:jc w:val="both"/>
              <w:rPr>
                <w:rFonts w:asciiTheme="minorHAnsi" w:hAnsiTheme="minorHAnsi"/>
                <w:color w:val="000000" w:themeColor="text1"/>
                <w:sz w:val="20"/>
                <w:szCs w:val="20"/>
                <w:lang w:val="fr-BE"/>
              </w:rPr>
            </w:pPr>
          </w:p>
          <w:p w14:paraId="6A6B918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a Portaria de 1 de março de 2007 relativa à proteção do ambiente contra os efeitos adversos e nocivos causados pelas radiações não ionizantes, com a redação que lhe foi dada pelas Portarias de 3 de abril de 2014, 8 de maio de 2014 e 27 de junho de 2016;</w:t>
            </w:r>
          </w:p>
          <w:p w14:paraId="3BB9CE37" w14:textId="77777777" w:rsidR="00873667" w:rsidRDefault="00873667">
            <w:pPr>
              <w:spacing w:after="0" w:line="240" w:lineRule="auto"/>
              <w:jc w:val="both"/>
              <w:rPr>
                <w:rFonts w:asciiTheme="minorHAnsi" w:hAnsiTheme="minorHAnsi"/>
                <w:color w:val="000000" w:themeColor="text1"/>
                <w:sz w:val="20"/>
                <w:szCs w:val="20"/>
                <w:lang w:val="fr-BE"/>
              </w:rPr>
            </w:pPr>
          </w:p>
          <w:p w14:paraId="6228F157"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o parecer da Brupartners, emitido em 18 de novembro de 2021;</w:t>
            </w:r>
            <w:r>
              <w:rPr>
                <w:color w:val="000000" w:themeColor="text1"/>
                <w:sz w:val="20"/>
                <w:rFonts w:asciiTheme="minorHAnsi" w:hAnsiTheme="minorHAnsi"/>
              </w:rPr>
              <w:t xml:space="preserve"> </w:t>
            </w:r>
          </w:p>
          <w:p w14:paraId="57BF7CE2" w14:textId="77777777" w:rsidR="00873667" w:rsidRDefault="00873667">
            <w:pPr>
              <w:spacing w:after="0" w:line="240" w:lineRule="auto"/>
              <w:jc w:val="both"/>
              <w:rPr>
                <w:rFonts w:asciiTheme="minorHAnsi" w:hAnsiTheme="minorHAnsi"/>
                <w:color w:val="000000" w:themeColor="text1"/>
                <w:sz w:val="20"/>
                <w:szCs w:val="20"/>
                <w:lang w:val="fr-BE"/>
              </w:rPr>
            </w:pPr>
          </w:p>
          <w:p w14:paraId="6826C19E" w14:textId="77777777" w:rsidR="00873667" w:rsidRDefault="00873667">
            <w:pPr>
              <w:spacing w:after="0" w:line="240" w:lineRule="auto"/>
              <w:jc w:val="both"/>
              <w:rPr>
                <w:rFonts w:asciiTheme="minorHAnsi" w:hAnsiTheme="minorHAnsi"/>
                <w:color w:val="000000" w:themeColor="text1"/>
                <w:sz w:val="20"/>
                <w:szCs w:val="20"/>
                <w:lang w:val="fr-BE"/>
              </w:rPr>
            </w:pPr>
          </w:p>
          <w:p w14:paraId="31DEAA3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o parecer do Conselho do Ambiente, emitido em 25 de novembro de 2021;</w:t>
            </w:r>
          </w:p>
          <w:p w14:paraId="46357F7C" w14:textId="77777777" w:rsidR="00873667" w:rsidRDefault="00873667">
            <w:pPr>
              <w:spacing w:after="0" w:line="240" w:lineRule="auto"/>
              <w:jc w:val="both"/>
              <w:rPr>
                <w:rFonts w:asciiTheme="minorHAnsi" w:hAnsiTheme="minorHAnsi"/>
                <w:color w:val="000000" w:themeColor="text1"/>
                <w:sz w:val="20"/>
                <w:szCs w:val="20"/>
                <w:lang w:val="fr-BE"/>
              </w:rPr>
            </w:pPr>
          </w:p>
          <w:p w14:paraId="0D68A10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o parecer do Comité de Peritos sobre Radiações Não Ionizantes, emitido em 4 de fevereiro de 2022;</w:t>
            </w:r>
            <w:r>
              <w:rPr>
                <w:color w:val="000000" w:themeColor="text1"/>
                <w:sz w:val="20"/>
                <w:rFonts w:asciiTheme="minorHAnsi" w:hAnsiTheme="minorHAnsi"/>
              </w:rPr>
              <w:t xml:space="preserve"> </w:t>
            </w:r>
          </w:p>
          <w:p w14:paraId="01F62904" w14:textId="77777777" w:rsidR="00873667" w:rsidRDefault="00873667">
            <w:pPr>
              <w:spacing w:after="0" w:line="240" w:lineRule="auto"/>
              <w:jc w:val="both"/>
              <w:rPr>
                <w:rFonts w:asciiTheme="minorHAnsi" w:hAnsiTheme="minorHAnsi"/>
                <w:color w:val="000000" w:themeColor="text1"/>
                <w:sz w:val="20"/>
                <w:szCs w:val="20"/>
                <w:lang w:val="fr-BE"/>
              </w:rPr>
            </w:pPr>
          </w:p>
          <w:p w14:paraId="5B903D04"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as recomendações do comité deliberativo responsável pela formulação de recomendações sobre a aplicação da tecnologia 5G na Região de Bruxelas-Capital, tendo em conta os aspetos ambientais, sanitários, económicos, laborais e tecnológicos, de 5 de junho de 2021;</w:t>
            </w:r>
          </w:p>
          <w:p w14:paraId="4781B5FF" w14:textId="77777777" w:rsidR="00873667" w:rsidRDefault="00873667">
            <w:pPr>
              <w:spacing w:after="0" w:line="240" w:lineRule="auto"/>
              <w:jc w:val="both"/>
              <w:rPr>
                <w:rFonts w:asciiTheme="minorHAnsi" w:hAnsiTheme="minorHAnsi"/>
                <w:color w:val="000000" w:themeColor="text1"/>
                <w:sz w:val="20"/>
                <w:szCs w:val="20"/>
                <w:lang w:val="fr-BE"/>
              </w:rPr>
            </w:pPr>
          </w:p>
          <w:p w14:paraId="562FC59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a avaliação ambiental efetuada em conformidade com o disposto na Portaria de 18 de março de 2004 relativa à avaliação dos efeitos de determinados planos e programas no ambiente;</w:t>
            </w:r>
            <w:r>
              <w:rPr>
                <w:color w:val="000000" w:themeColor="text1"/>
                <w:sz w:val="20"/>
                <w:rFonts w:asciiTheme="minorHAnsi" w:hAnsiTheme="minorHAnsi"/>
              </w:rPr>
              <w:t xml:space="preserve"> </w:t>
            </w:r>
          </w:p>
          <w:p w14:paraId="01BAFB8F" w14:textId="77777777" w:rsidR="00873667" w:rsidRDefault="00873667">
            <w:pPr>
              <w:spacing w:after="0" w:line="240" w:lineRule="auto"/>
              <w:jc w:val="both"/>
              <w:rPr>
                <w:rFonts w:asciiTheme="minorHAnsi" w:hAnsiTheme="minorHAnsi"/>
                <w:color w:val="000000" w:themeColor="text1"/>
                <w:sz w:val="20"/>
                <w:szCs w:val="20"/>
                <w:lang w:val="fr-BE"/>
              </w:rPr>
            </w:pPr>
          </w:p>
          <w:p w14:paraId="7D51530B"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as leis do Conselho de Estado, com coordenação em 12 de janeiro de 1973, artigo 3.º, §§ 1 e 2;</w:t>
            </w:r>
          </w:p>
          <w:p w14:paraId="33EBD2BF" w14:textId="77777777" w:rsidR="00873667" w:rsidRDefault="00873667">
            <w:pPr>
              <w:spacing w:after="0" w:line="240" w:lineRule="auto"/>
              <w:jc w:val="both"/>
              <w:rPr>
                <w:rFonts w:asciiTheme="minorHAnsi" w:hAnsiTheme="minorHAnsi"/>
                <w:color w:val="000000" w:themeColor="text1"/>
                <w:sz w:val="20"/>
                <w:szCs w:val="20"/>
                <w:lang w:val="fr-BE"/>
              </w:rPr>
            </w:pPr>
          </w:p>
          <w:p w14:paraId="7900BCA1"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Tendo em conta o parecer n.º [*] do Conselho de Estado, emitido em [*];</w:t>
            </w:r>
          </w:p>
          <w:p w14:paraId="2C516520" w14:textId="77777777" w:rsidR="00873667" w:rsidRDefault="00873667">
            <w:pPr>
              <w:spacing w:after="0" w:line="240" w:lineRule="auto"/>
              <w:jc w:val="both"/>
              <w:rPr>
                <w:rFonts w:asciiTheme="minorHAnsi" w:hAnsiTheme="minorHAnsi"/>
                <w:color w:val="000000" w:themeColor="text1"/>
                <w:sz w:val="20"/>
                <w:szCs w:val="20"/>
                <w:lang w:val="fr-BE"/>
              </w:rPr>
            </w:pPr>
          </w:p>
          <w:p w14:paraId="49A1412F"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Considerando que o parecer do Comissão para a Proteção da Privacidade não é necessário, uma vez que o Regulamento (UE) 2016/679 do Parlamento Europeu e do Conselho, de 27 de abril de 2016, relativo à proteção das pessoas singulares no que diz respeito ao tratamento de dados pessoais e à livre circulação desses dados, se aplica apenas aos dados pessoais das pessoas singulares e não aos dados das pessoas coletivas;</w:t>
            </w:r>
            <w:r>
              <w:rPr>
                <w:color w:val="000000" w:themeColor="text1"/>
                <w:sz w:val="20"/>
                <w:rFonts w:asciiTheme="minorHAnsi" w:hAnsiTheme="minorHAnsi"/>
              </w:rPr>
              <w:t xml:space="preserve"> </w:t>
            </w:r>
            <w:r>
              <w:rPr>
                <w:color w:val="000000" w:themeColor="text1"/>
                <w:sz w:val="20"/>
                <w:rFonts w:asciiTheme="minorHAnsi" w:hAnsiTheme="minorHAnsi"/>
              </w:rPr>
              <w:t xml:space="preserve">enquanto que o presente texto diz respeito apenas às pessoas coletivas (operadores) sem afetar os dados pessoais das pessoas singulares;</w:t>
            </w:r>
            <w:r>
              <w:rPr>
                <w:color w:val="000000" w:themeColor="text1"/>
                <w:sz w:val="20"/>
                <w:rFonts w:asciiTheme="minorHAnsi" w:hAnsiTheme="minorHAnsi"/>
              </w:rPr>
              <w:t xml:space="preserve"> </w:t>
            </w:r>
          </w:p>
          <w:p w14:paraId="4A4E89A1" w14:textId="77777777" w:rsidR="00873667" w:rsidRDefault="00873667">
            <w:pPr>
              <w:spacing w:after="0" w:line="240" w:lineRule="auto"/>
              <w:jc w:val="both"/>
              <w:rPr>
                <w:rFonts w:asciiTheme="minorHAnsi" w:hAnsiTheme="minorHAnsi"/>
                <w:color w:val="000000" w:themeColor="text1"/>
                <w:sz w:val="20"/>
                <w:szCs w:val="20"/>
                <w:lang w:val="fr-BE"/>
              </w:rPr>
            </w:pPr>
          </w:p>
          <w:p w14:paraId="4202D25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Sob proposta do Ministro-Presidente e do Ministro do Ambiente,</w:t>
            </w:r>
          </w:p>
          <w:p w14:paraId="014CEA58" w14:textId="77777777" w:rsidR="00873667" w:rsidRDefault="00873667">
            <w:pPr>
              <w:spacing w:after="0" w:line="240" w:lineRule="auto"/>
              <w:jc w:val="both"/>
              <w:rPr>
                <w:rFonts w:asciiTheme="minorHAnsi" w:hAnsiTheme="minorHAnsi"/>
                <w:color w:val="000000" w:themeColor="text1"/>
                <w:sz w:val="20"/>
                <w:szCs w:val="20"/>
                <w:lang w:val="fr-BE"/>
              </w:rPr>
            </w:pPr>
          </w:p>
          <w:p w14:paraId="7EC6DA0D"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Após deliberações,</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b/>
                <w:color w:val="000000" w:themeColor="text1"/>
                <w:sz w:val="20"/>
                <w:szCs w:val="20"/>
                <w:rFonts w:asciiTheme="minorHAnsi" w:hAnsiTheme="minorHAnsi"/>
              </w:rPr>
            </w:pPr>
            <w:r>
              <w:rPr>
                <w:b/>
                <w:color w:val="000000" w:themeColor="text1"/>
                <w:sz w:val="20"/>
                <w:rFonts w:asciiTheme="minorHAnsi" w:hAnsiTheme="minorHAnsi"/>
              </w:rPr>
              <w:t xml:space="preserve">Decreta</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O Ministro do Ambiente é responsável por apresentar ao Parlamento o seguinte projeto de portaria:</w:t>
            </w:r>
            <w:r>
              <w:rPr>
                <w:color w:val="000000" w:themeColor="text1"/>
                <w:sz w:val="20"/>
                <w:rFonts w:asciiTheme="minorHAnsi" w:hAnsiTheme="minorHAnsi"/>
              </w:rPr>
              <w:t xml:space="preserve">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b/>
                <w:bCs/>
                <w:color w:val="000000" w:themeColor="text1"/>
                <w:sz w:val="20"/>
                <w:szCs w:val="20"/>
                <w:rFonts w:asciiTheme="minorHAnsi" w:hAnsiTheme="minorHAnsi"/>
              </w:rPr>
            </w:pPr>
            <w:r>
              <w:rPr>
                <w:b/>
                <w:color w:val="000000" w:themeColor="text1"/>
                <w:sz w:val="20"/>
                <w:rFonts w:asciiTheme="minorHAnsi" w:hAnsiTheme="minorHAnsi"/>
              </w:rPr>
              <w:t xml:space="preserve">Capítulo 1.</w:t>
            </w:r>
            <w:r>
              <w:rPr>
                <w:b/>
                <w:color w:val="000000" w:themeColor="text1"/>
                <w:sz w:val="20"/>
                <w:rFonts w:asciiTheme="minorHAnsi" w:hAnsiTheme="minorHAnsi"/>
              </w:rPr>
              <w:t xml:space="preserve"> </w:t>
            </w:r>
            <w:r>
              <w:rPr>
                <w:b/>
                <w:color w:val="000000" w:themeColor="text1"/>
                <w:sz w:val="20"/>
                <w:rFonts w:asciiTheme="minorHAnsi" w:hAnsiTheme="minorHAnsi"/>
              </w:rPr>
              <w:t xml:space="preserve">Disposições introdutórias</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b/>
                <w:color w:val="000000" w:themeColor="text1"/>
                <w:sz w:val="20"/>
                <w:szCs w:val="20"/>
                <w:rFonts w:asciiTheme="minorHAnsi" w:hAnsiTheme="minorHAnsi"/>
              </w:rPr>
            </w:pPr>
            <w:r>
              <w:rPr>
                <w:b/>
                <w:color w:val="000000" w:themeColor="text1"/>
                <w:sz w:val="20"/>
                <w:rFonts w:asciiTheme="minorHAnsi" w:hAnsiTheme="minorHAnsi"/>
              </w:rPr>
              <w:t xml:space="preserve">Artigo 1.º</w:t>
            </w:r>
          </w:p>
          <w:p w14:paraId="7E06BF8C"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Esta portaria regulamenta uma matéria mencionada no artigo 39.º da Constituição.</w:t>
            </w:r>
            <w:r>
              <w:rPr>
                <w:sz w:val="20"/>
                <w:rFonts w:asciiTheme="minorHAnsi" w:hAnsiTheme="minorHAnsi"/>
              </w:rPr>
              <w:t xml:space="preserve"> </w:t>
            </w:r>
          </w:p>
          <w:p w14:paraId="63EF4B7A" w14:textId="77777777" w:rsidR="00873667" w:rsidRDefault="00873667">
            <w:pPr>
              <w:spacing w:after="0" w:line="240" w:lineRule="auto"/>
              <w:jc w:val="both"/>
              <w:rPr>
                <w:rFonts w:asciiTheme="minorHAnsi" w:hAnsiTheme="minorHAnsi"/>
                <w:sz w:val="20"/>
                <w:szCs w:val="20"/>
                <w:lang w:val="fr-BE"/>
              </w:rPr>
            </w:pPr>
          </w:p>
          <w:p w14:paraId="6E2F7DA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A presente Portaria transpõe parcialmente a</w:t>
            </w:r>
            <w:r>
              <w:t xml:space="preserve"> </w:t>
            </w:r>
            <w:r>
              <w:rPr>
                <w:sz w:val="20"/>
                <w:rFonts w:asciiTheme="minorHAnsi" w:hAnsiTheme="minorHAnsi"/>
              </w:rPr>
              <w:t xml:space="preserve">Diretiva (UE) 2018/1972 do Parlamento Europeu e do Conselho, de 11 de dezembro de 2018, que estabelece o Código Europeu das Comunicações Eletrónicas.</w:t>
            </w:r>
          </w:p>
          <w:p w14:paraId="2EF3826D" w14:textId="77777777" w:rsidR="00873667" w:rsidRDefault="00873667">
            <w:pPr>
              <w:spacing w:after="0" w:line="240" w:lineRule="auto"/>
              <w:jc w:val="both"/>
              <w:rPr>
                <w:bCs/>
                <w:sz w:val="20"/>
                <w:szCs w:val="20"/>
                <w:lang w:val="fr-BE"/>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2.</w:t>
            </w:r>
            <w:r>
              <w:rPr>
                <w:b/>
                <w:sz w:val="20"/>
                <w:rFonts w:asciiTheme="minorHAnsi" w:hAnsiTheme="minorHAnsi"/>
              </w:rPr>
              <w:t xml:space="preserve"> </w:t>
            </w:r>
            <w:r>
              <w:rPr>
                <w:b/>
                <w:sz w:val="20"/>
                <w:rFonts w:asciiTheme="minorHAnsi" w:hAnsiTheme="minorHAnsi"/>
              </w:rPr>
              <w:t xml:space="preserve">Alterações da Portaria de 1 de março de 2007 relativa à proteção do ambiente contra os efeitos adversos e nocivos causados pelas radiações não ionizantes</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2.º</w:t>
            </w:r>
          </w:p>
          <w:p w14:paraId="53C0BEA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No artigo 2.º da Portaria de 1 de março de 2007 relativa à proteção do ambiente contra os efeitos adversos e nocivos causados pelas radiações não ionizantes, com a redação que lhe foi dada pela Portaria de 3 de abril de 2014 e parcialmente anulada pela Decisão n.º 12/2016 do Tribunal Constitucional, são introduzidas as seguintes alterações:</w:t>
            </w:r>
          </w:p>
          <w:p w14:paraId="2460015D" w14:textId="77777777" w:rsidR="00873667" w:rsidRDefault="00873667">
            <w:pPr>
              <w:spacing w:after="0" w:line="240" w:lineRule="auto"/>
              <w:jc w:val="both"/>
              <w:rPr>
                <w:rFonts w:asciiTheme="minorHAnsi" w:hAnsiTheme="minorHAnsi"/>
                <w:sz w:val="20"/>
                <w:szCs w:val="20"/>
                <w:lang w:val="fr-BE"/>
              </w:rPr>
            </w:pPr>
          </w:p>
          <w:p w14:paraId="122112B2"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1, o ponto 2 passa a ter a seguinte redação:</w:t>
            </w:r>
            <w:r>
              <w:rPr>
                <w:sz w:val="20"/>
                <w:rFonts w:asciiTheme="minorHAnsi" w:hAnsiTheme="minorHAnsi"/>
              </w:rPr>
              <w:t xml:space="preserve"> </w:t>
            </w:r>
          </w:p>
          <w:p w14:paraId="19D6FC33"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«áreas acessíveis ao público em recinto fechado»: instalações num edifício onde as pessoas conseguem ou podem permanecer regularmente, nomeadamente, alojamento, hotéis, escolas, creches, hospitais, lares para idosos e edifícios dedicados à prática regular de desportos ou jogos;</w:t>
            </w:r>
          </w:p>
          <w:p w14:paraId="6795F99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2a.</w:t>
            </w:r>
            <w:r>
              <w:rPr>
                <w:sz w:val="20"/>
                <w:rFonts w:asciiTheme="minorHAnsi" w:hAnsiTheme="minorHAnsi"/>
              </w:rPr>
              <w:t xml:space="preserve"> </w:t>
            </w:r>
            <w:r>
              <w:rPr>
                <w:sz w:val="20"/>
                <w:rFonts w:asciiTheme="minorHAnsi" w:hAnsiTheme="minorHAnsi"/>
              </w:rPr>
              <w:t xml:space="preserve">«áreas acessíveis ao público ao ar livre»: espaços exteriores ou afins acessíveis ao público, nomeadamente, jardins, blocos interiores, áreas de estacionamento, parques infantis e alpendres, terraços cobertos e descobertos de edifícios, cubículos de garagem, galpões, jardins de inverno, estufas e outras varandas semelhantes;</w:t>
            </w:r>
          </w:p>
          <w:p w14:paraId="7F94A6C9" w14:textId="77777777" w:rsidR="00873667" w:rsidRDefault="00873667">
            <w:pPr>
              <w:spacing w:after="0" w:line="240" w:lineRule="auto"/>
              <w:jc w:val="both"/>
              <w:rPr>
                <w:rFonts w:asciiTheme="minorHAnsi" w:hAnsiTheme="minorHAnsi"/>
                <w:sz w:val="20"/>
                <w:szCs w:val="20"/>
                <w:lang w:val="fr-BE"/>
              </w:rPr>
            </w:pPr>
          </w:p>
          <w:p w14:paraId="04CF6F2D"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1, ponto 4, alínea c), «.» é substituído por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o n.º 1 é complementado pelos pontos 5, 6, 7, 8, 9 e 10, com a seguinte redação:</w:t>
            </w:r>
            <w:r>
              <w:rPr>
                <w:sz w:val="20"/>
                <w:rFonts w:asciiTheme="minorHAnsi" w:hAnsiTheme="minorHAnsi"/>
              </w:rPr>
              <w:t xml:space="preserve"> </w:t>
            </w:r>
          </w:p>
          <w:p w14:paraId="719074E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«5.</w:t>
            </w:r>
            <w:r>
              <w:rPr>
                <w:sz w:val="20"/>
                <w:rFonts w:asciiTheme="minorHAnsi" w:hAnsiTheme="minorHAnsi"/>
              </w:rPr>
              <w:t xml:space="preserve"> </w:t>
            </w:r>
            <w:r>
              <w:rPr>
                <w:sz w:val="20"/>
                <w:rFonts w:asciiTheme="minorHAnsi" w:hAnsiTheme="minorHAnsi"/>
              </w:rPr>
              <w:t xml:space="preserve">«antena»: sistema de emissões concebido para emitir um sinal de radio telecomunicação por ondas eletromagnéticas;</w:t>
            </w:r>
          </w:p>
          <w:p w14:paraId="4DE0990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6.</w:t>
            </w:r>
            <w:r>
              <w:rPr>
                <w:sz w:val="20"/>
                <w:rFonts w:asciiTheme="minorHAnsi" w:hAnsiTheme="minorHAnsi"/>
              </w:rPr>
              <w:t xml:space="preserve"> </w:t>
            </w:r>
            <w:r>
              <w:rPr>
                <w:sz w:val="20"/>
                <w:rFonts w:asciiTheme="minorHAnsi" w:hAnsiTheme="minorHAnsi"/>
              </w:rPr>
              <w:t xml:space="preserve">«operador»: qualquer pessoa coletiva com o direito de emissão, bem como empresas relacionadas ou associadas na aceção do Código das Sociedades, e de um modo mais geral, qualquer pessoa que opere uma antena, com exceção dos organismos de radiodifusão;</w:t>
            </w:r>
          </w:p>
          <w:p w14:paraId="3C5B91D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7.</w:t>
            </w:r>
            <w:r>
              <w:rPr>
                <w:sz w:val="20"/>
                <w:rFonts w:asciiTheme="minorHAnsi" w:hAnsiTheme="minorHAnsi"/>
              </w:rPr>
              <w:t xml:space="preserve"> </w:t>
            </w:r>
            <w:r>
              <w:rPr>
                <w:sz w:val="20"/>
                <w:rFonts w:asciiTheme="minorHAnsi" w:hAnsiTheme="minorHAnsi"/>
              </w:rPr>
              <w:t xml:space="preserve">«organismo de radiodifusão»: operador de rede a que se refere o artigo 1.3-1.º, ponto 33, do Decreto da Comunidade Francesa, de 4 de fevereiro de 2021, relativo aos serviços de comunicação audiovisuais e aos serviços de partilha de vídeos, ou o artigo 2.º, ponto 22, do Decreto flamengo, de 27 de março de 2009, relativo à radiodifusão e à televisão;</w:t>
            </w:r>
          </w:p>
          <w:p w14:paraId="1FF7897A"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8.</w:t>
            </w:r>
            <w:r>
              <w:rPr>
                <w:sz w:val="20"/>
                <w:rFonts w:asciiTheme="minorHAnsi" w:hAnsiTheme="minorHAnsi"/>
              </w:rPr>
              <w:t xml:space="preserve"> </w:t>
            </w:r>
            <w:r>
              <w:rPr>
                <w:sz w:val="20"/>
                <w:rFonts w:asciiTheme="minorHAnsi" w:hAnsiTheme="minorHAnsi"/>
              </w:rPr>
              <w:t xml:space="preserve">«situação de emergência»: qualquer acontecimento pontual que cause ou seja suscetível de causar consequências nocivas para a vida social, como uma grave perturbação da segurança pública, uma ameaça grave para a vida ou saúde dos indivíduos e/ou interesses materiais importantes, e que exija a coordenação de intervenientes competentes, incluindo disciplina, a fim de eliminar a ameaça ou de limitar as consequências adversas do acontecimento;</w:t>
            </w:r>
          </w:p>
          <w:p w14:paraId="7661DE0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9.</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OMC (Operation and Maintenance Centre)»: um elemento técnico essencial de uma rede, criado para assegurar a sua gestão e incluindo, em particular, a análise das configurações utilizadas na rede, contadores e estatísticas;</w:t>
            </w:r>
          </w:p>
          <w:p w14:paraId="238F3159" w14:textId="77777777" w:rsidR="00873667" w:rsidRDefault="00873667">
            <w:pPr>
              <w:spacing w:after="0" w:line="240" w:lineRule="auto"/>
              <w:ind w:left="352"/>
              <w:jc w:val="both"/>
              <w:rPr>
                <w:rFonts w:asciiTheme="minorHAnsi" w:hAnsiTheme="minorHAnsi"/>
                <w:sz w:val="20"/>
                <w:szCs w:val="20"/>
                <w:lang w:val="fr-BE"/>
              </w:rPr>
            </w:pPr>
          </w:p>
          <w:p w14:paraId="4764DA67" w14:textId="768F3E3C"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10.</w:t>
            </w:r>
            <w:r>
              <w:rPr>
                <w:sz w:val="20"/>
                <w:rFonts w:asciiTheme="minorHAnsi" w:hAnsiTheme="minorHAnsi"/>
              </w:rPr>
              <w:t xml:space="preserve"> </w:t>
            </w:r>
            <w:r>
              <w:rPr>
                <w:sz w:val="20"/>
                <w:rFonts w:asciiTheme="minorHAnsi" w:hAnsiTheme="minorHAnsi"/>
              </w:rPr>
              <w:t xml:space="preserve">«Base de dados UrbIS-Adm 3D»: um banco de dados com informações de valor único e original para a Região de Bruxelas-Capital e que oferece garantias específicas quanto à exatidão, integralidade e disponibilidade das informações, com referência no anexo do Acordo de Cooperação de 18 de abril de 2014</w:t>
            </w:r>
            <w:r>
              <w:t xml:space="preserve"> </w:t>
            </w:r>
            <w:r>
              <w:rPr>
                <w:sz w:val="20"/>
                <w:rFonts w:asciiTheme="minorHAnsi" w:hAnsiTheme="minorHAnsi"/>
              </w:rPr>
              <w:t xml:space="preserve">entre o Estado Federal, a Região Flamenga, a Região da Valónia e a Região de Bruxelas-Capital relativo à Estrutura de Coordenação da Informação sobre o Património.»;</w:t>
            </w:r>
          </w:p>
          <w:p w14:paraId="031B8EAB" w14:textId="77777777" w:rsidR="00873667" w:rsidRDefault="00873667">
            <w:pPr>
              <w:spacing w:after="0" w:line="240" w:lineRule="auto"/>
              <w:jc w:val="both"/>
              <w:rPr>
                <w:rFonts w:asciiTheme="minorHAnsi" w:hAnsiTheme="minorHAnsi"/>
                <w:sz w:val="20"/>
                <w:szCs w:val="20"/>
                <w:lang w:val="fr-BE"/>
              </w:rPr>
            </w:pPr>
          </w:p>
          <w:p w14:paraId="533CE327"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o n.º 2, parágrafo 2, passa a ter a seguinte redação:</w:t>
            </w:r>
            <w:r>
              <w:rPr>
                <w:sz w:val="20"/>
                <w:rFonts w:asciiTheme="minorHAnsi" w:hAnsiTheme="minorHAnsi"/>
              </w:rPr>
              <w:t xml:space="preserve"> </w:t>
            </w:r>
          </w:p>
          <w:p w14:paraId="61E32F6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As disposições da presente Portaria não se aplicam em situações de emergência.».</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3.º</w:t>
            </w:r>
          </w:p>
          <w:p w14:paraId="697447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No artigo 3.º da presente Portaria, são introduzidas as seguintes alterações:</w:t>
            </w:r>
          </w:p>
          <w:p w14:paraId="2CF8E143" w14:textId="77777777" w:rsidR="00873667" w:rsidRDefault="00873667">
            <w:pPr>
              <w:spacing w:after="0" w:line="240" w:lineRule="auto"/>
              <w:jc w:val="both"/>
              <w:rPr>
                <w:rFonts w:asciiTheme="minorHAnsi" w:hAnsiTheme="minorHAnsi"/>
                <w:sz w:val="20"/>
                <w:szCs w:val="20"/>
                <w:lang w:val="fr-BE"/>
              </w:rPr>
            </w:pPr>
          </w:p>
          <w:p w14:paraId="62E692B7"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1, os parágrafos 2 a 4 são revogados;</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é inserido um n.º 1a com a seguinte redação:</w:t>
            </w:r>
          </w:p>
          <w:p w14:paraId="76FBDA5D" w14:textId="47CF473E" w:rsidR="00873667" w:rsidRDefault="00873667">
            <w:pPr>
              <w:spacing w:after="0" w:line="240" w:lineRule="auto"/>
              <w:ind w:left="352"/>
              <w:jc w:val="both"/>
              <w:rPr>
                <w:sz w:val="20"/>
                <w:rFonts w:asciiTheme="minorHAnsi" w:hAnsiTheme="minorHAnsi"/>
              </w:rPr>
            </w:pPr>
            <w:r>
              <w:rPr>
                <w:sz w:val="20"/>
                <w:rFonts w:asciiTheme="minorHAnsi" w:hAnsiTheme="minorHAnsi"/>
              </w:rPr>
              <w:t xml:space="preserve">«§ 1a.</w:t>
            </w:r>
            <w:r>
              <w:rPr>
                <w:sz w:val="20"/>
                <w:rFonts w:asciiTheme="minorHAnsi" w:hAnsiTheme="minorHAnsi"/>
              </w:rPr>
              <w:t xml:space="preserve"> </w:t>
            </w:r>
            <w:r>
              <w:rPr>
                <w:sz w:val="20"/>
                <w:rFonts w:asciiTheme="minorHAnsi" w:hAnsiTheme="minorHAnsi"/>
              </w:rPr>
              <w:t xml:space="preserve">Sem prejuízo do disposto nos números 1a e 4, em todas as áreas acessíveis ao público no interior e no exterior, as densidades de potência das radiações não ionizantes não devem, em momento algum, exceder os seguintes valores nas áreas acessíveis ao público em recinto fechado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lang w:val="fr-BE"/>
                </w:rPr>
                <m:t>)</m:t>
              </m:r>
            </m:oMath>
            <w:r>
              <w:rPr>
                <w:sz w:val="20"/>
                <w:rFonts w:asciiTheme="minorHAnsi" w:hAnsiTheme="minorHAnsi"/>
              </w:rPr>
              <w:t xml:space="preserve"> e em áreas acessíveis ao público ao ar livre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lang w:val="fr-BE"/>
                </w:rPr>
                <m:t>)</m:t>
              </m:r>
            </m:oMath>
            <w:r>
              <w:rPr>
                <w:sz w:val="20"/>
                <w:rFonts w:asciiTheme="minorHAnsi" w:hAnsiTheme="minorHAnsi"/>
              </w:rPr>
              <w:t xml:space="preserve">:</w:t>
            </w:r>
            <w:r>
              <w:rPr>
                <w:sz w:val="20"/>
                <w:rFonts w:asciiTheme="minorHAnsi" w:hAnsiTheme="minorHAnsi"/>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Frequências</w:t>
                  </w:r>
                  <w:r>
                    <w:rPr>
                      <w:color w:val="000000"/>
                      <w:sz w:val="20"/>
                      <w:rFonts w:asciiTheme="minorHAnsi" w:hAnsiTheme="minorHAnsi"/>
                    </w:rPr>
                    <w:t xml:space="preserv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0,1 a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400 a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r-BE"/>
                      </w:rPr>
                      <m:t xml:space="preserve"> </m:t>
                    </m:r>
                  </m:oMath>
                  <w:r>
                    <w:rPr>
                      <w:color w:val="000000"/>
                      <w:sz w:val="20"/>
                      <w:rFonts w:asciiTheme="minorHAnsi" w:hAnsiTheme="minorHAnsi"/>
                    </w:rPr>
                    <w:t xml:space="preserve">/1597,28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2 a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0,4992</w:t>
                  </w:r>
                </w:p>
              </w:tc>
            </w:tr>
          </w:tbl>
          <w:p w14:paraId="674B9356" w14:textId="77777777" w:rsidR="00873667" w:rsidRDefault="00873667">
            <w:pPr>
              <w:spacing w:after="0" w:line="240" w:lineRule="auto"/>
              <w:ind w:left="352"/>
              <w:jc w:val="both"/>
              <w:rPr>
                <w:sz w:val="20"/>
                <w:szCs w:val="20"/>
                <w:rFonts w:asciiTheme="minorHAnsi" w:hAnsiTheme="minorHAnsi"/>
              </w:rPr>
            </w:pPr>
            <w:r>
              <w:rPr>
                <w:sz w:val="20"/>
                <w:rFonts w:ascii="Times New Roman" w:hAnsi="Times New Roman"/>
              </w:rPr>
              <w:t xml:space="preserve">onde </w:t>
            </w:r>
            <m:oMath>
              <m:r>
                <w:rPr>
                  <w:rFonts w:ascii="Cambria Math" w:hAnsi="Cambria Math"/>
                  <w:sz w:val="20"/>
                  <w:szCs w:val="20"/>
                  <w:lang w:val="nl-NL"/>
                </w:rPr>
                <m:t>f</m:t>
              </m:r>
              <m:r>
                <w:rPr>
                  <w:rFonts w:ascii="Cambria Math" w:hAnsi="Cambria Math"/>
                  <w:sz w:val="20"/>
                  <w:szCs w:val="20"/>
                  <w:lang w:val="fr-BE"/>
                </w:rPr>
                <m:t xml:space="preserve"> </m:t>
              </m:r>
            </m:oMath>
            <w:r>
              <w:rPr>
                <w:sz w:val="20"/>
                <w:rFonts w:asciiTheme="minorHAnsi" w:hAnsiTheme="minorHAnsi"/>
              </w:rPr>
              <w:t xml:space="preserve">a frequência é expressa em MHz.</w:t>
            </w:r>
          </w:p>
          <w:p w14:paraId="2801D7D3" w14:textId="77777777" w:rsidR="00AC2FE0" w:rsidRDefault="00873667">
            <w:pPr>
              <w:pStyle w:val="ListParagraph"/>
              <w:widowControl/>
              <w:suppressAutoHyphens w:val="0"/>
              <w:spacing w:after="0" w:line="240" w:lineRule="auto"/>
              <w:ind w:left="360"/>
              <w:jc w:val="both"/>
              <w:rPr>
                <w:sz w:val="20"/>
                <w:szCs w:val="20"/>
                <w:rFonts w:asciiTheme="minorHAnsi" w:eastAsia="Times New Roman" w:hAnsiTheme="minorHAnsi" w:cstheme="minorHAnsi"/>
              </w:rPr>
            </w:pPr>
            <w:r>
              <w:rPr>
                <w:sz w:val="20"/>
                <w:rFonts w:asciiTheme="minorHAnsi" w:hAnsiTheme="minorHAnsi"/>
              </w:rPr>
              <w:t xml:space="preserve">A título indicativo, a 900 MHz, a norma</w:t>
            </w:r>
            <w:r>
              <w:rPr>
                <w:sz w:val="20"/>
                <w:rFonts w:asciiTheme="minorHAnsi" w:hAnsiTheme="minorHAnsi"/>
              </w:rPr>
              <w:t xml:space="preserve"> </w:t>
            </w:r>
          </w:p>
          <w:p w14:paraId="5960402E" w14:textId="451DEC5F" w:rsidR="00873667" w:rsidRDefault="00C4092C">
            <w:pPr>
              <w:pStyle w:val="ListParagraph"/>
              <w:widowControl/>
              <w:suppressAutoHyphens w:val="0"/>
              <w:spacing w:after="0" w:line="240" w:lineRule="auto"/>
              <w:ind w:left="360"/>
              <w:jc w:val="both"/>
              <w:rPr>
                <w:sz w:val="20"/>
                <w:szCs w:val="20"/>
                <w:rFonts w:asciiTheme="minorHAnsi" w:hAnsiTheme="minorHAnsi"/>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Pr>
                <w:sz w:val="20"/>
                <w:rFonts w:asciiTheme="minorHAnsi" w:hAnsiTheme="minorHAnsi"/>
              </w:rPr>
              <w:t xml:space="preserve"> = 0,2243</w:t>
            </w:r>
            <w:r>
              <w:rPr>
                <w:sz w:val="20"/>
                <w:rFonts w:asciiTheme="minorHAnsi" w:hAnsiTheme="minorHAnsi"/>
              </w:rPr>
              <w:t xml:space="preserve"> </w:t>
            </w:r>
            <w:r>
              <w:rPr>
                <w:sz w:val="20"/>
                <w:rFonts w:asciiTheme="minorHAnsi" w:hAnsiTheme="minorHAnsi"/>
              </w:rPr>
              <w:t xml:space="preserve">W/m² corresponde a um campo elétrico,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Pr>
                <w:sz w:val="20"/>
                <w:rFonts w:asciiTheme="minorHAnsi" w:hAnsiTheme="minorHAnsi"/>
              </w:rPr>
              <w:t xml:space="preserve"> = 9,19 V/m;</w:t>
            </w:r>
            <w:r>
              <w:rPr>
                <w:sz w:val="20"/>
                <w:rFonts w:asciiTheme="minorHAnsi" w:hAnsiTheme="minorHAnsi"/>
              </w:rPr>
              <w:t xml:space="preserve"> </w:t>
            </w:r>
            <w:r>
              <w:rPr>
                <w:sz w:val="20"/>
                <w:rFonts w:asciiTheme="minorHAnsi" w:hAnsiTheme="minorHAnsi"/>
              </w:rPr>
              <w:t xml:space="preserve">enquanto a norma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0,5635 W/m² corresponde a um campo elétrico,</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 14,57 V/m.</w:t>
            </w:r>
          </w:p>
          <w:p w14:paraId="5C8AFACD"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Contrariamente ao disposto no parágrafo anterior, as densidades de potência de radiações não ionizantes aplicáveis nas áreas acessíveis ao público ao ar livre são igualmente aplicáveis nas áreas acessíveis ao público em recinto fechado, quando, nessas áreas, janelas ou portas, com abertura para o exterior, são abertas.»;</w:t>
            </w:r>
          </w:p>
          <w:p w14:paraId="5AC47F5C" w14:textId="77777777" w:rsidR="00873667" w:rsidRDefault="00873667">
            <w:pPr>
              <w:widowControl/>
              <w:suppressAutoHyphens w:val="0"/>
              <w:spacing w:after="0" w:line="240" w:lineRule="auto"/>
              <w:jc w:val="both"/>
              <w:rPr>
                <w:rFonts w:asciiTheme="minorHAnsi" w:hAnsiTheme="minorHAnsi"/>
                <w:sz w:val="20"/>
                <w:szCs w:val="20"/>
                <w:lang w:val="fr-BE"/>
              </w:rPr>
            </w:pPr>
          </w:p>
          <w:p w14:paraId="3F56D40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é inserido um n.º 1b, com a seguinte redação:</w:t>
            </w:r>
          </w:p>
          <w:p w14:paraId="0111B2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1b.</w:t>
            </w:r>
            <w:r>
              <w:rPr>
                <w:sz w:val="20"/>
                <w:rFonts w:asciiTheme="minorHAnsi" w:hAnsiTheme="minorHAnsi"/>
              </w:rPr>
              <w:t xml:space="preserve"> </w:t>
            </w:r>
            <w:r>
              <w:rPr>
                <w:sz w:val="20"/>
                <w:rFonts w:asciiTheme="minorHAnsi" w:hAnsiTheme="minorHAnsi"/>
              </w:rPr>
              <w:t xml:space="preserve">No caso dos campos eletromagnéticos compostos, aplicam-se as seguintes limitações aos campos eletromagnéticos em áreas acessíveis ao público em recinto fechado e ao ar livre:</w:t>
            </w:r>
          </w:p>
          <w:p w14:paraId="1EEECA5D" w14:textId="77777777" w:rsidR="00873667" w:rsidRDefault="00873667">
            <w:pPr>
              <w:spacing w:after="0" w:line="240" w:lineRule="auto"/>
              <w:ind w:left="352"/>
              <w:jc w:val="both"/>
              <w:rPr>
                <w:sz w:val="20"/>
                <w:szCs w:val="20"/>
                <w:rFonts w:asciiTheme="minorHAnsi" w:hAnsiTheme="minorHAnsi"/>
              </w:rPr>
            </w:pPr>
            <m:oMathPara>
              <m:oMath>
                <m:r>
                  <w:rPr>
                    <w:rFonts w:ascii="Cambria Math" w:hAnsi="Cambria Math"/>
                    <w:sz w:val="20"/>
                    <w:szCs w:val="20"/>
                    <w:lang w:val="fr-BE"/>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em que:</w:t>
            </w:r>
          </w:p>
          <w:p w14:paraId="356BF7CB"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Pr>
                <w:sz w:val="20"/>
                <w:rFonts w:asciiTheme="minorHAnsi" w:hAnsiTheme="minorHAnsi"/>
              </w:rPr>
              <w:t xml:space="preserve"> é a densidade de potência na frequência i;</w:t>
            </w:r>
          </w:p>
          <w:p w14:paraId="0A0E0802"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Pr>
                <w:sz w:val="20"/>
                <w:rFonts w:asciiTheme="minorHAnsi" w:hAnsiTheme="minorHAnsi"/>
              </w:rPr>
              <w:t xml:space="preserve"> é o limite da densidade de potência na frequência i, tal como definido na tabela referida no n.º 1a do presente artigo.</w:t>
            </w:r>
            <w:r>
              <w:rPr>
                <w:sz w:val="20"/>
                <w:rFonts w:asciiTheme="minorHAnsi" w:hAnsiTheme="minorHAnsi"/>
              </w:rPr>
              <w:t xml:space="preserve"> </w:t>
            </w:r>
          </w:p>
          <w:p w14:paraId="5755DF5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A densidade de potência da radiação deve ser calculada e/ou medida de acordo com os procedimentos estabelecidos pelo Governo, nomeadamente com base nos pareceres e recomendações das autoridades internacionais competentes.»;</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é inserido um n.º 1c, com a seguinte redação:</w:t>
            </w:r>
            <w:r>
              <w:rPr>
                <w:sz w:val="20"/>
                <w:rFonts w:asciiTheme="minorHAnsi" w:hAnsiTheme="minorHAnsi"/>
              </w:rPr>
              <w:t xml:space="preserve"> </w:t>
            </w:r>
          </w:p>
          <w:p w14:paraId="769F4642"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 1c.</w:t>
            </w:r>
            <w:r>
              <w:rPr>
                <w:sz w:val="20"/>
                <w:rFonts w:asciiTheme="minorHAnsi" w:hAnsiTheme="minorHAnsi"/>
              </w:rPr>
              <w:t xml:space="preserve">  </w:t>
            </w:r>
            <w:r>
              <w:rPr>
                <w:sz w:val="20"/>
                <w:rFonts w:asciiTheme="minorHAnsi" w:hAnsiTheme="minorHAnsi"/>
              </w:rPr>
              <w:t xml:space="preserve">São proibidas as antenas que geram radiações não ionizantes na gama de frequências entre 20 GHz e 300 GHz.</w:t>
            </w:r>
            <w:r>
              <w:rPr>
                <w:sz w:val="20"/>
                <w:rFonts w:asciiTheme="minorHAnsi" w:hAnsiTheme="minorHAnsi"/>
              </w:rPr>
              <w:t xml:space="preserve"> </w:t>
            </w:r>
            <w:r>
              <w:rPr>
                <w:sz w:val="20"/>
                <w:rFonts w:asciiTheme="minorHAnsi" w:hAnsiTheme="minorHAnsi"/>
              </w:rPr>
              <w:t xml:space="preserve">O Governo está habilitado a autorizar estas antenas em conformidade com as autorizações emitidas por outros níveis de autoridade.</w:t>
            </w:r>
          </w:p>
          <w:p w14:paraId="5757430B"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As antenas do tipo ligação de micro-ondas não são abrangidas pela proibição referida no parágrafo anterior.»;</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2, primeiro parágrafo, o termo «nove» é substituído por «entre sete e treze»;</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2, terceiro parágrafo, os termos «imperativos económicos e de saúde pública» são substituídos por «imperativos económicos, de saúde pública e de respeito pelos imperativos ambientais»;</w:t>
            </w:r>
            <w:r>
              <w:rPr>
                <w:sz w:val="20"/>
                <w:rFonts w:asciiTheme="minorHAnsi" w:hAnsiTheme="minorHAnsi"/>
              </w:rPr>
              <w:t xml:space="preserv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2, terceiro parágrafo, a frase «O relatório será publicado no sítio Web do Instituto de Bruxelas para a Gestão do Ambiente no prazo de três meses após a sua receção pelo Governo.» é substituída pela frase «O Governo apresentará anualmente o relatório ao Parlamento e o Ambiente de Bruxelas publicá-lo no seu sítio Web no prazo de três meses após a sua aceitação pelo Governo.»;</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2, terceiro parágrafo, é revogada a frase «O primeiro relatório deve ser apresentado ao Governo até 1 de setembro de 2014.»;</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no n.º 2, quarto parágrafo, os termos «operadores de instalações capazes de produzir ou transmitir radiações não ionizantes» e «Ambiente de Bruxelas» são substituídos por «operadores e organismos de radiodifusão» e «Ambiente de Bruxelas e Urbanismo e Património de Bruxelas»;</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sz w:val="20"/>
                <w:szCs w:val="20"/>
                <w:rFonts w:asciiTheme="minorHAnsi" w:hAnsiTheme="minorHAnsi"/>
              </w:rPr>
            </w:pPr>
            <w:r>
              <w:rPr>
                <w:sz w:val="20"/>
                <w:rFonts w:asciiTheme="minorHAnsi" w:hAnsiTheme="minorHAnsi"/>
              </w:rPr>
              <w:t xml:space="preserve">o n.º 2 é complementado por um novo parágrafo, com a seguinte redação:</w:t>
            </w:r>
          </w:p>
          <w:p w14:paraId="272B3177"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 Comité emite parecer sobre todos os projetos de emenda da presente portaria e sobre a adoção ou alteração das suas medidas de execução.</w:t>
            </w:r>
            <w:r>
              <w:rPr>
                <w:sz w:val="20"/>
                <w:rFonts w:asciiTheme="minorHAnsi" w:hAnsiTheme="minorHAnsi"/>
              </w:rPr>
              <w:t xml:space="preserve"> </w:t>
            </w:r>
          </w:p>
          <w:p w14:paraId="3F15769A"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O Comité pode colaborar com qualquer perito científico ou grupo de peritos estabelecido a nível internacional, federal, regional ou local.»;</w:t>
            </w:r>
          </w:p>
          <w:p w14:paraId="3573B9A7" w14:textId="77777777" w:rsidR="00873667" w:rsidRDefault="00873667">
            <w:pPr>
              <w:widowControl/>
              <w:suppressAutoHyphens w:val="0"/>
              <w:spacing w:after="0" w:line="240" w:lineRule="auto"/>
              <w:jc w:val="both"/>
              <w:rPr>
                <w:rFonts w:asciiTheme="minorHAnsi" w:hAnsiTheme="minorHAnsi"/>
                <w:sz w:val="20"/>
                <w:szCs w:val="20"/>
                <w:lang w:val="fr-BE"/>
              </w:rPr>
            </w:pPr>
          </w:p>
          <w:p w14:paraId="33A60EFD"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é inserido um n.º 3 com a seguinte redação:</w:t>
            </w:r>
            <w:r>
              <w:rPr>
                <w:sz w:val="20"/>
                <w:rFonts w:asciiTheme="minorHAnsi" w:hAnsiTheme="minorHAnsi"/>
              </w:rPr>
              <w:t xml:space="preserve"> </w:t>
            </w:r>
          </w:p>
          <w:p w14:paraId="0499D92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O Governo conclui com os operadores um estatuto de boa conduta destinada, nomeadamente, a proporcionar aos cidadãos a maior transparência possível no que diz respeito ao desenvolvimento das redes telefónicas móveis, a estabelecer uma ou mais linhas de conduta para os operadores, a nível técnico, ambiental e de saúde pública, e/ou a fixar objetivos para os operadores em matéria de gestão de resíduos relacionados com o desenvolvimento de redes telefónicas móveis.</w:t>
            </w:r>
          </w:p>
          <w:p w14:paraId="1D2C6D7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Os operadores podem celebrar, alterar ou renovar coletivamente um acordo ambiental com a Região, em conformidade com o disposto na Portaria de 29 de abril de 2004 relativa aos acordos ambientais.»;</w:t>
            </w:r>
          </w:p>
          <w:p w14:paraId="4C6FF580" w14:textId="77777777" w:rsidR="00873667" w:rsidRDefault="00873667">
            <w:pPr>
              <w:spacing w:after="0" w:line="240" w:lineRule="auto"/>
              <w:ind w:left="352"/>
              <w:jc w:val="both"/>
              <w:rPr>
                <w:rFonts w:asciiTheme="minorHAnsi" w:hAnsiTheme="minorHAnsi"/>
                <w:sz w:val="20"/>
                <w:szCs w:val="20"/>
                <w:lang w:val="fr-BE"/>
              </w:rPr>
            </w:pPr>
          </w:p>
          <w:p w14:paraId="7E29FAB9" w14:textId="77777777" w:rsidR="00873667" w:rsidRDefault="00873667" w:rsidP="00242999">
            <w:pPr>
              <w:pStyle w:val="ListParagraph"/>
              <w:numPr>
                <w:ilvl w:val="0"/>
                <w:numId w:val="2"/>
              </w:numPr>
              <w:spacing w:after="0" w:line="240" w:lineRule="auto"/>
              <w:jc w:val="both"/>
              <w:rPr>
                <w:sz w:val="20"/>
                <w:szCs w:val="20"/>
                <w:rFonts w:asciiTheme="minorHAnsi" w:hAnsiTheme="minorHAnsi"/>
              </w:rPr>
            </w:pPr>
            <w:r>
              <w:rPr>
                <w:sz w:val="20"/>
                <w:rFonts w:asciiTheme="minorHAnsi" w:hAnsiTheme="minorHAnsi"/>
              </w:rPr>
              <w:t xml:space="preserve">é inserido um n.º 4 com a seguinte redação:</w:t>
            </w:r>
          </w:p>
          <w:p w14:paraId="2B84997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Sempre que as normas referidas no n.º 1a forem excedidas, aplica-se o presente número.</w:t>
            </w:r>
            <w:r>
              <w:rPr>
                <w:sz w:val="20"/>
                <w:rFonts w:asciiTheme="minorHAnsi" w:hAnsiTheme="minorHAnsi"/>
              </w:rPr>
              <w:t xml:space="preserve"> </w:t>
            </w:r>
          </w:p>
          <w:p w14:paraId="19017495"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Os operadores cujas antenas contribuam para exceder as normas referidas no n.º 1a devem reduzir o campo elétrico emitido pelas suas antenas, de modo a que as normas referidas no n.º 1a sejam cumpridas, quando apropriado mediante consulta entre si e com os organismos de radiodifusão.</w:t>
            </w:r>
          </w:p>
          <w:p w14:paraId="67E22AA1"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Os organismos de radiodifusão cujas antenas contribuam para exceder as normas referidas no n.º 1a devem fornecer aos operadores e ao Ambiente de Bruxelas todas as informações técnicas relativas às radiações não ionizantes provenientes das antenas em causa, se forem diferentes das fornecidas nos termos do artigo 4.º.</w:t>
            </w:r>
            <w:r>
              <w:rPr>
                <w:sz w:val="20"/>
                <w:rFonts w:asciiTheme="minorHAnsi" w:hAnsiTheme="minorHAnsi"/>
              </w:rPr>
              <w:t xml:space="preserve"> </w:t>
            </w:r>
          </w:p>
          <w:p w14:paraId="6A8A4CA9"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O Governo pode especificar as condições desta consulta e o método a aplicar pelos operadores, a fim de, se for caso disso, reduzir a respetiva quota-parte em relação à densidade de potência que exceda as normas referidas no n.º 1a.</w:t>
            </w:r>
            <w:r>
              <w:rPr>
                <w:sz w:val="20"/>
                <w:rFonts w:asciiTheme="minorHAnsi" w:hAnsiTheme="minorHAnsi"/>
              </w:rPr>
              <w:t xml:space="preserve"> </w:t>
            </w:r>
            <w:r>
              <w:rPr>
                <w:sz w:val="20"/>
                <w:rFonts w:asciiTheme="minorHAnsi" w:hAnsiTheme="minorHAnsi"/>
              </w:rPr>
              <w:t xml:space="preserve">O Governo deve especificar os termos e condições em caso de acordo entre os operadores e, na ausência de acordo, as obrigações que lhes possam ser impostas.</w:t>
            </w:r>
            <w:r>
              <w:rPr>
                <w:sz w:val="20"/>
                <w:rFonts w:asciiTheme="minorHAnsi" w:hAnsiTheme="minorHAnsi"/>
              </w:rPr>
              <w:t xml:space="preserve"> </w:t>
            </w:r>
          </w:p>
          <w:p w14:paraId="56ABD7FE"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Em derrogação do n.º 1a, se as obrigações impostas aos operadores nos termos do parágrafo anterior ou quaisquer outras medidas aplicadas pelos operadores ou pelo organismo de radiodifusão não permitirem reduzir suficientemente a densidade de potência das antenas em causa para assegurar o cumprimento das normas referidas no n.º 1a, apenas os operadores envolvidos no excesso são obrigados a cumprir, em conjunto e tendo em conta as informações fornecidas nos termos do n.º 3 e do artigo 4.º, 42,6 % e 17 % das normas referidas no n.º 1a, respetivamente, em áreas acessíveis ao público em recinto fechado e em áreas acessíveis ao público ao ar livre.</w:t>
            </w:r>
            <w:r>
              <w:rPr>
                <w:sz w:val="20"/>
                <w:rFonts w:asciiTheme="minorHAnsi" w:hAnsiTheme="minorHAnsi"/>
              </w:rPr>
              <w:t xml:space="preserve"> </w:t>
            </w:r>
          </w:p>
          <w:p w14:paraId="198A1AF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O regime de exceção referido no parágrafo anterior não pode, em momento algum, envolver densidades de radiação de radiações não ionizantes em áreas acessíveis ao público em recinto fechado e em áreas acessíveis ao público ao ar livre superiores às referidas na Recomendação do Conselho 1999/519/CE, de 12 de julho de 1999, relativa à limitação da exposição da população aos campos eletromagnéticos (0 Hz - 300 GHz) e respetivos futuros desenvolvimentos, e pode dizer respeito apenas a 0,0065 % das superfícies do solo e das envolventes dos edifícios na base de dados UrbIS-Adm 3D.</w:t>
            </w:r>
            <w:r>
              <w:rPr>
                <w:sz w:val="20"/>
                <w:rFonts w:asciiTheme="minorHAnsi" w:hAnsiTheme="minorHAnsi"/>
              </w:rPr>
              <w:t xml:space="preserve"> </w:t>
            </w:r>
            <w:r>
              <w:rPr>
                <w:sz w:val="20"/>
                <w:rFonts w:asciiTheme="minorHAnsi" w:hAnsiTheme="minorHAnsi"/>
              </w:rPr>
              <w:t xml:space="preserve">O Governo tem autoridade para estabelecer limites mais baixos.</w:t>
            </w:r>
            <w:r>
              <w:rPr>
                <w:sz w:val="20"/>
                <w:rFonts w:asciiTheme="minorHAnsi" w:hAnsiTheme="minorHAnsi"/>
              </w:rPr>
              <w:t xml:space="preserve"> </w:t>
            </w:r>
            <w:r>
              <w:rPr>
                <w:sz w:val="20"/>
                <w:rFonts w:asciiTheme="minorHAnsi" w:hAnsiTheme="minorHAnsi"/>
              </w:rPr>
              <w:t xml:space="preserve">Bruxelas Ambiente mantém uma lista para o Governo e o Comité, enumerando os casos de aplicação referidos no quinto parágrafo.».</w:t>
            </w:r>
          </w:p>
          <w:p w14:paraId="623A5571" w14:textId="77777777" w:rsidR="00873667" w:rsidRDefault="00873667">
            <w:pPr>
              <w:spacing w:after="0" w:line="240" w:lineRule="auto"/>
              <w:jc w:val="both"/>
              <w:rPr>
                <w:rFonts w:asciiTheme="minorHAnsi" w:hAnsiTheme="minorHAnsi"/>
                <w:sz w:val="20"/>
                <w:szCs w:val="20"/>
                <w:lang w:val="fr-BE"/>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4.º</w:t>
            </w:r>
          </w:p>
          <w:p w14:paraId="7BA6CE1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Na mesma portaria, após o artigo 3.º, é inserida a seguinte rubrica:</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Obrigação geral dos operadores».</w:t>
            </w:r>
          </w:p>
          <w:p w14:paraId="493E4D9C" w14:textId="77777777" w:rsidR="00873667" w:rsidRDefault="00873667">
            <w:pPr>
              <w:spacing w:after="0" w:line="240" w:lineRule="auto"/>
              <w:jc w:val="both"/>
              <w:rPr>
                <w:rFonts w:asciiTheme="minorHAnsi" w:hAnsiTheme="minorHAnsi"/>
                <w:sz w:val="20"/>
                <w:szCs w:val="20"/>
                <w:lang w:val="fr-BE"/>
              </w:rPr>
            </w:pPr>
          </w:p>
          <w:p w14:paraId="7634251F" w14:textId="77777777" w:rsidR="00873667" w:rsidRDefault="00873667">
            <w:pPr>
              <w:spacing w:after="0" w:line="240" w:lineRule="auto"/>
              <w:jc w:val="both"/>
              <w:rPr>
                <w:rFonts w:asciiTheme="minorHAnsi" w:hAnsiTheme="minorHAnsi"/>
                <w:sz w:val="20"/>
                <w:szCs w:val="20"/>
                <w:lang w:val="fr-BE"/>
              </w:rPr>
            </w:pPr>
          </w:p>
          <w:p w14:paraId="49811318"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Na mesma portaria, ao abrigo da rubrica inserida pelo n.º 1, é inserido o artigo 3.º-A com a seguinte redação:</w:t>
            </w:r>
          </w:p>
          <w:p w14:paraId="77C64ADE"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3.º-A</w:t>
            </w:r>
            <w:r>
              <w:rPr>
                <w:sz w:val="20"/>
                <w:rFonts w:asciiTheme="minorHAnsi" w:hAnsiTheme="minorHAnsi"/>
              </w:rPr>
              <w:t xml:space="preserve"> </w:t>
            </w:r>
            <w:r>
              <w:rPr>
                <w:sz w:val="20"/>
                <w:rFonts w:asciiTheme="minorHAnsi" w:hAnsiTheme="minorHAnsi"/>
              </w:rPr>
              <w:t xml:space="preserve">Sem prejuízo do disposto no artigo 3.º, qualquer operador ou organismo de radiodifusão que opere uma antena no território da Região de Bruxelas-Capital deve poder, em qualquer momento, justificar o cumprimento da norma de transmissão referida no artigo 3.º e tomar imediatamente todas as medidas necessárias quando tiver conhecimento, por qualquer meio, de que a norma de transmissão referida no artigo 3.º não está a ser cumprida.».</w:t>
            </w:r>
          </w:p>
          <w:p w14:paraId="0D332DF9" w14:textId="77777777" w:rsidR="00873667" w:rsidRDefault="00873667">
            <w:pPr>
              <w:spacing w:after="0" w:line="240" w:lineRule="auto"/>
              <w:jc w:val="both"/>
              <w:rPr>
                <w:rFonts w:asciiTheme="minorHAnsi" w:hAnsiTheme="minorHAnsi"/>
                <w:sz w:val="20"/>
                <w:szCs w:val="20"/>
                <w:lang w:val="fr-BE"/>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5.º</w:t>
            </w:r>
          </w:p>
          <w:p w14:paraId="6213E50D"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A rubrica «Obrigações de informação dos operadores» entre o artigo 3.º-A e o artigo 4.º da referida portaria é substituída pela rubrica «Obrigação de informação dos operadores e dos organismos de radiodifusão».</w:t>
            </w:r>
          </w:p>
          <w:p w14:paraId="304708E1" w14:textId="77777777" w:rsidR="00873667" w:rsidRDefault="00873667">
            <w:pPr>
              <w:spacing w:after="0" w:line="240" w:lineRule="auto"/>
              <w:jc w:val="both"/>
              <w:rPr>
                <w:rFonts w:asciiTheme="minorHAnsi" w:hAnsiTheme="minorHAnsi"/>
                <w:sz w:val="20"/>
                <w:szCs w:val="20"/>
                <w:lang w:val="fr-BE"/>
              </w:rPr>
            </w:pPr>
          </w:p>
          <w:p w14:paraId="302C5B7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O artigo 4.º da mesma portaria passa a ter a seguinte redação:</w:t>
            </w:r>
            <w:r>
              <w:rPr>
                <w:sz w:val="20"/>
                <w:rFonts w:asciiTheme="minorHAnsi" w:hAnsiTheme="minorHAnsi"/>
              </w:rPr>
              <w:t xml:space="preserve"> </w:t>
            </w:r>
          </w:p>
          <w:p w14:paraId="30BD686D"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4.º</w:t>
            </w:r>
            <w:r>
              <w:rPr>
                <w:sz w:val="20"/>
                <w:rFonts w:asciiTheme="minorHAnsi" w:hAnsiTheme="minorHAnsi"/>
              </w:rPr>
              <w:t xml:space="preserve"> </w:t>
            </w: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Os operadores e organismos de radiodifusão são obrigados a informar o Ambiente de Bruxelas, o Urbanismo e Património de Bruxelas e o município em cujo território se encontra, de qualquer antena que emita radiações não ionizantes, cuja lista é determinada pelo Governo, no que diz respeito às caraterísticas de funcionamento desta antena.</w:t>
            </w:r>
            <w:r>
              <w:rPr>
                <w:sz w:val="20"/>
                <w:rFonts w:asciiTheme="minorHAnsi" w:hAnsiTheme="minorHAnsi"/>
              </w:rPr>
              <w:t xml:space="preserve"> </w:t>
            </w:r>
            <w:r>
              <w:rPr>
                <w:sz w:val="20"/>
                <w:rFonts w:asciiTheme="minorHAnsi" w:hAnsiTheme="minorHAnsi"/>
              </w:rPr>
              <w:t xml:space="preserve">Estas caraterísticas incluem, em particular, a localização e posição exatas da instalação, o diagrama de radiação, o tipo de antena, as frequências de emissão, o ângulo de inclinação das antenas, a altura e dimensão da antena, e a potência radiada da radiação.</w:t>
            </w:r>
            <w:r>
              <w:rPr>
                <w:sz w:val="20"/>
                <w:rFonts w:asciiTheme="minorHAnsi" w:hAnsiTheme="minorHAnsi"/>
              </w:rPr>
              <w:t xml:space="preserve"> </w:t>
            </w:r>
            <w:r>
              <w:rPr>
                <w:sz w:val="20"/>
                <w:rFonts w:asciiTheme="minorHAnsi" w:hAnsiTheme="minorHAnsi"/>
              </w:rPr>
              <w:t xml:space="preserve">O Governo pode especificar a lista destas caraterísticas, diferenciá-las de acordo com os recetores ou acrescentar outras caraterísticas.</w:t>
            </w:r>
            <w:r>
              <w:rPr>
                <w:sz w:val="20"/>
                <w:rFonts w:asciiTheme="minorHAnsi" w:hAnsiTheme="minorHAnsi"/>
              </w:rPr>
              <w:t xml:space="preserve"> </w:t>
            </w:r>
            <w:r>
              <w:rPr>
                <w:sz w:val="20"/>
                <w:rFonts w:asciiTheme="minorHAnsi" w:hAnsiTheme="minorHAnsi"/>
              </w:rPr>
              <w:t xml:space="preserve">O Ambiente de Bruxelas, o Urbanismo e Património de Bruxelas e os municípios podem prever a utilização de um formulário para lhes enviarem as informações referidas.</w:t>
            </w:r>
            <w:r>
              <w:rPr>
                <w:sz w:val="20"/>
                <w:rFonts w:asciiTheme="minorHAnsi" w:hAnsiTheme="minorHAnsi"/>
              </w:rPr>
              <w:t xml:space="preserve"> </w:t>
            </w:r>
          </w:p>
          <w:p w14:paraId="6D5BFE0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Se uma antena estiver a menos de 200 metros de um limite municipal, essa obrigação será alargada em relação ao município limítrofe em causa.</w:t>
            </w:r>
            <w:r>
              <w:rPr>
                <w:sz w:val="20"/>
                <w:rFonts w:asciiTheme="minorHAnsi" w:hAnsiTheme="minorHAnsi"/>
              </w:rPr>
              <w:t xml:space="preserve"> </w:t>
            </w:r>
          </w:p>
          <w:p w14:paraId="7D2D49FA"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Os operadores e organismos de radiodifusão devem transmitir, mediante pedido prévio, ao Ambiente de Bruxelas qualquer informação solicitada, incluindo, quando apropriado, um extrato das suas bases de dados de configuração de rede do OMC (Operation and Maintenance Centre).</w:t>
            </w:r>
            <w:r>
              <w:rPr>
                <w:sz w:val="20"/>
                <w:rFonts w:asciiTheme="minorHAnsi" w:hAnsiTheme="minorHAnsi"/>
              </w:rPr>
              <w:t xml:space="preserve"> </w:t>
            </w:r>
            <w:r>
              <w:rPr>
                <w:sz w:val="20"/>
                <w:rFonts w:asciiTheme="minorHAnsi" w:hAnsiTheme="minorHAnsi"/>
              </w:rPr>
              <w:t xml:space="preserve">Este extrato ou qualquer outra informação pode dizer respeito a todas as antenas especificadas pelo Ambiente de Bruxelas e será fornecido eletronicamente no prazo de 20 dias após a receção do pedido.</w:t>
            </w:r>
            <w:r>
              <w:rPr>
                <w:sz w:val="20"/>
                <w:rFonts w:asciiTheme="minorHAnsi" w:hAnsiTheme="minorHAnsi"/>
              </w:rPr>
              <w:t xml:space="preserve"> </w:t>
            </w:r>
            <w:r>
              <w:rPr>
                <w:sz w:val="20"/>
                <w:rFonts w:asciiTheme="minorHAnsi" w:hAnsiTheme="minorHAnsi"/>
              </w:rPr>
              <w:t xml:space="preserve">Esta informação deve conter, pelo menos, a potência máxima do farol à saída dos compartimentos técnicos, o número de frequências portadoras e as inclinações elétricas, se estas forem configuradas remotamente a partir do OMC (Operation and Maintenance Centre).</w:t>
            </w:r>
            <w:r>
              <w:rPr>
                <w:sz w:val="20"/>
                <w:rFonts w:asciiTheme="minorHAnsi" w:hAnsiTheme="minorHAnsi"/>
              </w:rPr>
              <w:t xml:space="preserve"> </w:t>
            </w:r>
            <w:r>
              <w:rPr>
                <w:sz w:val="20"/>
                <w:rFonts w:asciiTheme="minorHAnsi" w:hAnsiTheme="minorHAnsi"/>
              </w:rPr>
              <w:t xml:space="preserve">O Ambiente de Bruxelas pode especificar as informações contidas no extrato a fornecer e o respetivo formato.</w:t>
            </w:r>
          </w:p>
          <w:p w14:paraId="4D7BEA5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Os operadores cuja lista é fixada pelo Governo devem transmitir anualmente ao Ambiente de Bruxelas um relatório sobre o rendimento energético por tecnologia e consumo de energia das antenas e respetiva rede.</w:t>
            </w:r>
            <w:r>
              <w:rPr>
                <w:sz w:val="20"/>
                <w:rFonts w:asciiTheme="minorHAnsi" w:hAnsiTheme="minorHAnsi"/>
              </w:rPr>
              <w:t xml:space="preserve"> </w:t>
            </w:r>
            <w:r>
              <w:rPr>
                <w:sz w:val="20"/>
                <w:rFonts w:asciiTheme="minorHAnsi" w:hAnsiTheme="minorHAnsi"/>
              </w:rPr>
              <w:t xml:space="preserve">O Governo determinará o conteúdo mínimo do relatório.».</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6.º</w:t>
            </w:r>
          </w:p>
          <w:p w14:paraId="3FB93EB7"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O artigo 5.º dessa portaria é complementado por um parágrafo com a seguinte redação:</w:t>
            </w:r>
            <w:r>
              <w:rPr>
                <w:sz w:val="20"/>
                <w:rFonts w:asciiTheme="minorHAnsi" w:hAnsiTheme="minorHAnsi"/>
              </w:rPr>
              <w:t xml:space="preserve"> </w:t>
            </w:r>
          </w:p>
          <w:p w14:paraId="40A7D802"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 Governo pode prever regimes diferenciados e específicos para determinados tipos de antenas de acordo com as suas caraterísticas específicas.».</w:t>
            </w:r>
            <w:r>
              <w:rPr>
                <w:sz w:val="20"/>
                <w:rFonts w:asciiTheme="minorHAnsi" w:hAnsiTheme="minorHAnsi"/>
              </w:rPr>
              <w:t xml:space="preserve"> </w:t>
            </w:r>
          </w:p>
          <w:p w14:paraId="0216A34A" w14:textId="77777777" w:rsidR="00873667" w:rsidRDefault="00873667">
            <w:pPr>
              <w:spacing w:after="0" w:line="240" w:lineRule="auto"/>
              <w:jc w:val="both"/>
              <w:rPr>
                <w:rFonts w:asciiTheme="minorHAnsi" w:hAnsiTheme="minorHAnsi"/>
                <w:sz w:val="20"/>
                <w:szCs w:val="20"/>
                <w:lang w:val="fr-BE"/>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7.º</w:t>
            </w:r>
          </w:p>
          <w:p w14:paraId="59CA703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No artigo 8.º da presente portaria, são introduzidas as seguintes alterações:</w:t>
            </w:r>
          </w:p>
          <w:p w14:paraId="463F92C5" w14:textId="77777777" w:rsidR="00873667" w:rsidRDefault="00873667">
            <w:pPr>
              <w:spacing w:after="0" w:line="240" w:lineRule="auto"/>
              <w:jc w:val="both"/>
              <w:rPr>
                <w:rFonts w:asciiTheme="minorHAnsi" w:hAnsiTheme="minorHAnsi"/>
                <w:sz w:val="20"/>
                <w:szCs w:val="20"/>
                <w:lang w:val="fr-BE"/>
              </w:rPr>
            </w:pPr>
          </w:p>
          <w:p w14:paraId="0FEE7087"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o n.º 1 passa a ter a seguinte redação:</w:t>
            </w:r>
            <w:r>
              <w:rPr>
                <w:sz w:val="20"/>
                <w:rFonts w:asciiTheme="minorHAnsi" w:hAnsiTheme="minorHAnsi"/>
              </w:rPr>
              <w:t xml:space="preserve"> </w:t>
            </w:r>
          </w:p>
          <w:p w14:paraId="495FA02B"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O Governo é responsável pela atualização e divulgação de um registo de antenas, cuja lista será determinada pelo Governo.</w:t>
            </w:r>
            <w:r>
              <w:rPr>
                <w:sz w:val="20"/>
                <w:rFonts w:asciiTheme="minorHAnsi" w:hAnsiTheme="minorHAnsi"/>
              </w:rPr>
              <w:t xml:space="preserve"> </w:t>
            </w:r>
            <w:r>
              <w:rPr>
                <w:sz w:val="20"/>
                <w:rFonts w:asciiTheme="minorHAnsi" w:hAnsiTheme="minorHAnsi"/>
              </w:rPr>
              <w:t xml:space="preserve">Este registo inclui os dados técnicos de cada antena, em especial a localização precisa da antena, o seu tipo, dimensões, orientação, potência de emissão e outros dados técnicos para determinar a densidade de potência em áreas acessíveis ao público.</w:t>
            </w:r>
            <w:r>
              <w:rPr>
                <w:sz w:val="20"/>
                <w:rFonts w:asciiTheme="minorHAnsi" w:hAnsiTheme="minorHAnsi"/>
              </w:rPr>
              <w:t xml:space="preserve"> </w:t>
            </w:r>
            <w:r>
              <w:rPr>
                <w:sz w:val="20"/>
                <w:rFonts w:asciiTheme="minorHAnsi" w:hAnsiTheme="minorHAnsi"/>
              </w:rPr>
              <w:t xml:space="preserve">O Governo pode especificar os dados técnicos e acrescentar outras caraterísticas.</w:t>
            </w:r>
            <w:r>
              <w:rPr>
                <w:sz w:val="20"/>
                <w:rFonts w:asciiTheme="minorHAnsi" w:hAnsiTheme="minorHAnsi"/>
              </w:rPr>
              <w:t xml:space="preserve"> </w:t>
            </w:r>
          </w:p>
          <w:p w14:paraId="7490632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Este registo dos transmissores será publicado no sítio Web do Ambiente de Bruxelas, a fim de permitir a qualquer cidadão apresentar, a qualquer momento, uma reclamação junto do Ambiente de Bruxelas relativa ao cumprimento da norma de transmissão referida no artigo 3.º e/ou ao cumprimento das condições de funcionamento das antenas em causa.</w:t>
            </w:r>
            <w:r>
              <w:rPr>
                <w:sz w:val="20"/>
                <w:rFonts w:asciiTheme="minorHAnsi" w:hAnsiTheme="minorHAnsi"/>
              </w:rPr>
              <w:t xml:space="preserve"> </w:t>
            </w:r>
            <w:r>
              <w:rPr>
                <w:sz w:val="20"/>
                <w:rFonts w:asciiTheme="minorHAnsi" w:hAnsiTheme="minorHAnsi"/>
              </w:rPr>
              <w:t xml:space="preserve">Sem prejuízo das sanções aplicáveis e outras medidas previstas na presente portaria, se considerar esta reclamação bem fundamentada, o Ambiente de Bruxelas tomará as medidas necessárias para assegurar o cumprimento das disposições da presente portaria.»;</w:t>
            </w:r>
          </w:p>
          <w:p w14:paraId="62384DE4" w14:textId="77777777" w:rsidR="00873667" w:rsidRDefault="00873667">
            <w:pPr>
              <w:spacing w:after="0" w:line="240" w:lineRule="auto"/>
              <w:ind w:left="352"/>
              <w:jc w:val="both"/>
              <w:rPr>
                <w:rFonts w:asciiTheme="minorHAnsi" w:hAnsiTheme="minorHAnsi"/>
                <w:sz w:val="20"/>
                <w:szCs w:val="20"/>
                <w:lang w:val="fr-BE"/>
              </w:rPr>
            </w:pPr>
          </w:p>
          <w:p w14:paraId="251120BC"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o n.º 2, parágrafo 1, passa a ter a seguinte redação:</w:t>
            </w:r>
            <w:r>
              <w:rPr>
                <w:sz w:val="20"/>
                <w:rFonts w:asciiTheme="minorHAnsi" w:hAnsiTheme="minorHAnsi"/>
              </w:rPr>
              <w:t xml:space="preserve"> </w:t>
            </w:r>
          </w:p>
          <w:p w14:paraId="1D219E4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O Governo está a criar um registo dos telhados dos edifícios ocupados pelas autoridades públicas e que poderiam acomodar antenas.</w:t>
            </w:r>
            <w:r>
              <w:rPr>
                <w:sz w:val="20"/>
                <w:rFonts w:asciiTheme="minorHAnsi" w:hAnsiTheme="minorHAnsi"/>
              </w:rPr>
              <w:t xml:space="preserve"> </w:t>
            </w:r>
            <w:r>
              <w:rPr>
                <w:sz w:val="20"/>
                <w:rFonts w:asciiTheme="minorHAnsi" w:hAnsiTheme="minorHAnsi"/>
              </w:rPr>
              <w:t xml:space="preserve">Este registo é atualizado regularmente.».</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8.º</w:t>
            </w:r>
          </w:p>
          <w:p w14:paraId="588CB09A"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Na mesma portaria, após o artigo 8.º, é inserida a seguinte rubrica:</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Obrigação geral dos operadores».</w:t>
            </w:r>
          </w:p>
          <w:p w14:paraId="020B4B57" w14:textId="77777777" w:rsidR="00873667" w:rsidRDefault="00873667">
            <w:pPr>
              <w:spacing w:after="0" w:line="240" w:lineRule="auto"/>
              <w:jc w:val="both"/>
              <w:rPr>
                <w:rFonts w:asciiTheme="minorHAnsi" w:hAnsiTheme="minorHAnsi"/>
                <w:bCs/>
                <w:sz w:val="20"/>
                <w:szCs w:val="20"/>
                <w:lang w:val="fr-BE"/>
              </w:rPr>
            </w:pPr>
          </w:p>
          <w:p w14:paraId="0655FE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Na mesma portaria, ao abrigo da rubrica inserida pelo n.º 1, é inserido o artigo 8.º-A com a seguinte redação:</w:t>
            </w:r>
          </w:p>
          <w:p w14:paraId="2C135F09"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8.º-A</w:t>
            </w:r>
            <w:r>
              <w:rPr>
                <w:sz w:val="20"/>
                <w:rFonts w:asciiTheme="minorHAnsi" w:hAnsiTheme="minorHAnsi"/>
              </w:rPr>
              <w:t xml:space="preserve"> </w:t>
            </w:r>
            <w:r>
              <w:rPr>
                <w:sz w:val="20"/>
                <w:rFonts w:asciiTheme="minorHAnsi" w:hAnsiTheme="minorHAnsi"/>
              </w:rPr>
              <w:t xml:space="preserve">Os operadores cuja lista é estabelecida pelo Governo são obrigados a criar e apoiar campanhas de informação com o intuito de aumentar a sensibilização para a prevenção dos resíduos resultantes das suas atividades, nomeadamente tendo em conta o desenvolvimento tecnológico e a renovação dos dispositivos conectados.</w:t>
            </w:r>
            <w:r>
              <w:rPr>
                <w:sz w:val="20"/>
                <w:rFonts w:asciiTheme="minorHAnsi" w:hAnsiTheme="minorHAnsi"/>
              </w:rPr>
              <w:t xml:space="preserve"> </w:t>
            </w:r>
          </w:p>
          <w:p w14:paraId="7E31B7B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Estas iniciativas de divulgação informam o público sobre, em particular, a utilização ambientalmente racional dos dispositivos, o valor da reutilização e preparação para a reutilização dos dispositivos conectados e, em última análise, sistemas de gestão e recolha de resíduos.</w:t>
            </w:r>
            <w:r>
              <w:rPr>
                <w:sz w:val="20"/>
                <w:rFonts w:asciiTheme="minorHAnsi" w:hAnsiTheme="minorHAnsi"/>
              </w:rPr>
              <w:t xml:space="preserve"> </w:t>
            </w:r>
          </w:p>
          <w:p w14:paraId="54630306"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O Governo pode especificar o conteúdo, a frequência e os termos das campanhas de informação a implementar, bem como as respetivas audiências-objetivo de acordo com os objetivos pretendidos.»;</w:t>
            </w:r>
          </w:p>
          <w:p w14:paraId="7577DD4F" w14:textId="77777777" w:rsidR="00873667" w:rsidRDefault="00873667">
            <w:pPr>
              <w:spacing w:after="0" w:line="240" w:lineRule="auto"/>
              <w:jc w:val="both"/>
              <w:rPr>
                <w:rFonts w:asciiTheme="minorHAnsi" w:hAnsiTheme="minorHAnsi"/>
                <w:bCs/>
                <w:sz w:val="20"/>
                <w:szCs w:val="20"/>
                <w:lang w:val="fr-BE"/>
              </w:rPr>
            </w:pPr>
          </w:p>
          <w:p w14:paraId="127221A1"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Na mesma portaria, ao abrigo da rubrica inserida pelo n.º 1, é inserido o artigo 8.º-B com a seguinte redação:</w:t>
            </w:r>
            <w:r>
              <w:rPr>
                <w:sz w:val="20"/>
                <w:rFonts w:asciiTheme="minorHAnsi" w:hAnsiTheme="minorHAnsi"/>
              </w:rPr>
              <w:t xml:space="preserve"> </w:t>
            </w:r>
          </w:p>
          <w:p w14:paraId="3F80CF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8.º-B</w:t>
            </w:r>
            <w:r>
              <w:rPr>
                <w:sz w:val="20"/>
                <w:rFonts w:asciiTheme="minorHAnsi" w:hAnsiTheme="minorHAnsi"/>
              </w:rPr>
              <w:t xml:space="preserve"> </w:t>
            </w:r>
            <w:r>
              <w:rPr>
                <w:sz w:val="20"/>
                <w:rFonts w:asciiTheme="minorHAnsi" w:hAnsiTheme="minorHAnsi"/>
              </w:rPr>
              <w:t xml:space="preserve">Os operadores cuja lista seja estabelecida pelo Governo são obrigados a compilar estatísticas sobre os dispositivos que colocam no mercado e que são recolhidos como resíduos ou estão a ser reutilizados, na aceção do disposto na Portaria de 14 de junho de 2012 relativa aos resíduos.»;</w:t>
            </w:r>
            <w:r>
              <w:rPr>
                <w:sz w:val="20"/>
                <w:rFonts w:asciiTheme="minorHAnsi" w:hAnsiTheme="minorHAnsi"/>
              </w:rPr>
              <w:t xml:space="preserve"> </w:t>
            </w:r>
          </w:p>
          <w:p w14:paraId="4BAF6779" w14:textId="77777777" w:rsidR="00873667" w:rsidRDefault="00873667">
            <w:pPr>
              <w:spacing w:after="0" w:line="240" w:lineRule="auto"/>
              <w:jc w:val="both"/>
              <w:rPr>
                <w:rFonts w:asciiTheme="minorHAnsi" w:hAnsiTheme="minorHAnsi"/>
                <w:bCs/>
                <w:sz w:val="20"/>
                <w:szCs w:val="20"/>
                <w:lang w:val="fr-BE"/>
              </w:rPr>
            </w:pPr>
          </w:p>
          <w:p w14:paraId="23215B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Na mesma portaria, ao abrigo da rubrica inserida pelo n.º 1, é inserido o artigo 8.º-C com a seguinte redação:</w:t>
            </w:r>
            <w:r>
              <w:rPr>
                <w:sz w:val="20"/>
                <w:rFonts w:asciiTheme="minorHAnsi" w:hAnsiTheme="minorHAnsi"/>
              </w:rPr>
              <w:t xml:space="preserve"> </w:t>
            </w:r>
          </w:p>
          <w:p w14:paraId="51C2452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8.º-C</w:t>
            </w:r>
            <w:r>
              <w:rPr>
                <w:sz w:val="20"/>
                <w:rFonts w:asciiTheme="minorHAnsi" w:hAnsiTheme="minorHAnsi"/>
              </w:rPr>
              <w:t xml:space="preserve"> </w:t>
            </w:r>
            <w:r>
              <w:rPr>
                <w:sz w:val="20"/>
                <w:rFonts w:asciiTheme="minorHAnsi" w:hAnsiTheme="minorHAnsi"/>
              </w:rPr>
              <w:t xml:space="preserve">O mais tardar até 1 de abril de cada ano, os operadores, de forma individual ou coletiva, devem apresentar ao Ambiente de Bruxelas um relatório anual relativo ao ano anterior (período de 1 de janeiro a 31 de dezembro), com informações pormenorizadas, nomeadamente, sobre as ações implementadas, os montantes gastos e os impactos observados em relação às medidas implementadas ao abrigo do artigo 8º-A, bem como um relatório sobre os dados estatísticos referidos no artigo 8º-B.</w:t>
            </w:r>
          </w:p>
          <w:p w14:paraId="24E4D373"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O Governo pode especificar o conteúdo do relatório anual referido no parágrafo anterior e prever informações complementares a incluir no presente relatório.».</w:t>
            </w:r>
            <w:r>
              <w:rPr>
                <w:sz w:val="20"/>
                <w:rFonts w:asciiTheme="minorHAnsi" w:hAnsiTheme="minorHAnsi"/>
              </w:rPr>
              <w:t xml:space="preserve"> </w:t>
            </w:r>
          </w:p>
          <w:p w14:paraId="79909F2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9.º</w:t>
            </w:r>
          </w:p>
          <w:p w14:paraId="17721AD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A rubrica «Infrações e sanções penais» entre o artigo 8.º e o artigo 9.º da referida portaria é substituída pela rubrica «Infrações».</w:t>
            </w:r>
            <w:r>
              <w:rPr>
                <w:sz w:val="20"/>
                <w:rFonts w:asciiTheme="minorHAnsi" w:hAnsiTheme="minorHAnsi"/>
              </w:rPr>
              <w:t xml:space="preserve"> </w:t>
            </w:r>
          </w:p>
          <w:p w14:paraId="0F7DA792" w14:textId="77777777" w:rsidR="00873667" w:rsidRDefault="00873667">
            <w:pPr>
              <w:spacing w:after="0" w:line="240" w:lineRule="auto"/>
              <w:jc w:val="both"/>
              <w:rPr>
                <w:rFonts w:asciiTheme="minorHAnsi" w:hAnsiTheme="minorHAnsi"/>
                <w:sz w:val="20"/>
                <w:szCs w:val="20"/>
                <w:lang w:val="fr-BE"/>
              </w:rPr>
            </w:pPr>
          </w:p>
          <w:p w14:paraId="6292353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O artigo 9.º da mesma portaria passa a ter a seguinte redação:</w:t>
            </w:r>
            <w:r>
              <w:rPr>
                <w:sz w:val="20"/>
                <w:rFonts w:asciiTheme="minorHAnsi" w:hAnsiTheme="minorHAnsi"/>
              </w:rPr>
              <w:t xml:space="preserve"> </w:t>
            </w:r>
          </w:p>
          <w:p w14:paraId="1E11AE58"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É punível com a sanção prevista no artigo 31.º, n.º 1, do Código de 25 de março de 1999 relativo à inspeção, prevenção, deteção e punição de infrações ambientais e responsabilidade ambiental, aquele que:</w:t>
            </w:r>
          </w:p>
          <w:p w14:paraId="275A347F"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não cumpra as normas referidas no artigo 3.º ou respetivas medidas de execução;</w:t>
            </w:r>
          </w:p>
          <w:p w14:paraId="4A9CAD6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não cumpra as obrigações de informação a que se refere o artigo 4.º ou respetivas medidas de execução;</w:t>
            </w:r>
          </w:p>
          <w:p w14:paraId="77B503E8"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não cumpra as normas de funcionamento referidas no artigo 5.º ou respetivas medidas de execução;</w:t>
            </w:r>
          </w:p>
          <w:p w14:paraId="7663E40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não cumpra as obrigações de comunicação e informação referidas nos artigos 8.º-A, 8.º-B e 8.º-C ou respetivas medidas de execução;</w:t>
            </w:r>
            <w:r>
              <w:rPr>
                <w:sz w:val="20"/>
                <w:rFonts w:asciiTheme="minorHAnsi" w:hAnsiTheme="minorHAnsi"/>
              </w:rPr>
              <w:t xml:space="preserve"> </w:t>
            </w:r>
          </w:p>
          <w:p w14:paraId="712FA70C"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não cumpra as normas ou condições gerais a que se refere o artigo 7.º ou respetivas medidas de execução.».</w:t>
            </w:r>
          </w:p>
          <w:p w14:paraId="4C2874B7" w14:textId="77777777" w:rsidR="00873667" w:rsidRDefault="00873667">
            <w:pPr>
              <w:spacing w:after="0" w:line="240" w:lineRule="auto"/>
              <w:jc w:val="both"/>
              <w:rPr>
                <w:rFonts w:asciiTheme="minorHAnsi" w:hAnsiTheme="minorHAnsi"/>
                <w:b/>
                <w:sz w:val="20"/>
                <w:szCs w:val="20"/>
                <w:lang w:val="fr-BE"/>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3.</w:t>
            </w:r>
            <w:r>
              <w:rPr>
                <w:b/>
                <w:sz w:val="20"/>
                <w:rFonts w:asciiTheme="minorHAnsi" w:hAnsiTheme="minorHAnsi"/>
              </w:rPr>
              <w:t xml:space="preserve"> </w:t>
            </w:r>
            <w:r>
              <w:rPr>
                <w:b/>
                <w:sz w:val="20"/>
                <w:rFonts w:asciiTheme="minorHAnsi" w:hAnsiTheme="minorHAnsi"/>
              </w:rPr>
              <w:t xml:space="preserve">Alteração da Portaria de 5 de junho de 1997 relativa às licenças ambientais</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10.º</w:t>
            </w:r>
          </w:p>
          <w:p w14:paraId="31F34E3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O artigo 100.º, n.º 1, da Portaria de 5 de junho de 1997 relativa às licenças ambientais é complementado por um parágrafo com a seguinte redação:</w:t>
            </w:r>
            <w:r>
              <w:rPr>
                <w:sz w:val="20"/>
                <w:rFonts w:asciiTheme="minorHAnsi" w:hAnsiTheme="minorHAnsi"/>
              </w:rPr>
              <w:t xml:space="preserve"> </w:t>
            </w:r>
          </w:p>
          <w:p w14:paraId="5E0D7258"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Em derrogação do primeiro parágrafo, não é devida qualquer taxa de apresentação para uma declaração de Classe III ou de Classe IC.».</w:t>
            </w:r>
          </w:p>
          <w:p w14:paraId="44E8814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4.</w:t>
            </w:r>
            <w:r>
              <w:rPr>
                <w:b/>
                <w:sz w:val="20"/>
                <w:rFonts w:asciiTheme="minorHAnsi" w:hAnsiTheme="minorHAnsi"/>
              </w:rPr>
              <w:t xml:space="preserve"> </w:t>
            </w:r>
            <w:r>
              <w:rPr>
                <w:b/>
                <w:sz w:val="20"/>
                <w:rFonts w:asciiTheme="minorHAnsi" w:hAnsiTheme="minorHAnsi"/>
              </w:rPr>
              <w:t xml:space="preserve">Alteração da</w:t>
            </w:r>
            <w:r>
              <w:rPr>
                <w:b/>
                <w:sz w:val="20"/>
              </w:rPr>
              <w:t xml:space="preserve"> </w:t>
            </w:r>
            <w:r>
              <w:rPr>
                <w:b/>
                <w:sz w:val="20"/>
                <w:rFonts w:asciiTheme="minorHAnsi" w:hAnsiTheme="minorHAnsi"/>
              </w:rPr>
              <w:t xml:space="preserve">Portaria de 2 de maio de 2013 sobre o Código de Bruxelas relativo à gestão do ar, do clima e da energia</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11.º</w:t>
            </w:r>
            <w:r>
              <w:rPr>
                <w:b/>
                <w:sz w:val="20"/>
                <w:rFonts w:asciiTheme="minorHAnsi" w:hAnsiTheme="minorHAnsi"/>
              </w:rPr>
              <w:t xml:space="preserve"> </w:t>
            </w:r>
          </w:p>
          <w:p w14:paraId="0B343AC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No Livro 2, Título 5, da Portaria de 2 de maio de 2013 sobre o Código de Bruxelas relativo à gestão do ar, do clima e da energia, é inserido um capítulo 3 intitulado «Capítulo 3.</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Plano digital sustentável e responsável».</w:t>
            </w:r>
          </w:p>
          <w:p w14:paraId="6DC0A343" w14:textId="77777777" w:rsidR="00873667" w:rsidRDefault="00873667">
            <w:pPr>
              <w:spacing w:after="0" w:line="240" w:lineRule="auto"/>
              <w:jc w:val="both"/>
              <w:rPr>
                <w:rFonts w:asciiTheme="minorHAnsi" w:hAnsiTheme="minorHAnsi"/>
                <w:bCs/>
                <w:sz w:val="20"/>
                <w:szCs w:val="20"/>
                <w:lang w:val="fr-BE"/>
              </w:rPr>
            </w:pPr>
          </w:p>
          <w:p w14:paraId="1244248C"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No Capítulo 3 inserido pelo n.º 1, o artigo 2.5.8 é inserido com a seguinte redação:</w:t>
            </w:r>
            <w:r>
              <w:rPr>
                <w:sz w:val="20"/>
                <w:rFonts w:asciiTheme="minorHAnsi" w:hAnsiTheme="minorHAnsi"/>
              </w:rPr>
              <w:t xml:space="preserve"> </w:t>
            </w:r>
          </w:p>
          <w:p w14:paraId="5B3AD537"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Artigo 2.5.8.</w:t>
            </w:r>
            <w:r>
              <w:rPr>
                <w:sz w:val="20"/>
                <w:rFonts w:asciiTheme="minorHAnsi" w:hAnsiTheme="minorHAnsi"/>
              </w:rPr>
              <w:t xml:space="preserve"> </w:t>
            </w:r>
            <w:r>
              <w:rPr>
                <w:sz w:val="20"/>
                <w:rFonts w:asciiTheme="minorHAnsi" w:hAnsiTheme="minorHAnsi"/>
              </w:rPr>
              <w:t xml:space="preserve">Os operadores e organismos de radiodifusão referidos na Portaria de 1 de março de 2007 relativa à proteção do ambiente contra os efeitos adversos e nocivos causados pelas radiações não ionizantes e enumerados pelo Governo serão obrigados a implementar, até à data fixada pelo Governo e, o mais tardar, no prazo de dois anos após a entrada em vigor do presente artigo, um «plano digital sustentável e responsável» com vista a reduzir o consumo de energia e a emissão de gases com efeito de estufa das respetivas atividades, em particular através da sensibilização para o aumento do consumo de dados móveis.</w:t>
            </w:r>
            <w:r>
              <w:rPr>
                <w:sz w:val="20"/>
                <w:rFonts w:asciiTheme="minorHAnsi" w:hAnsiTheme="minorHAnsi"/>
              </w:rPr>
              <w:t xml:space="preserve"> </w:t>
            </w:r>
            <w:r>
              <w:rPr>
                <w:sz w:val="20"/>
                <w:rFonts w:asciiTheme="minorHAnsi" w:hAnsiTheme="minorHAnsi"/>
              </w:rPr>
              <w:t xml:space="preserve">O plano destina-se a um período de cinco anos e é renovado por cada período sucessivo de cinco anos.</w:t>
            </w:r>
            <w:r>
              <w:rPr>
                <w:sz w:val="20"/>
                <w:rFonts w:asciiTheme="minorHAnsi" w:hAnsiTheme="minorHAnsi"/>
              </w:rPr>
              <w:t xml:space="preserve"> </w:t>
            </w:r>
            <w:r>
              <w:rPr>
                <w:sz w:val="20"/>
                <w:rFonts w:asciiTheme="minorHAnsi" w:hAnsiTheme="minorHAnsi"/>
              </w:rPr>
              <w:t xml:space="preserve">O plano é aprovado pelo Ambiente de Bruxelas antes da sua implementação.</w:t>
            </w:r>
            <w:r>
              <w:rPr>
                <w:sz w:val="20"/>
                <w:rFonts w:asciiTheme="minorHAnsi" w:hAnsiTheme="minorHAnsi"/>
              </w:rPr>
              <w:t xml:space="preserve"> </w:t>
            </w:r>
          </w:p>
          <w:p w14:paraId="7B128E52"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O Governo determinará as condições de elaboração e execução do presente plano.</w:t>
            </w:r>
            <w:r>
              <w:rPr>
                <w:sz w:val="20"/>
                <w:rFonts w:asciiTheme="minorHAnsi" w:hAnsiTheme="minorHAnsi"/>
              </w:rPr>
              <w:t xml:space="preserve"> </w:t>
            </w:r>
            <w:r>
              <w:rPr>
                <w:sz w:val="20"/>
                <w:rFonts w:asciiTheme="minorHAnsi" w:hAnsiTheme="minorHAnsi"/>
              </w:rPr>
              <w:t xml:space="preserve">Em especial, estabelecerá o conteúdo mínimo do plano e as respetivas condições de adoção, alteração e renovação, bem como os objetivos quantificados a alcançar com o plano.</w:t>
            </w:r>
            <w:r>
              <w:rPr>
                <w:sz w:val="20"/>
                <w:rFonts w:asciiTheme="minorHAnsi" w:hAnsiTheme="minorHAnsi"/>
              </w:rPr>
              <w:t xml:space="preserve"> </w:t>
            </w:r>
            <w:r>
              <w:rPr>
                <w:sz w:val="20"/>
                <w:rFonts w:asciiTheme="minorHAnsi" w:hAnsiTheme="minorHAnsi"/>
              </w:rPr>
              <w:t xml:space="preserve">O Governo pode igualmente alargar a obrigação de implementar um «plano digital sustentável e responsável» a outras pessoas coletivas.».</w:t>
            </w:r>
            <w:r>
              <w:rPr>
                <w:sz w:val="20"/>
                <w:rFonts w:asciiTheme="minorHAnsi" w:hAnsiTheme="minorHAnsi"/>
              </w:rPr>
              <w:t xml:space="preserve"> </w:t>
            </w:r>
          </w:p>
          <w:p w14:paraId="11EADCD9" w14:textId="77777777" w:rsidR="00873667" w:rsidRDefault="00873667">
            <w:pPr>
              <w:spacing w:after="0" w:line="240" w:lineRule="auto"/>
              <w:jc w:val="both"/>
              <w:rPr>
                <w:rFonts w:asciiTheme="minorHAnsi" w:hAnsiTheme="minorHAnsi"/>
                <w:b/>
                <w:sz w:val="20"/>
                <w:szCs w:val="20"/>
                <w:lang w:val="fr-BE"/>
              </w:rPr>
            </w:pPr>
          </w:p>
          <w:p w14:paraId="7A272A73"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O artigo 2.6.6 da mesma portaria é complementado por uma alínea f), com a seguinte redação:</w:t>
            </w:r>
          </w:p>
          <w:p w14:paraId="4B9471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 operadores, organismos de radiodifusão e pessoas coletivas que, estando sujeitos à obrigação imposta por ou nos termos do artigo 2.5.8, não o cumpram.».</w:t>
            </w:r>
          </w:p>
          <w:p w14:paraId="18DD4CF0"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5.</w:t>
            </w:r>
            <w:r>
              <w:rPr>
                <w:b/>
                <w:sz w:val="20"/>
                <w:rFonts w:asciiTheme="minorHAnsi" w:hAnsiTheme="minorHAnsi"/>
              </w:rPr>
              <w:t xml:space="preserve"> </w:t>
            </w:r>
            <w:r>
              <w:rPr>
                <w:b/>
                <w:sz w:val="20"/>
                <w:rFonts w:asciiTheme="minorHAnsi" w:hAnsiTheme="minorHAnsi"/>
              </w:rPr>
              <w:t xml:space="preserve">Alteração, transição e entrada em vigor das disposições</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12.º</w:t>
            </w:r>
          </w:p>
          <w:p w14:paraId="3B265679"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É revogado o artigo 10.º da Portaria de 1 de março de 2007 relativa à proteção do ambiente contra os efeitos adversos e nocivos causados pelas radiações não ionizantes.</w:t>
            </w:r>
            <w:r>
              <w:rPr>
                <w:sz w:val="20"/>
                <w:rFonts w:asciiTheme="minorHAnsi" w:hAnsiTheme="minorHAnsi"/>
              </w:rPr>
              <w:t xml:space="preserve"> </w:t>
            </w:r>
          </w:p>
          <w:p w14:paraId="48D02DB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13.º</w:t>
            </w:r>
          </w:p>
          <w:p w14:paraId="0F8B4B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No prazo de 30 dias após a entrada em vigor da presente portaria, o Ambiente de Bruxelas notificará os operadores cujas licenças ambientais contribuam para qualquer excesso das normas referidas no n.º 1a do artigo 3.º da Portaria de 1 de março de 2007 relativa à proteção do ambiente contra os efeitos adversos e nocivos causados pelas radiações não ionizantes, tal como introduzida pela presente portaria, da sua obrigação de apresentar, no prazo de dois meses, um pedido de licença ambiental para dar cumprimento às obrigações previstas na Portaria de 1 de março de 2007 relativa à proteção do ambiente contra os efeitos adversos e nocivos causados pelas radiações não ionizantes, com a redação que lhe foi dada pela presente portaria.</w:t>
            </w:r>
            <w:r>
              <w:rPr>
                <w:sz w:val="20"/>
                <w:rFonts w:asciiTheme="minorHAnsi" w:hAnsiTheme="minorHAnsi"/>
              </w:rPr>
              <w:t xml:space="preserve"> </w:t>
            </w:r>
          </w:p>
          <w:p w14:paraId="6DED1FE9"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O funcionamento dos operadores das antenas em causa pode prosseguir, não obstante as normas referidas no n.º 1a do artigo 3.º da Portaria de 1 de março de 2007 relativa à proteção do ambiente contra os efeitos adversos e nocivos causados pelas radiações não ionizantes, tal como introduzida pela presente portaria até à notificação da decisão sobre o pedido de licença ambiental.</w:t>
            </w:r>
            <w:r>
              <w:rPr>
                <w:sz w:val="20"/>
                <w:rFonts w:asciiTheme="minorHAnsi" w:hAnsiTheme="minorHAnsi"/>
              </w:rPr>
              <w:t xml:space="preserve"> </w:t>
            </w:r>
          </w:p>
          <w:p w14:paraId="3CEE12CC" w14:textId="77777777" w:rsidR="00873667" w:rsidRDefault="00873667">
            <w:pPr>
              <w:spacing w:after="0" w:line="240" w:lineRule="auto"/>
              <w:jc w:val="both"/>
              <w:rPr>
                <w:rFonts w:asciiTheme="minorHAnsi" w:hAnsiTheme="minorHAnsi"/>
                <w:b/>
                <w:sz w:val="20"/>
                <w:szCs w:val="20"/>
                <w:lang w:val="fr-BE"/>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Artigo 14.º</w:t>
            </w:r>
            <w:r>
              <w:rPr>
                <w:b/>
                <w:sz w:val="20"/>
                <w:rFonts w:asciiTheme="minorHAnsi" w:hAnsiTheme="minorHAnsi"/>
              </w:rPr>
              <w:t xml:space="preserve"> </w:t>
            </w:r>
          </w:p>
          <w:p w14:paraId="4670636C" w14:textId="77777777" w:rsidR="00873667" w:rsidRDefault="00873667">
            <w:pPr>
              <w:spacing w:after="0" w:line="240" w:lineRule="auto"/>
              <w:jc w:val="both"/>
              <w:rPr>
                <w:b/>
                <w:sz w:val="20"/>
                <w:szCs w:val="20"/>
                <w:rFonts w:asciiTheme="minorHAnsi" w:hAnsiTheme="minorHAnsi"/>
              </w:rPr>
            </w:pPr>
            <w:r>
              <w:rPr>
                <w:sz w:val="20"/>
                <w:rFonts w:asciiTheme="minorHAnsi" w:hAnsiTheme="minorHAnsi"/>
              </w:rPr>
              <w:t xml:space="preserve">A presente portaria entra em vigor no primeiro dia do mês seguinte ao termo de um período de dez dias com início no dia seguinte ao da sua publicação no Moniteur belge, com exceção do n.º 2 do artigo 5.º (apenas no que diz respeito ao n.º 3 do artigo 4.º, posterior Portaria de 1 de março de 2007 relativa à proteção do ambiente contra os efeitos adversos e nocivos causados pelas radiações não ionizantes), 8.º e 11.º, cuja data de entrada em vigor é fixada pelo Governo.</w:t>
            </w:r>
            <w:r>
              <w:rPr>
                <w:sz w:val="20"/>
                <w:rFonts w:asciiTheme="minorHAnsi" w:hAnsiTheme="minorHAnsi"/>
              </w:rPr>
              <w:t xml:space="preserve"> </w:t>
            </w:r>
          </w:p>
          <w:p w14:paraId="60A2F821" w14:textId="77777777" w:rsidR="00873667" w:rsidRDefault="00873667">
            <w:pPr>
              <w:spacing w:after="0" w:line="240" w:lineRule="auto"/>
              <w:jc w:val="both"/>
              <w:rPr>
                <w:rFonts w:asciiTheme="minorHAnsi" w:hAnsiTheme="minorHAnsi"/>
                <w:b/>
                <w:sz w:val="20"/>
                <w:szCs w:val="20"/>
                <w:lang w:val="fr-BE"/>
              </w:rPr>
            </w:pPr>
          </w:p>
        </w:tc>
      </w:tr>
    </w:tbl>
    <w:p w14:paraId="155A3904" w14:textId="414A1C9B" w:rsidR="00873667" w:rsidRDefault="00873667" w:rsidP="00873667">
      <w:pPr>
        <w:rPr>
          <w:lang w:val="fr-BE"/>
        </w:rPr>
      </w:pPr>
    </w:p>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Bruxelas,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Pelo Governo da Região de Bruxelas-Capital,</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R. VERVOORT</w:t>
      </w:r>
    </w:p>
    <w:p w14:paraId="4D31CE76" w14:textId="3E9F61CF"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Ministro-Presidente da Região de Bruxelas-Capital.</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E. VAN DEN BRANDT</w:t>
      </w:r>
    </w:p>
    <w:p w14:paraId="0FD79330" w14:textId="037809FC" w:rsid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Ministra da Mobilidade, das Obras Públicas e da Segurança Rodoviária.</w:t>
      </w:r>
    </w:p>
    <w:p w14:paraId="2F23BC79"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5C36561A" w14:textId="77777777" w:rsidR="00873667" w:rsidRPr="00404725"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A. MARON</w:t>
      </w:r>
    </w:p>
    <w:p w14:paraId="67F20717" w14:textId="3CC9598F" w:rsidR="00873667" w:rsidRPr="00AD5588"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 da Transição Climática, do Ambiente, da Energia e da Democracia Participativa.</w:t>
      </w:r>
    </w:p>
    <w:p w14:paraId="4B06F6AA"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S. GATZ</w:t>
      </w:r>
    </w:p>
    <w:p w14:paraId="215BED01" w14:textId="5190AA1C"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w:t>
      </w:r>
      <w:r>
        <w:rPr>
          <w:sz w:val="20"/>
          <w:color w:val="333333"/>
          <w:shd w:val="clear" w:color="auto" w:fill="FFFFFF"/>
          <w:rFonts w:asciiTheme="minorHAnsi" w:hAnsiTheme="minorHAnsi"/>
        </w:rPr>
        <w:t xml:space="preserve"> </w:t>
      </w:r>
      <w:r>
        <w:rPr>
          <w:sz w:val="20"/>
          <w:rFonts w:asciiTheme="minorHAnsi" w:hAnsiTheme="minorHAnsi"/>
        </w:rPr>
        <w:t xml:space="preserve">das Finanças, do Orçamento, da Função Pública, da Promoção do Multilinguismo e da Imagem de Bruxelas.</w:t>
      </w:r>
    </w:p>
    <w:p w14:paraId="5E9FF636"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39B54DF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CERLFAYT</w:t>
      </w:r>
    </w:p>
    <w:p w14:paraId="5443ECE7" w14:textId="4C81C041"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 do Emprego e da Formação Profissional, da Transição Digital, das Autoridades Locais e do Bem-Estar Animal.</w:t>
      </w:r>
    </w:p>
    <w:p w14:paraId="76D391AC"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2D887231"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N. BEN HAMOU</w:t>
      </w:r>
    </w:p>
    <w:p w14:paraId="66917B45"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Secretária de Estado da Habitação e da Igualdade de Oportunidades.</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TRACHTE</w:t>
      </w:r>
    </w:p>
    <w:p w14:paraId="272A5E99"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Secretária de Estado da Transição Económica e da Investigação Científica.</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P. SMET</w:t>
      </w:r>
    </w:p>
    <w:p w14:paraId="2267296E" w14:textId="77777777" w:rsidR="00873667" w:rsidRPr="00B93F33" w:rsidRDefault="00873667" w:rsidP="00873667">
      <w:pPr>
        <w:spacing w:after="0" w:line="240" w:lineRule="auto"/>
        <w:jc w:val="center"/>
        <w:rPr>
          <w:b/>
          <w:bCs/>
          <w:caps/>
          <w:sz w:val="20"/>
          <w:szCs w:val="20"/>
          <w:u w:val="single"/>
          <w:rFonts w:asciiTheme="minorHAnsi" w:hAnsiTheme="minorHAnsi" w:cstheme="minorHAnsi"/>
        </w:rPr>
      </w:pPr>
      <w:r>
        <w:rPr>
          <w:sz w:val="20"/>
          <w:rFonts w:asciiTheme="minorHAnsi" w:hAnsiTheme="minorHAnsi"/>
        </w:rPr>
        <w:t xml:space="preserve">Secretário de Estado do Urbanismo e do Património, das Relações Europeias e Internacionais, do Comércio Externo e da Luta contra os Incêndios e Ajuda Médica de Emergência.</w:t>
      </w:r>
    </w:p>
    <w:p w14:paraId="53382B18" w14:textId="28B96DA2" w:rsidR="00873667" w:rsidRPr="00404725" w:rsidRDefault="00873667" w:rsidP="00873667">
      <w:pPr>
        <w:rPr>
          <w:lang w:val="fr-FR"/>
        </w:rPr>
      </w:pP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3878</Words>
  <Characters>22107</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Liana Brili</cp:lastModifiedBy>
  <cp:revision>5</cp:revision>
  <dcterms:created xsi:type="dcterms:W3CDTF">2022-10-04T13:25:00Z</dcterms:created>
  <dcterms:modified xsi:type="dcterms:W3CDTF">2022-10-12T11:00:00Z</dcterms:modified>
</cp:coreProperties>
</file>