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 xml:space="preserve">------IND- 2018 0477 FIN ES- ------ 20191224 --- --- FINAL </w:t>
      </w:r>
    </w:p>
    <w:p w:rsidR="001130A8" w:rsidRPr="00D95431" w:rsidRDefault="00CE34F6">
      <w:pPr>
        <w:spacing w:after="0" w:line="259" w:lineRule="auto"/>
        <w:ind w:right="0" w:firstLine="0"/>
        <w:jc w:val="left"/>
      </w:pPr>
      <w:r>
        <w:rPr>
          <w:rFonts w:ascii="Bodoni MT" w:hAnsi="Bodoni MT"/>
          <w:b/>
          <w:sz w:val="70"/>
        </w:rPr>
        <w:t>CÓDIGO LEGISLATIVO DE FINLANDIA</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Publicado en Helsinki el 17 de enero de 2019</w:t>
      </w:r>
    </w:p>
    <w:p w:rsidR="001130A8" w:rsidRPr="00D95431" w:rsidRDefault="00CE34F6">
      <w:pPr>
        <w:spacing w:after="741" w:line="259" w:lineRule="auto"/>
        <w:ind w:right="0" w:firstLine="0"/>
        <w:jc w:val="left"/>
      </w:pPr>
      <w:r>
        <w:rPr>
          <w:noProof/>
        </w:rPr>
        <w:drawing>
          <wp:inline xmlns:wp="http://schemas.openxmlformats.org/drawingml/2006/wordprocessingDrawing"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Decreto del Gobierno</w:t>
      </w:r>
    </w:p>
    <w:p w:rsidR="001130A8" w:rsidRPr="00D95431" w:rsidRDefault="00CE34F6">
      <w:pPr>
        <w:pStyle w:val="Heading1"/>
      </w:pPr>
      <w:r>
        <w:t>por el que se modifica el Decreto sobre el uso de vehículos en carretera</w:t>
      </w:r>
    </w:p>
    <w:p w:rsidR="001130A8" w:rsidRPr="00D95431" w:rsidRDefault="00CE34F6">
      <w:pPr>
        <w:ind w:left="-15" w:right="0"/>
      </w:pPr>
      <w:r>
        <w:t xml:space="preserve">Por decisión del Gobierno </w:t>
      </w:r>
      <w:r>
        <w:rPr>
          <w:i w:val="1"/>
        </w:rPr>
        <w:t>se modifican</w:t>
      </w:r>
      <w:r>
        <w:t xml:space="preserve"> los artículos 2, 13, 17, 19 </w:t>
      </w:r>
      <w:r>
        <w:rPr>
          <w:i w:val="1"/>
        </w:rPr>
        <w:t>bis</w:t>
      </w:r>
      <w:r>
        <w:t xml:space="preserve">, 19 </w:t>
      </w:r>
      <w:r>
        <w:rPr>
          <w:i w:val="1"/>
        </w:rPr>
        <w:t>ter</w:t>
      </w:r>
      <w:r>
        <w:t xml:space="preserve">, 20, 21, 23, 23 </w:t>
      </w:r>
      <w:r>
        <w:rPr>
          <w:i w:val="1"/>
        </w:rPr>
        <w:t>bis</w:t>
      </w:r>
      <w:r>
        <w:t xml:space="preserve">, 24, 26, 27, 32, 32 </w:t>
      </w:r>
      <w:r>
        <w:rPr>
          <w:i w:val="1"/>
        </w:rPr>
        <w:t>bis</w:t>
      </w:r>
      <w:r>
        <w:t xml:space="preserve">, 33, 36, 45, 46, 51 </w:t>
      </w:r>
      <w:r>
        <w:rPr>
          <w:i w:val="1"/>
        </w:rPr>
        <w:t>ter</w:t>
      </w:r>
      <w:r>
        <w:t xml:space="preserve">, 52 y 57, de acuerdo con la redacción dada para el artículo 2 en los Decretos 407/2013 y 570/2017, para los artículos 13, 19 </w:t>
      </w:r>
      <w:r>
        <w:rPr>
          <w:i w:val="1"/>
        </w:rPr>
        <w:t>bis</w:t>
      </w:r>
      <w:r>
        <w:t xml:space="preserve">, 27, 32, 32 </w:t>
      </w:r>
      <w:r>
        <w:rPr>
          <w:i w:val="1"/>
        </w:rPr>
        <w:t>bis</w:t>
      </w:r>
      <w:r>
        <w:t xml:space="preserve"> y 52 en el Decreto 407/2013, para el artículo 17 parcialmente en los Decretos 303/1996, 1227/2011 y 407/2013, para el artículo 19 </w:t>
      </w:r>
      <w:r>
        <w:rPr>
          <w:i w:val="1"/>
        </w:rPr>
        <w:t>ter</w:t>
      </w:r>
      <w:r>
        <w:t xml:space="preserve"> en el Decreto 1243/2002, para el artículo 20 en los Decretos 407/2013 y 123/2017, para el artículo 21 en los Decretos 407/2013, 47/2017 y 240/2017, para el artículo 23 en el Decreto 47/2017, para el artículo 23 </w:t>
      </w:r>
      <w:r>
        <w:rPr>
          <w:i w:val="1"/>
        </w:rPr>
        <w:t>bis</w:t>
      </w:r>
      <w:r>
        <w:t xml:space="preserve"> en el Decreto 1062/2013, para el artículo 24 en los Decretos 407/2013, 240/2017 y 206/2018, para el artículo 26 en el Decreto 1227/2011, para el artículo 33 en el Decreto 487/2009, para el artículo 36 parcialmente en el Decreto 531/1993, para el artículo 45 en el Decreto 1612/2015, para el artículo 46 en los Decretos 670/1997, 407/2013 y 240/2017, para el artículo 51 </w:t>
      </w:r>
      <w:r>
        <w:rPr>
          <w:i w:val="1"/>
        </w:rPr>
        <w:t>ter</w:t>
      </w:r>
      <w:r>
        <w:t xml:space="preserve"> en el Decreto 570/2017 y para el artículo 57 parcialmente en los Decretos</w:t>
      </w:r>
    </w:p>
    <w:p w:rsidR="001130A8" w:rsidRPr="00D95431" w:rsidRDefault="00CE34F6">
      <w:pPr>
        <w:spacing w:after="229"/>
        <w:ind w:left="-15" w:right="0" w:firstLine="0"/>
      </w:pPr>
      <w:r>
        <w:t xml:space="preserve">1453/1992 y 47/2017, del Decreto sobre el uso de vehículos en carretera (1257/1992), el artículo 22, derogado por el Decreto 670/1997, </w:t>
      </w:r>
      <w:r>
        <w:rPr>
          <w:i w:val="1"/>
        </w:rPr>
        <w:t>se sustituye</w:t>
      </w:r>
      <w:r>
        <w:t xml:space="preserve"> por un nuevo artículo 22, y </w:t>
      </w:r>
      <w:r>
        <w:rPr>
          <w:i w:val="1"/>
        </w:rPr>
        <w:t>se inserta</w:t>
      </w:r>
      <w:r>
        <w:t xml:space="preserve"> un nuevo artículo 32 con la siguiente redacción:</w:t>
      </w:r>
    </w:p>
    <w:p w:rsidR="001130A8" w:rsidRPr="00D95431" w:rsidRDefault="00CE34F6" w:rsidP="00791F05">
      <w:pPr>
        <w:keepNext/>
        <w:spacing w:after="86" w:line="265" w:lineRule="auto"/>
        <w:ind w:left="127" w:right="121" w:hanging="10"/>
        <w:jc w:val="center"/>
      </w:pPr>
      <w:r>
        <w:t>Artículo 2</w:t>
      </w:r>
    </w:p>
    <w:p w:rsidR="001130A8" w:rsidRPr="00D95431" w:rsidRDefault="00CE34F6">
      <w:pPr>
        <w:pStyle w:val="Heading2"/>
      </w:pPr>
      <w:r>
        <w:t>Definiciones</w:t>
      </w:r>
    </w:p>
    <w:p w:rsidR="001130A8" w:rsidRPr="00D95431" w:rsidRDefault="00CE34F6">
      <w:pPr>
        <w:ind w:left="-15" w:right="0"/>
      </w:pPr>
      <w:r>
        <w:t xml:space="preserve">Las disposiciones de la Ley de vehículos y de los reglamentos adoptados con arreglo a ella se aplican a la definición de vehículos, categorías de vehículos y a las dimensiones y masas de vehículos. </w:t>
      </w:r>
      <w:r>
        <w:t>Además, la definición de las dimensiones y masas de vehículos está regulada a través del Reglamento (UE) 1230/2012 de la Comisión por el que se desarrolla el Reglamento (CE) n.º 661/2009 del Parlamento Europeo y del Consejo en lo que respecta a los requisitos de homologación de tipo relativos a las masas y dimensiones de los vehículos de motor y de sus remolques y por el que se modifica la Directiva 2007/46/CE del Parlamento Europeo y del Consejo.</w:t>
      </w:r>
    </w:p>
    <w:p w:rsidR="001130A8" w:rsidRPr="00D95431" w:rsidRDefault="00CE34F6">
      <w:pPr>
        <w:ind w:left="227" w:right="0" w:firstLine="0"/>
      </w:pPr>
      <w:r>
        <w:t>A efectos del presente Decreto, se entenderá por:</w:t>
      </w:r>
    </w:p>
    <w:p w:rsidR="001130A8" w:rsidRPr="00D95431" w:rsidRDefault="00CE34F6" w:rsidP="0005296C">
      <w:pPr>
        <w:numPr>
          <w:ilvl w:val="0"/>
          <w:numId w:val="1"/>
        </w:numPr>
        <w:tabs>
          <w:tab w:val="left" w:pos="540"/>
        </w:tabs>
        <w:ind w:right="0"/>
      </w:pPr>
      <w:r>
        <w:rPr>
          <w:i/>
        </w:rPr>
        <w:t>masa conectada</w:t>
      </w:r>
      <w:r>
        <w:t>: la masa real permitida del vehículo remolcado acoplado, excluyendo la masa del acoplamiento de quinta rueda o del acoplamiento de la barra de remolque de un vehículo que arrastra un semirremolque, remolque tractor o un remolque de eje central;</w:t>
      </w:r>
    </w:p>
    <w:p w:rsidR="005D4B84" w:rsidRPr="00D95431" w:rsidRDefault="00CE34F6" w:rsidP="0005296C">
      <w:pPr>
        <w:numPr>
          <w:ilvl w:val="0"/>
          <w:numId w:val="1"/>
        </w:numPr>
        <w:tabs>
          <w:tab w:val="left" w:pos="540"/>
        </w:tabs>
        <w:spacing w:after="34"/>
        <w:ind w:right="0"/>
      </w:pPr>
      <w:r>
        <w:rPr>
          <w:i w:val="1"/>
        </w:rPr>
        <w:t>carga indivisible:</w:t>
      </w:r>
      <w:r>
        <w:t xml:space="preserve"> la carga que, para su transporte por carretera, no puede dividirse en dos o más cargas sin coste o riesgo innecesario de daños y que, debido a sus dimensiones o masas no puede ser transportada por un vehículo o conjunto de vehículos sin sobrepasar los límites de masa o de dimensiones generalmente permitidos en carretera. </w:t>
      </w:r>
      <w:r>
        <w:rPr>
          <w:i w:val="1"/>
        </w:rPr>
        <w:t>Carga indivisible</w:t>
      </w:r>
      <w:r>
        <w:t xml:space="preserve"> también significa los contenedores diseñados para el transporte marítimo para importación o exportación, que estén vacíos o cargados en el punto de partida, y cuya altura supera los 2,80 metros o cuya longitud supera los 12,30 metros; si el transporte del contenedor mencionado aquí exige una altura superior a los 4,40 metros o, respectivamente, una longitud superior a 23,00 metros o el límite de masa generalmente permitido en carretera en un vehículo articulado, el contenedor se considerará un objeto indivisible únicamente cuando sea el envase de un objeto indivisible o cuando se transporte el contenedor vacío;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Directiva 96/53/CE del Consejo (DO L 235 de 17.9.1996, p. 59).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val="1"/>
        </w:rPr>
        <w:t>Ministerio</w:t>
      </w:r>
      <w:r>
        <w:t>: Ministerio de Transporte y Comunicaciones;</w:t>
      </w:r>
    </w:p>
    <w:p w:rsidR="001130A8" w:rsidRPr="00D95431" w:rsidRDefault="00CE34F6" w:rsidP="0005296C">
      <w:pPr>
        <w:numPr>
          <w:ilvl w:val="0"/>
          <w:numId w:val="1"/>
        </w:numPr>
        <w:tabs>
          <w:tab w:val="left" w:pos="540"/>
        </w:tabs>
        <w:ind w:right="0"/>
      </w:pPr>
      <w:r>
        <w:rPr>
          <w:i w:val="1"/>
        </w:rPr>
        <w:t>equipo de trabajo</w:t>
      </w:r>
      <w:r>
        <w:t>: una máquina conmutable que puede conectarse a un vehículo, que no tenga ningún contacto con el suelo durante su transporte por carretera, y que no puede girar alrededor de su eje vertical en relación con el vehículo durante el transporte por carretera;</w:t>
      </w:r>
    </w:p>
    <w:p w:rsidR="001130A8" w:rsidRPr="00D95431" w:rsidRDefault="00CE34F6" w:rsidP="0005296C">
      <w:pPr>
        <w:numPr>
          <w:ilvl w:val="0"/>
          <w:numId w:val="1"/>
        </w:numPr>
        <w:tabs>
          <w:tab w:val="left" w:pos="540"/>
        </w:tabs>
        <w:ind w:right="0"/>
      </w:pPr>
      <w:r>
        <w:rPr>
          <w:i w:val="1"/>
        </w:rPr>
        <w:t>Directiva sobre dimensiones y pesos</w:t>
      </w:r>
      <w:r>
        <w:t>: la Directiva 96/53/CE del Consejo por la que se establecen, para determinados vehículos de carretera que circulan en la Comunidad, las dimensiones máximas autorizadas en el tráfico nacional e internacional y los pesos máximos autorizados en el tráfico internacional, modificada por última vez por la Directiva (UE) 2015/719 del Parlamento Europeo y del Consejo;</w:t>
      </w:r>
    </w:p>
    <w:p w:rsidR="001130A8" w:rsidRPr="00D95431" w:rsidRDefault="00CE34F6" w:rsidP="0005296C">
      <w:pPr>
        <w:numPr>
          <w:ilvl w:val="0"/>
          <w:numId w:val="1"/>
        </w:numPr>
        <w:tabs>
          <w:tab w:val="left" w:pos="540"/>
        </w:tabs>
        <w:ind w:right="0"/>
      </w:pPr>
      <w:r>
        <w:rPr>
          <w:i w:val="1"/>
        </w:rPr>
        <w:t>combustibles alternativos</w:t>
      </w:r>
      <w:r>
        <w:t>: combustibles alternativos mencionados en el artículo 2 de la Directiva sobre dimensiones y pesos;</w:t>
      </w:r>
    </w:p>
    <w:p w:rsidR="001130A8" w:rsidRPr="00D95431" w:rsidRDefault="00CE34F6" w:rsidP="0005296C">
      <w:pPr>
        <w:numPr>
          <w:ilvl w:val="0"/>
          <w:numId w:val="1"/>
        </w:numPr>
        <w:tabs>
          <w:tab w:val="left" w:pos="540"/>
        </w:tabs>
        <w:ind w:right="0"/>
      </w:pPr>
      <w:r>
        <w:rPr>
          <w:i w:val="1"/>
        </w:rPr>
        <w:t>eje de dirección</w:t>
      </w:r>
      <w:r>
        <w:t>: eje cuyas ruedas pueden rotar directa o indirectamente en relación con el eje longitudinal del vehículo para determinar la dirección del movimiento del vehículo;</w:t>
      </w:r>
    </w:p>
    <w:p w:rsidR="001130A8" w:rsidRPr="00D95431" w:rsidRDefault="00CE34F6" w:rsidP="0005296C">
      <w:pPr>
        <w:numPr>
          <w:ilvl w:val="0"/>
          <w:numId w:val="1"/>
        </w:numPr>
        <w:tabs>
          <w:tab w:val="left" w:pos="540"/>
        </w:tabs>
        <w:spacing w:after="224"/>
        <w:ind w:right="0"/>
      </w:pPr>
      <w:r>
        <w:rPr>
          <w:i w:val="1"/>
        </w:rPr>
        <w:t>eje direccional</w:t>
      </w:r>
      <w:r>
        <w:t>: eje cuyo ángulo de dirección de la rueda solo cambia debido a la interacción de las fuerzas entre los neumáticos y la superficie de la carretera; sin embargo, un eje cuyo ángulo de dirección cambie ligeramente debido a la elasticidad del acoplamiento del eje no se considerará un eje direccional.</w:t>
      </w:r>
    </w:p>
    <w:p w:rsidR="001130A8" w:rsidRPr="00D95431" w:rsidRDefault="00CE34F6" w:rsidP="00791F05">
      <w:pPr>
        <w:keepNext/>
        <w:spacing w:after="86" w:line="265" w:lineRule="auto"/>
        <w:ind w:left="127" w:right="120" w:hanging="10"/>
        <w:jc w:val="center"/>
      </w:pPr>
      <w:r>
        <w:t>Artículo 13</w:t>
      </w:r>
    </w:p>
    <w:p w:rsidR="001130A8" w:rsidRPr="00D95431" w:rsidRDefault="00CE34F6">
      <w:pPr>
        <w:pStyle w:val="Heading2"/>
        <w:ind w:right="1"/>
      </w:pPr>
      <w:r>
        <w:t>Eje direccional</w:t>
      </w:r>
    </w:p>
    <w:p w:rsidR="001130A8" w:rsidRPr="00D95431" w:rsidRDefault="00CE34F6">
      <w:pPr>
        <w:ind w:left="-15" w:right="0"/>
      </w:pPr>
      <w:r>
        <w:t>Si un vehículo o un remolque, para el que no se han previsto ni especificado requisitos técnicos para un dispositivo de control, tiene un eje direccional instalado con un dispositivo que se acciona desde el asiento del conductor o un dispositivo automático que directamente bloquea la dirección, el eje deberá mantenerse bloqueado durante la conducción a velocidades superiores a los 40 kilómetros por hora.</w:t>
      </w:r>
    </w:p>
    <w:p w:rsidR="001130A8" w:rsidRPr="00D95431" w:rsidRDefault="00CE34F6">
      <w:pPr>
        <w:spacing w:after="224"/>
        <w:ind w:left="-15" w:right="0"/>
      </w:pPr>
      <w:r>
        <w:t>Si todos los ejes de un vehículo son ejes de dirección, la posición de viaje del vehículo deberá ser paralela al carril de conducción en el tráfico normal.</w:t>
      </w:r>
    </w:p>
    <w:p w:rsidR="001130A8" w:rsidRPr="00D95431" w:rsidRDefault="00CE34F6" w:rsidP="00791F05">
      <w:pPr>
        <w:keepNext/>
        <w:spacing w:after="86" w:line="265" w:lineRule="auto"/>
        <w:ind w:left="127" w:right="120" w:hanging="10"/>
        <w:jc w:val="center"/>
      </w:pPr>
      <w:r>
        <w:t>Artículo 17</w:t>
      </w:r>
    </w:p>
    <w:p w:rsidR="001130A8" w:rsidRPr="00D95431" w:rsidRDefault="00CE34F6">
      <w:pPr>
        <w:pStyle w:val="Heading2"/>
        <w:ind w:right="3"/>
      </w:pPr>
      <w:r>
        <w:t>Uso de los dispositivos antideslizantes en neumáticos de vehículos y vehículos remolcados enganchados a estos</w:t>
      </w:r>
    </w:p>
    <w:p w:rsidR="001130A8" w:rsidRPr="00D95431" w:rsidRDefault="00CE34F6">
      <w:pPr>
        <w:ind w:left="-15" w:right="0"/>
      </w:pPr>
      <w:r>
        <w:t xml:space="preserve">Los neumáticos de un vehículo y un vehículo remolcado enganchado a él podrán estar equipados con clavos, cadenas para la nieve u otros dispositivos antideslizantes equivalentes que esencialmente no dañen la superficie de la carretera. </w:t>
      </w:r>
      <w:r>
        <w:t xml:space="preserve">Los neumáticos con clavos podrán usarse desde el 1 de noviembre hasta el 31 de marzo o hasta el primer lunes después del lunes de Pascua, en función de la fecha que ocurra más tarde. </w:t>
      </w:r>
      <w:r>
        <w:t xml:space="preserve">Fuera de este período, los neumáticos con clavos podrán usarse en vehículos de emergencia, vehículos todoterreno y remolques de las Fuerzas de Defensa, vehículos de mantenimiento de carreteras y vehículos de transporte y arrastre. </w:t>
      </w:r>
      <w:r>
        <w:t>Los neumáticos con clavos podrán usarse fuera del período mencionado también durante traslados temporales relacionados con el comercio, la reparación e inspección técnica de vehículos o vehículos remolcados, y en todos los vehículos y vehículos remolcados si el tiempo atmosférico o las condiciones de la carretera lo hacen necesario.</w:t>
      </w:r>
    </w:p>
    <w:p w:rsidR="001130A8" w:rsidRPr="00D95431" w:rsidRDefault="00CE34F6">
      <w:pPr>
        <w:ind w:left="-15" w:right="0"/>
      </w:pPr>
      <w:r>
        <w:t>En el caso de un remolque con una masa total superior a 0,75 toneladas, pero que no exceda las 3,5 toneladas (categoría O</w:t>
      </w:r>
      <w:r>
        <w:rPr>
          <w:vertAlign w:val="subscript"/>
        </w:rPr>
        <w:t>2</w:t>
      </w:r>
      <w:r>
        <w:t>), deberán usarse neumáticos con clavos si el vehículo tractor está equipado con ellos.</w:t>
      </w:r>
    </w:p>
    <w:p w:rsidR="001130A8" w:rsidRPr="00D95431" w:rsidRDefault="00CE34F6">
      <w:pPr>
        <w:ind w:left="-15" w:right="0"/>
      </w:pPr>
      <w:r>
        <w:t>Cuando se usan neumáticos con clavos en un turismo, en un vehículo comercial ligero (categoría M</w:t>
      </w:r>
      <w:r>
        <w:rPr>
          <w:vertAlign w:val="subscript"/>
        </w:rPr>
        <w:t>1</w:t>
      </w:r>
      <w:r>
        <w:t xml:space="preserve"> y N</w:t>
      </w:r>
      <w:r>
        <w:rPr>
          <w:vertAlign w:val="subscript"/>
        </w:rPr>
        <w:t>1</w:t>
      </w:r>
      <w:r>
        <w:t>) o en un remolque con una masa total inferior a 3,5 toneladas (categoría O</w:t>
      </w:r>
      <w:r>
        <w:rPr>
          <w:vertAlign w:val="subscript"/>
        </w:rPr>
        <w:t>1</w:t>
      </w:r>
      <w:r>
        <w:t xml:space="preserve"> y O</w:t>
      </w:r>
      <w:r>
        <w:rPr>
          <w:vertAlign w:val="subscript"/>
        </w:rPr>
        <w:t>2</w:t>
      </w:r>
      <w:r>
        <w:t xml:space="preserve">), deberán instalarse en cada rueda, con la excepción de las dos ruedas de las ruedas gemelas. </w:t>
      </w:r>
      <w:r>
        <w:t>El número de clavos en los diferentes neumáticos de un vehículo no podrá diferir en más del 25 % del número de clavos en el neumático que tiene más clavos.</w:t>
      </w:r>
    </w:p>
    <w:p w:rsidR="001130A8" w:rsidRPr="00D95431" w:rsidRDefault="00CE34F6">
      <w:pPr>
        <w:ind w:left="-15" w:right="0"/>
      </w:pPr>
      <w:r>
        <w:t xml:space="preserve">Cuando debe usarse un neumático de repuesto provisionalmente en un vehículo o en un vehículo remolcado por él debido a un fallo en el neumático, no se aplicarán las disposiciones del presente artículo. </w:t>
      </w:r>
      <w:r>
        <w:t>El vehículo deberá conducirse con extremada precaución.</w:t>
      </w:r>
    </w:p>
    <w:p w:rsidR="001130A8" w:rsidRPr="00D95431" w:rsidRDefault="00CE34F6">
      <w:pPr>
        <w:ind w:left="-15" w:right="0"/>
      </w:pPr>
      <w:r>
        <w:t xml:space="preserve">En el caso de un neumático con clavos usado de un vehículo de pasajeros o un camión ligero, los clavos no deberán sobresalir más de 2,0 mm. </w:t>
      </w:r>
      <w:r>
        <w:t>El clavo no deberá sobresalir más de 2,5 milímetros en los neumáticos utilizados para un camión.</w:t>
      </w:r>
    </w:p>
    <w:p w:rsidR="001130A8" w:rsidRPr="00D95431" w:rsidRDefault="00CE34F6">
      <w:pPr>
        <w:ind w:left="-15" w:right="0"/>
      </w:pPr>
      <w:r>
        <w:t>La Agencia de Comunicación y Transporte de Finlandia podrá conceder a un vehículo particular una excepción al período permitido para el uso de vehículos con clavos establecido en el párrafo primero.</w:t>
      </w:r>
    </w:p>
    <w:p w:rsidR="001130A8" w:rsidRPr="00D95431" w:rsidRDefault="00CE34F6">
      <w:pPr>
        <w:ind w:left="-15" w:right="0"/>
      </w:pPr>
      <w:r>
        <w:t xml:space="preserve">Si la masa total sobre el eje motor o los ejes motores es inferior al 18 % de la masa bruta combinada en un conjunto de vehículos con una masa superior a las 44 toneladas o una longitud superior a los 18,75 metros, durante el período establecido en el artículo 16, apartado 2, el vehículo tractor deberá estar equipado con un dispositivo que pueda mejorar la tracción inicial del vehículo en calzadas resbaladizas. </w:t>
      </w:r>
      <w:r>
        <w:t>La estructura que afecta al funcionamiento del diferencial de un eje motor único no se considera un dispositivo de este tipo.</w:t>
      </w:r>
    </w:p>
    <w:p w:rsidR="001130A8" w:rsidRPr="00D95431" w:rsidRDefault="00CE34F6">
      <w:pPr>
        <w:spacing w:after="224"/>
        <w:ind w:left="-15" w:right="0"/>
      </w:pPr>
      <w:r>
        <w:t>Si la masa total sobre los ejes motores de un conjunto de vehículos cuya longitud supera los 28 metros es inferior al 25 % de la masa del conjunto de vehículos, durante el período estipulado en el artículo 16, apartado 2, y con el fin de mejorar la capacidad de arranque del conjunto de vehículos en una calzada resbaladiza, el vehículo tractor deberá estar equipado con lijadoras o cadenas de nieve automáticas para mejorar la capacidad de remolque de al menos un eje motor o el eje que se usa como eje motor a baja velocidad.</w:t>
      </w:r>
    </w:p>
    <w:p w:rsidR="001130A8" w:rsidRPr="00D95431" w:rsidRDefault="00CE34F6" w:rsidP="00791F05">
      <w:pPr>
        <w:keepNext/>
        <w:spacing w:after="86" w:line="265" w:lineRule="auto"/>
        <w:ind w:left="127" w:right="121" w:hanging="10"/>
        <w:jc w:val="center"/>
      </w:pPr>
      <w:r>
        <w:t xml:space="preserve">Artículo 19 </w:t>
      </w:r>
      <w:r>
        <w:rPr>
          <w:i w:val="1"/>
        </w:rPr>
        <w:t>bis</w:t>
      </w:r>
    </w:p>
    <w:p w:rsidR="001130A8" w:rsidRPr="00D95431" w:rsidRDefault="00CE34F6">
      <w:pPr>
        <w:pStyle w:val="Heading2"/>
        <w:ind w:right="0"/>
      </w:pPr>
      <w:r>
        <w:t xml:space="preserve">Masas máximas sobre los ejes o </w:t>
      </w:r>
      <w:r>
        <w:rPr>
          <w:i w:val="0"/>
        </w:rPr>
        <w:t>bogies</w:t>
      </w:r>
      <w:r>
        <w:t xml:space="preserve"> de un vehículo o conjunto de vehículos</w:t>
      </w:r>
    </w:p>
    <w:p w:rsidR="001130A8" w:rsidRPr="00D95431" w:rsidRDefault="00CE34F6">
      <w:pPr>
        <w:ind w:left="-15" w:right="0"/>
      </w:pPr>
      <w:r>
        <w:t xml:space="preserve">Cuando un vehículo o conjunto de vehículos circule por carretera, la masa sobre un eje o </w:t>
      </w:r>
      <w:r>
        <w:rPr>
          <w:i w:val="1"/>
        </w:rPr>
        <w:t>bogie</w:t>
      </w:r>
      <w:r>
        <w:t xml:space="preserve"> o la masa total del vehículo no podrá superar el valor introducido en el registro de transporte. </w:t>
      </w:r>
      <w:r>
        <w:t>La masa total de un conjunto de vehículos no podrá superar la suma de las masas del vehículo remolcador y vehículo remolcado introducida en el registro de transporte ni la masa total permitida para el conjunto si esta es inferior a la suma mencionada.</w:t>
      </w:r>
    </w:p>
    <w:p w:rsidR="001130A8" w:rsidRPr="00D95431" w:rsidRDefault="00CE34F6">
      <w:pPr>
        <w:ind w:left="-15" w:right="0"/>
      </w:pPr>
      <w:r>
        <w:t xml:space="preserve">Durante la conducción sobre superficies resbaladizas, cuando se utilice un dispositivo elevador de eje o una función de aligeramiento de este, la masa sobre el eje o </w:t>
      </w:r>
      <w:r>
        <w:rPr>
          <w:i w:val="1"/>
        </w:rPr>
        <w:t>bogie</w:t>
      </w:r>
      <w:r>
        <w:t xml:space="preserve"> de un vehículo podrá sobrepasar temporalmente la masa máxima del eje o del </w:t>
      </w:r>
      <w:r>
        <w:rPr>
          <w:i w:val="1"/>
        </w:rPr>
        <w:t>bogie</w:t>
      </w:r>
      <w:r>
        <w:t xml:space="preserve"> permitida en carretera si ello es necesario para obtener suficiente adherencia y no daña la calzada.</w:t>
      </w:r>
    </w:p>
    <w:p w:rsidR="001130A8" w:rsidRPr="00D95431" w:rsidRDefault="00CE34F6">
      <w:pPr>
        <w:spacing w:after="224"/>
        <w:ind w:left="-15" w:right="0"/>
      </w:pPr>
      <w:r>
        <w:t xml:space="preserve">Cuando se utilice un dispositivo elevador de eje o una función de aligeramiento de este, la masa sobre el eje y el </w:t>
      </w:r>
      <w:r>
        <w:rPr>
          <w:i w:val="1"/>
        </w:rPr>
        <w:t>bogie</w:t>
      </w:r>
      <w:r>
        <w:t xml:space="preserve"> de un vehículo podrá sobrepasar temporalmente la masa máxima permitida en carretera si ello es necesario para obtener suficiente capacidad de maniobra. </w:t>
      </w:r>
      <w:r>
        <w:t xml:space="preserve">En dichos casos, la velocidad de conducción no podrá exceder los 30 kilómetros por hora y la masa sobre el eje no superará las 12 toneladas. </w:t>
      </w:r>
      <w:r>
        <w:t xml:space="preserve">Las disposiciones del artículo 32 </w:t>
      </w:r>
      <w:r>
        <w:rPr>
          <w:i w:val="1"/>
        </w:rPr>
        <w:t>ter</w:t>
      </w:r>
      <w:r>
        <w:t xml:space="preserve"> sobre la estabilidad necesaria no serán aplicables a los conjuntos de vehículos cuando se realice una elevación de eje a una velocidad de conducción inferior a 30 kilómetros por hora.</w:t>
      </w:r>
    </w:p>
    <w:p w:rsidR="001130A8" w:rsidRPr="00D95431" w:rsidRDefault="00CE34F6" w:rsidP="00791F05">
      <w:pPr>
        <w:keepNext/>
        <w:spacing w:after="86" w:line="265" w:lineRule="auto"/>
        <w:ind w:left="127" w:right="121" w:hanging="10"/>
        <w:jc w:val="center"/>
      </w:pPr>
      <w:r>
        <w:t xml:space="preserve">Artículo 19 </w:t>
      </w:r>
      <w:r>
        <w:rPr>
          <w:i w:val="1"/>
        </w:rPr>
        <w:t>ter</w:t>
      </w:r>
    </w:p>
    <w:p w:rsidR="001130A8" w:rsidRPr="00D95431" w:rsidRDefault="00CE34F6">
      <w:pPr>
        <w:pStyle w:val="Heading2"/>
        <w:ind w:right="3"/>
      </w:pPr>
      <w:r>
        <w:t>Uso en Finlandia de un vehículo matriculado o puesto en circulación en un Estado del EEE</w:t>
      </w:r>
    </w:p>
    <w:p w:rsidR="001130A8" w:rsidRPr="00D95431" w:rsidRDefault="00CE34F6">
      <w:pPr>
        <w:ind w:left="-15" w:right="0"/>
      </w:pPr>
      <w:r>
        <w:t>Cuando se use en Finlandia un vehículo matriculado o puesto en circulación en un Estado miembro del Espacio Económico Europeo (en adelante, «Estado del EEE»), se aplicarán las disposiciones del presente capítulo.</w:t>
      </w:r>
    </w:p>
    <w:p w:rsidR="001130A8" w:rsidRPr="00D95431" w:rsidRDefault="00CE34F6">
      <w:pPr>
        <w:ind w:left="-15" w:right="0"/>
      </w:pPr>
      <w:r>
        <w:t>Si las masas generalmente permitidas de un vehículo puesto en circulación en 1993 o con posterioridad a esta fecha superan los valores máximos estipulados en la Directiva de pesos y dimensiones:</w:t>
      </w:r>
    </w:p>
    <w:p w:rsidR="001130A8" w:rsidRPr="00D95431" w:rsidRDefault="00CE34F6" w:rsidP="0005296C">
      <w:pPr>
        <w:numPr>
          <w:ilvl w:val="0"/>
          <w:numId w:val="2"/>
        </w:numPr>
        <w:tabs>
          <w:tab w:val="left" w:pos="540"/>
        </w:tabs>
        <w:ind w:right="0"/>
      </w:pPr>
      <w:r>
        <w:t xml:space="preserve">al menos un eje de un </w:t>
      </w:r>
      <w:r>
        <w:rPr>
          <w:i w:val="1"/>
        </w:rPr>
        <w:t>bogie</w:t>
      </w:r>
      <w:r>
        <w:t xml:space="preserve"> con tres o más ejes deberá ser un eje de dirección. En vez de un eje de dirección, se podrá usar un eje direccional que esté bloqueado en una posición que corresponda directamente a la dirección de conducción mientras viaja a una velocidad de 30 kilómetros por hora o más;</w:t>
      </w:r>
    </w:p>
    <w:p w:rsidR="001130A8" w:rsidRPr="00D95431" w:rsidRDefault="00CE34F6" w:rsidP="0005296C">
      <w:pPr>
        <w:numPr>
          <w:ilvl w:val="0"/>
          <w:numId w:val="2"/>
        </w:numPr>
        <w:tabs>
          <w:tab w:val="left" w:pos="540"/>
        </w:tabs>
        <w:ind w:right="0"/>
      </w:pPr>
      <w:r>
        <w:t xml:space="preserve">en el caso de un vehículo remolcado, al menos uno de los ejes del </w:t>
      </w:r>
      <w:r>
        <w:rPr>
          <w:i w:val="1"/>
        </w:rPr>
        <w:t>bogie</w:t>
      </w:r>
      <w:r>
        <w:t xml:space="preserve"> será un eje de dirección o un eje direccional si la distancia entre los ejes más separados de un </w:t>
      </w:r>
      <w:r>
        <w:rPr>
          <w:i w:val="1"/>
        </w:rPr>
        <w:t>bogie</w:t>
      </w:r>
      <w:r>
        <w:t xml:space="preserve"> supera</w:t>
      </w:r>
    </w:p>
    <w:p w:rsidR="001130A8" w:rsidRPr="00D95431" w:rsidRDefault="00CE34F6" w:rsidP="0005296C">
      <w:pPr>
        <w:tabs>
          <w:tab w:val="left" w:pos="540"/>
        </w:tabs>
        <w:ind w:left="-15" w:right="0" w:firstLine="0"/>
      </w:pPr>
      <w:r>
        <w:t xml:space="preserve">los 2,4 metros en un </w:t>
      </w:r>
      <w:r>
        <w:rPr>
          <w:i w:val="1"/>
        </w:rPr>
        <w:t>bogie</w:t>
      </w:r>
      <w:r>
        <w:t xml:space="preserve"> con dos ejes o los 2,8 metros en un </w:t>
      </w:r>
      <w:r>
        <w:rPr>
          <w:i w:val="1"/>
        </w:rPr>
        <w:t>bogie</w:t>
      </w:r>
      <w:r>
        <w:t xml:space="preserve"> con tres o más ejes;</w:t>
      </w:r>
    </w:p>
    <w:p w:rsidR="001130A8" w:rsidRPr="00D95431" w:rsidRDefault="00CE34F6" w:rsidP="0005296C">
      <w:pPr>
        <w:numPr>
          <w:ilvl w:val="0"/>
          <w:numId w:val="2"/>
        </w:numPr>
        <w:tabs>
          <w:tab w:val="left" w:pos="540"/>
        </w:tabs>
        <w:ind w:right="0"/>
      </w:pPr>
      <w:r>
        <w:t xml:space="preserve">el eje trasero de un </w:t>
      </w:r>
      <w:r>
        <w:rPr>
          <w:i w:val="1"/>
        </w:rPr>
        <w:t>bogie</w:t>
      </w:r>
      <w:r>
        <w:t xml:space="preserve"> de dos ejes en un remolque completo podrá ser un eje direccional únicamente si se ha demostrado que el vehículo cumple los requisitos técnicos mencionados en el Reglamento n.º 79 de la CEPE;</w:t>
      </w:r>
    </w:p>
    <w:p w:rsidR="001130A8" w:rsidRPr="00D95431" w:rsidRDefault="00CE34F6" w:rsidP="0005296C">
      <w:pPr>
        <w:numPr>
          <w:ilvl w:val="0"/>
          <w:numId w:val="2"/>
        </w:numPr>
        <w:tabs>
          <w:tab w:val="left" w:pos="540"/>
        </w:tabs>
        <w:ind w:right="0"/>
      </w:pPr>
      <w:r>
        <w:t xml:space="preserve">un </w:t>
      </w:r>
      <w:r>
        <w:rPr>
          <w:i w:val="1"/>
        </w:rPr>
        <w:t>bogie</w:t>
      </w:r>
      <w:r>
        <w:t xml:space="preserve"> semirremolcado acoplado a través de un remolque convertidor deberá tener como mínimo dos ejes no direccionales.</w:t>
      </w:r>
    </w:p>
    <w:p w:rsidR="001130A8" w:rsidRPr="00D95431" w:rsidRDefault="00CE34F6">
      <w:pPr>
        <w:ind w:left="-15" w:right="0"/>
      </w:pPr>
      <w:r>
        <w:t xml:space="preserve">La suma de la masa sobre los ejes no direccionales de un </w:t>
      </w:r>
      <w:r>
        <w:rPr>
          <w:i w:val="1"/>
        </w:rPr>
        <w:t>bogie</w:t>
      </w:r>
      <w:r>
        <w:t xml:space="preserve"> con tres o más ejes en el vehículo mencionado en el párrafo segundo será como mínimo 1,6 veces superior a la masa sobre los ejes direccionales. </w:t>
      </w:r>
      <w:r>
        <w:t>Este requisito no se aplicará a los vehículos que hayan demostrado su conformidad con los requisitos técnicos recogidos en el Reglamento n.º 79 de la CEPE.</w:t>
      </w:r>
    </w:p>
    <w:p w:rsidR="001130A8" w:rsidRPr="00D95431" w:rsidRDefault="00CE34F6">
      <w:pPr>
        <w:spacing w:after="224"/>
        <w:ind w:left="-15" w:right="0"/>
      </w:pPr>
      <w:r>
        <w:t>Las disposiciones establecidas en los párrafos segundo y tercero anteriores no se aplicarán a vehículos con una velocidad máxima autorizada no superior a los 40 kilómetros por hora.</w:t>
      </w:r>
    </w:p>
    <w:p w:rsidR="001130A8" w:rsidRPr="00D95431" w:rsidRDefault="00CE34F6" w:rsidP="00791F05">
      <w:pPr>
        <w:keepNext/>
        <w:spacing w:after="86" w:line="265" w:lineRule="auto"/>
        <w:ind w:left="127" w:right="120" w:hanging="10"/>
        <w:jc w:val="center"/>
      </w:pPr>
      <w:r>
        <w:t>Artículo 20</w:t>
      </w:r>
    </w:p>
    <w:p w:rsidR="001130A8" w:rsidRPr="00D95431" w:rsidRDefault="00CE34F6">
      <w:pPr>
        <w:pStyle w:val="Heading2"/>
        <w:ind w:right="0"/>
      </w:pPr>
      <w:r>
        <w:t xml:space="preserve">Masas sobre los ejes y los </w:t>
      </w:r>
      <w:r>
        <w:rPr>
          <w:i w:val="1"/>
        </w:rPr>
        <w:t>bogies</w:t>
      </w:r>
    </w:p>
    <w:p w:rsidR="001130A8" w:rsidRPr="00D95431" w:rsidRDefault="00CE34F6" w:rsidP="00791F05">
      <w:pPr>
        <w:keepNext/>
        <w:spacing w:after="67"/>
        <w:ind w:left="-15" w:right="0"/>
      </w:pPr>
      <w:r>
        <w:t>Cuando un vehículo de motor o un remolque se conduzca por carretera, la masa sobre su eje no deberá superar los siguientes valores: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eje no motor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eje motor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Cuando un vehículo de motor se conduzca por carretera, la masa sobre su </w:t>
      </w:r>
      <w:r>
        <w:rPr>
          <w:i w:val="1"/>
        </w:rPr>
        <w:t>bogie</w:t>
      </w:r>
      <w:r>
        <w:t xml:space="preserve"> no deberá superar los siguientes valores: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t>
            </w:r>
            <w:r>
              <w:rPr>
                <w:i w:val="1"/>
              </w:rPr>
              <w:t>bogie</w:t>
            </w:r>
            <w:r>
              <w:t xml:space="preserve"> con eje tándem cuando la separación entre los ejes sea inferior a 1,0 metro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w:t>
            </w:r>
            <w:r>
              <w:rPr>
                <w:i w:val="1"/>
              </w:rPr>
              <w:t>bogie</w:t>
            </w:r>
            <w:r>
              <w:t xml:space="preserve"> con eje tándem cuando la separación entre los ejes no sea inferior a 1,0 metro, pero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t>
            </w:r>
            <w:r>
              <w:rPr>
                <w:i w:val="1"/>
              </w:rPr>
              <w:t>bogie</w:t>
            </w:r>
            <w:r>
              <w:t xml:space="preserve"> con eje tándem cuando la separación entre los ejes no sea inferior a 1,3 metro, pero sea inferior a 1,8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w:t>
            </w:r>
            <w:r>
              <w:rPr>
                <w:i w:val="1"/>
              </w:rPr>
              <w:t>bogie</w:t>
            </w:r>
            <w:r>
              <w:t xml:space="preserve"> con eje tándem cuando la separación entre los ejes no sea inferior a 1,3 metros, pero sea inferior a 1,8 metros y cada eje motor esté equipado con ruedas gemelas y la masa en cada eje no supere las 9,5 toneladas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t>
            </w:r>
            <w:r>
              <w:rPr>
                <w:i w:val="1"/>
              </w:rPr>
              <w:t>bogie</w:t>
            </w:r>
            <w:r>
              <w:t xml:space="preserve"> con eje tándem cuando la separación entre los ejes no sea inferior a 1,3 metros, pero sea inferior a 1,8 metros y el eje de dirección esté equipado con ruedas gemelas y suspensión neumática o con una suspensión reconocida como equivalente a la suspensión neumática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w:t>
            </w:r>
            <w:r>
              <w:rPr>
                <w:i w:val="1"/>
              </w:rPr>
              <w:t>bogie</w:t>
            </w:r>
            <w:r>
              <w:t xml:space="preserve"> con eje tándem cuando la separación entre los ejes no sea inferior a 1,3 metros, pero sea inferior a 1,8 metros y el eje de dirección esté equipado con ruedas gemelas y suspensión neumática o con una suspensión reconocida como equivalente a la suspensión neumática o cuando ambos ejes del </w:t>
            </w:r>
            <w:r>
              <w:rPr>
                <w:i w:val="1"/>
              </w:rPr>
              <w:t>bogie</w:t>
            </w:r>
            <w:r>
              <w:t xml:space="preserve"> estén equipados con ruedas gemelas y la masa un eje único no supere las 10,5 toneladas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w:t>
            </w:r>
            <w:r>
              <w:rPr>
                <w:i w:val="1"/>
              </w:rPr>
              <w:t>bogie</w:t>
            </w:r>
            <w:r>
              <w:t xml:space="preserve"> con eje trídem cuando la separación entre los ejes sucesivos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w:t>
            </w:r>
            <w:r>
              <w:rPr>
                <w:i w:val="1"/>
              </w:rPr>
              <w:t>bogie</w:t>
            </w:r>
            <w:r>
              <w:t xml:space="preserve"> con eje trídem cuando la separación entre los ejes sucesivos sea al menos de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w:t>
            </w:r>
            <w:r>
              <w:rPr>
                <w:i w:val="1"/>
              </w:rPr>
              <w:t>bogie</w:t>
            </w:r>
            <w:r>
              <w:t xml:space="preserve"> con eje trídem cuando la separación entre los ejes sucesivos no sea inferior a 1,3 metros y al menos dos ejes del </w:t>
            </w:r>
            <w:r>
              <w:rPr>
                <w:i w:val="1"/>
              </w:rPr>
              <w:t>bogie</w:t>
            </w:r>
            <w:r>
              <w:t xml:space="preserve"> estén equipados con ruedas gemelas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Cuando se transporte un remolque por carretera, la masa sobre su </w:t>
      </w:r>
      <w:r>
        <w:rPr>
          <w:i w:val="1"/>
        </w:rPr>
        <w:t>bogie</w:t>
      </w:r>
      <w:r>
        <w:t xml:space="preserve"> no deberá superar los siguientes valores: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t>
            </w:r>
            <w:r>
              <w:rPr>
                <w:i w:val="1"/>
              </w:rPr>
              <w:t>bogie</w:t>
            </w:r>
            <w:r>
              <w:t xml:space="preserve"> con eje tándem cuando la separación entre los ejes sea inferior a 1,0 metro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w:t>
            </w:r>
            <w:r>
              <w:rPr>
                <w:i w:val="1"/>
              </w:rPr>
              <w:t>bogie</w:t>
            </w:r>
            <w:r>
              <w:t xml:space="preserve"> con eje tándem cuando la separación entre los ejes no sea inferior a 1,0 metro, pero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t>
            </w:r>
            <w:r>
              <w:rPr>
                <w:i w:val="1"/>
              </w:rPr>
              <w:t>bogie</w:t>
            </w:r>
            <w:r>
              <w:t xml:space="preserve"> con eje tándem cuando la separación entre los ejes no sea inferior a 1,3 metro, pero sea inferior a 1,8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w:t>
            </w:r>
            <w:r>
              <w:rPr>
                <w:i w:val="1"/>
              </w:rPr>
              <w:t>bogie</w:t>
            </w:r>
            <w:r>
              <w:t xml:space="preserve"> con eje tándem cuando la separación entre los ejes no sea inferior a 1,8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t>
            </w:r>
            <w:r>
              <w:rPr>
                <w:i w:val="1"/>
              </w:rPr>
              <w:t>bogie</w:t>
            </w:r>
            <w:r>
              <w:t xml:space="preserve"> con eje trídem cuando la separación entre los ejes sucesivos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w:t>
            </w:r>
            <w:r>
              <w:rPr>
                <w:i w:val="1"/>
              </w:rPr>
              <w:t>bogie</w:t>
            </w:r>
            <w:r>
              <w:t xml:space="preserve"> con eje trídem cuando la separación entre los ejes sucesivos no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w:t>
            </w:r>
            <w:r>
              <w:rPr>
                <w:i w:val="1"/>
              </w:rPr>
              <w:t>bogie</w:t>
            </w:r>
            <w:r>
              <w:t xml:space="preserve"> con al menos cuatro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w:t>
            </w:r>
            <w:r>
              <w:rPr>
                <w:i w:val="1"/>
              </w:rPr>
              <w:t>bogie</w:t>
            </w:r>
            <w:r>
              <w:t xml:space="preserve"> con al menos cuatro ejes cuando la separación entre los ejes sucesivos no sea inferior a 1,3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27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w:t>
            </w:r>
            <w:r>
              <w:rPr>
                <w:i w:val="1"/>
              </w:rPr>
              <w:t>bogie</w:t>
            </w:r>
            <w:r>
              <w:t xml:space="preserve"> con al menos cuatro ejes cuando la separación entre los ejes sucesivos no sea inferior a 1,3 metros y la separación entre los ejes más separados no sea inferior a 4,7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w:t>
            </w:r>
            <w:r>
              <w:rPr>
                <w:i w:val="1"/>
              </w:rPr>
              <w:t>bogie</w:t>
            </w:r>
            <w:r>
              <w:t xml:space="preserve"> con al menos cinco ejes cuando la separación entre los ejes sucesivos no sea inferior a 1,3 metros y la separación entre los ejes más separados no sea inferior a 6,7 metros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6" w:type="dxa"/>
            <w:tcBorders>
              <w:top w:val="nil"/>
              <w:left w:val="nil"/>
              <w:bottom w:val="nil"/>
              <w:right w:val="nil"/>
            </w:tcBorders>
          </w:tcPr>
          <w:p w:rsidR="001130A8" w:rsidRPr="00D95431" w:rsidRDefault="00CE34F6">
            <w:pPr>
              <w:spacing w:after="0" w:line="259" w:lineRule="auto"/>
              <w:ind w:right="0" w:firstLine="0"/>
            </w:pPr>
            <w:r>
              <w:t>36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F76F5" w:rsidRPr="00D95431" w:rsidRDefault="004F76F5" w:rsidP="004F76F5">
      <w:pPr>
        <w:spacing w:after="0"/>
        <w:ind w:left="-14" w:right="0" w:firstLine="216"/>
      </w:pPr>
    </w:p>
    <w:p w:rsidR="001130A8" w:rsidRPr="00D95431" w:rsidRDefault="00CE34F6">
      <w:pPr>
        <w:spacing w:after="224"/>
        <w:ind w:left="-15" w:right="0"/>
      </w:pPr>
      <w:r>
        <w:t xml:space="preserve">La masa sobre los ejes sucesivos de un </w:t>
      </w:r>
      <w:r>
        <w:rPr>
          <w:i w:val="1"/>
        </w:rPr>
        <w:t>bogie</w:t>
      </w:r>
      <w:r>
        <w:t xml:space="preserve"> con tres o más ejes no podrá superar la masa máxima autorizada por </w:t>
      </w:r>
      <w:r>
        <w:rPr>
          <w:i w:val="1"/>
        </w:rPr>
        <w:t>bogie</w:t>
      </w:r>
      <w:r>
        <w:t xml:space="preserve"> con el número correspondiente de ejes especificado en los apartados 2 o 3. </w:t>
      </w:r>
      <w:r>
        <w:t xml:space="preserve">La masa sobre los ejes de un </w:t>
      </w:r>
      <w:r>
        <w:rPr>
          <w:i w:val="1"/>
        </w:rPr>
        <w:t>bogie</w:t>
      </w:r>
      <w:r>
        <w:t xml:space="preserve"> no podrá superar la masa máxima autorizada por eje especificada en el apartado 1.</w:t>
      </w:r>
    </w:p>
    <w:p w:rsidR="001130A8" w:rsidRPr="00D95431" w:rsidRDefault="00CE34F6" w:rsidP="00791F05">
      <w:pPr>
        <w:keepNext/>
        <w:spacing w:after="86" w:line="265" w:lineRule="auto"/>
        <w:ind w:left="127" w:right="120" w:hanging="10"/>
        <w:jc w:val="center"/>
      </w:pPr>
      <w:r>
        <w:t>Artículo 21</w:t>
      </w:r>
    </w:p>
    <w:p w:rsidR="001130A8" w:rsidRPr="00D95431" w:rsidRDefault="00CE34F6">
      <w:pPr>
        <w:pStyle w:val="Heading2"/>
        <w:ind w:right="6"/>
      </w:pPr>
      <w:r>
        <w:t>Masa de un vehículo</w:t>
      </w:r>
    </w:p>
    <w:p w:rsidR="001130A8" w:rsidRPr="00D95431" w:rsidRDefault="00CE34F6" w:rsidP="008513F4">
      <w:pPr>
        <w:keepNext/>
        <w:spacing w:after="68"/>
        <w:ind w:left="-15" w:right="0"/>
      </w:pPr>
      <w:r>
        <w:t>En carretera, la masa de un vehículo no deberá superar los siguientes valores: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vehículo con eje tándem que no sea un autobús o un autocar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right="0" w:firstLine="0"/>
            </w:pPr>
            <w:r>
              <w:t>18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vehículo con eje trídem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vehículo con eje trídem, si el eje de dirección está equipado con ruedas gemelas y suspensión neumática o con una suspensión reconocida como equivalente a la suspensión neumática o si cada eje trasero de dirección está equipado con ruedas gemelas y la masa sobre cada eje no supera las 10,5 toneladas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vehículo con eje trídem y con dos ejes con ruedas gemelas o con un eje trasero de dirección o direccional, y equipado con neumáticos con un ancho nominal de al menos 385 milímetros y en el que el eje de dirección tiene ruedas gemelas y está equipado con suspensión neumática o suspensión reconocida como equivalente a la suspensión neumática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autobús articulado de tres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vehículo de cuatro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vehículo de cuatro ejes, si el eje de dirección está equipado con ruedas gemelas y suspensión neumática o con una suspensión reconocida como equivalente a la suspensión neumática o si cada eje trasero de dirección está equipado con ruedas gemelas y la masa sobre cada eje no supera las 10,5 toneladas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vehículo de cinco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autobús o autocar con eje tándem</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8513F4" w:rsidRPr="00D95431" w:rsidRDefault="008513F4" w:rsidP="008513F4">
      <w:pPr>
        <w:spacing w:after="68"/>
        <w:ind w:left="-14" w:right="0" w:firstLine="216"/>
      </w:pPr>
    </w:p>
    <w:p w:rsidR="001130A8" w:rsidRPr="00D95431" w:rsidRDefault="00CE34F6" w:rsidP="008513F4">
      <w:pPr>
        <w:keepNext/>
        <w:spacing w:after="68"/>
        <w:ind w:left="-15" w:right="0"/>
      </w:pPr>
      <w:r>
        <w:t>No obstante, la masa de un vehículo no podrá superar la masa que se obtiene al añadir las siguientes cantidades a 20 toneladas por cada 0,10 metros que la distancia entre los ejes más exteriores del vehículo sobrepase los 1,80 metros:</w:t>
      </w:r>
    </w:p>
    <w:p w:rsidR="00791F05" w:rsidRPr="00D95431" w:rsidRDefault="00CE34F6">
      <w:pPr>
        <w:ind w:left="227" w:right="3228" w:firstLine="0"/>
      </w:pPr>
      <w:r>
        <w:t xml:space="preserve">1) 320 kilogramos, si el vehículo tiene cuatro ejes; </w:t>
      </w:r>
    </w:p>
    <w:p w:rsidR="001130A8" w:rsidRPr="00D95431" w:rsidRDefault="00CE34F6">
      <w:pPr>
        <w:ind w:left="227" w:right="3228" w:firstLine="0"/>
      </w:pPr>
      <w:r>
        <w:t>2) 350 kilogramos, si el vehículo tiene cinco ejes.</w:t>
      </w:r>
    </w:p>
    <w:p w:rsidR="001130A8" w:rsidRPr="00D95431" w:rsidRDefault="00CE34F6">
      <w:pPr>
        <w:ind w:left="-15" w:right="0"/>
      </w:pPr>
      <w:r>
        <w:t xml:space="preserve">Al menos el 20 % de la masa del vehículo deberá recaer sobre los ejes de dirección. </w:t>
      </w:r>
      <w:r>
        <w:t>Para un turismo cargado hasta su masa de matriculación/puesta en circulación permitida y con la masa máxima permitida sobre el eje trasero, al menos el 30 % de la masa bruta del vehículo deberá recaer sobre el eje delantero.</w:t>
      </w:r>
    </w:p>
    <w:p w:rsidR="001130A8" w:rsidRPr="00D95431" w:rsidRDefault="00CE34F6">
      <w:pPr>
        <w:ind w:left="-15" w:right="0"/>
      </w:pPr>
      <w:r>
        <w:t>Al menos el 25 % de la masa de un vehículo de categoría M</w:t>
      </w:r>
      <w:r>
        <w:rPr>
          <w:vertAlign w:val="subscript"/>
        </w:rPr>
        <w:t>2</w:t>
      </w:r>
      <w:r>
        <w:t>, M</w:t>
      </w:r>
      <w:r>
        <w:rPr>
          <w:vertAlign w:val="subscript"/>
        </w:rPr>
        <w:t>3</w:t>
      </w:r>
      <w:r>
        <w:t xml:space="preserve"> y N deberá recaer sobre los ejes motores.</w:t>
      </w:r>
    </w:p>
    <w:p w:rsidR="001130A8" w:rsidRPr="00D95431" w:rsidRDefault="00CE34F6">
      <w:pPr>
        <w:spacing w:after="225"/>
        <w:ind w:left="-15" w:right="0"/>
      </w:pPr>
      <w:r>
        <w:t xml:space="preserve">La masa de un vehículo que use combustibles alternativos podrá exceder la cantidad máxima autorizada establecida en el apartado 1, puntos 1 a 8, en la medida en que el fabricante demuestre que el aumento de la masa se debe al peso adicional necesario para el combustible alternativo. </w:t>
      </w:r>
      <w:r>
        <w:t>El peso adicional no podrá ser superior a una tonelada.</w:t>
      </w:r>
    </w:p>
    <w:p w:rsidR="001130A8" w:rsidRPr="00D95431" w:rsidRDefault="00CE34F6" w:rsidP="00791F05">
      <w:pPr>
        <w:keepNext/>
        <w:spacing w:after="86" w:line="265" w:lineRule="auto"/>
        <w:ind w:left="127" w:right="120" w:hanging="10"/>
        <w:jc w:val="center"/>
      </w:pPr>
      <w:r>
        <w:t>Artículo 22</w:t>
      </w:r>
    </w:p>
    <w:p w:rsidR="001130A8" w:rsidRPr="00D95431" w:rsidRDefault="00CE34F6">
      <w:pPr>
        <w:pStyle w:val="Heading2"/>
        <w:ind w:right="2"/>
      </w:pPr>
      <w:r>
        <w:t>Masa de un remolque</w:t>
      </w:r>
    </w:p>
    <w:p w:rsidR="001130A8" w:rsidRPr="00D95431" w:rsidRDefault="00CE34F6">
      <w:pPr>
        <w:spacing w:after="224"/>
        <w:ind w:left="-15" w:right="0"/>
      </w:pPr>
      <w:r>
        <w:t>La masa de un remolque completo no podrá superar el valor obtenido al sumar a 20 toneladas 350 kilogramos por cada 0,10 metros que la distancia entre los ejes más separados del remolque supere los 1,80 metros.</w:t>
      </w:r>
    </w:p>
    <w:p w:rsidR="001130A8" w:rsidRPr="00D95431" w:rsidRDefault="00CE34F6" w:rsidP="00791F05">
      <w:pPr>
        <w:keepNext/>
        <w:spacing w:after="86" w:line="265" w:lineRule="auto"/>
        <w:ind w:left="127" w:right="120" w:hanging="10"/>
        <w:jc w:val="center"/>
      </w:pPr>
      <w:r>
        <w:t>Artículo 23</w:t>
      </w:r>
    </w:p>
    <w:p w:rsidR="001130A8" w:rsidRPr="00D95431" w:rsidRDefault="00CE34F6">
      <w:pPr>
        <w:pStyle w:val="Heading2"/>
        <w:ind w:right="2"/>
      </w:pPr>
      <w:r>
        <w:t>Masa de un conjunto de un vehículo con remolque</w:t>
      </w:r>
    </w:p>
    <w:p w:rsidR="001130A8" w:rsidRPr="00D95431" w:rsidRDefault="00CE34F6" w:rsidP="003326CC">
      <w:pPr>
        <w:keepNext/>
        <w:spacing w:after="68"/>
        <w:ind w:left="-15" w:right="0"/>
      </w:pPr>
      <w:r>
        <w:t>La masa de un conjunto de vehículos conducido en carretera no sobrepasará los siguientes valores:</w:t>
      </w:r>
    </w:p>
    <w:p w:rsidR="001130A8" w:rsidRPr="00D95431" w:rsidRDefault="00CE34F6" w:rsidP="003326CC">
      <w:pPr>
        <w:numPr>
          <w:ilvl w:val="0"/>
          <w:numId w:val="3"/>
        </w:numPr>
        <w:tabs>
          <w:tab w:val="left" w:pos="720"/>
        </w:tabs>
        <w:spacing w:after="0" w:line="240" w:lineRule="auto"/>
        <w:ind w:right="0"/>
      </w:pPr>
      <w:r>
        <w:t xml:space="preserve">conjunto que incluye un vehículo de motor y un remolque de eje central </w:t>
      </w:r>
      <w:r>
        <w:tab/>
      </w:r>
      <w:r>
        <w:t>50 t</w:t>
      </w:r>
    </w:p>
    <w:p w:rsidR="001130A8" w:rsidRPr="00D95431" w:rsidRDefault="00CE34F6" w:rsidP="003326CC">
      <w:pPr>
        <w:numPr>
          <w:ilvl w:val="0"/>
          <w:numId w:val="3"/>
        </w:numPr>
        <w:tabs>
          <w:tab w:val="left" w:pos="720"/>
        </w:tabs>
        <w:spacing w:after="0" w:line="240" w:lineRule="auto"/>
        <w:ind w:right="0"/>
      </w:pPr>
      <w:r>
        <w:t>conjunto compuesto por un vehículo de motor y un semirremolque, conjunto compuesto por un vehículo de motor y remolque completo, o un conjunto compuesto por un vehículo de motor y varios remolques: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cuatro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cinco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seis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siete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ocho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ocho ejes, si al menos el 65 % de la masa del remolque o de la masa total de los remolques recae sobre ejes con ruedas gemelas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nueve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como mínimo nueve ejes, si al menos el 65 % de la masa del remolque o de la masa total de los remolques recae sobre ejes con ruedas gemelas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diez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como mínimo once ejes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Al calcular el número de ejes especificados en el párrafo primero, un eje levantado del sueño o un eje con una masa impuesta de menos de cinco toneladas no se tendrá en cuenta en los conjuntos de seis o más ejes.</w:t>
      </w:r>
    </w:p>
    <w:p w:rsidR="001130A8" w:rsidRPr="00D95431" w:rsidRDefault="00CE34F6">
      <w:pPr>
        <w:ind w:left="-15" w:right="0"/>
      </w:pPr>
      <w:r>
        <w:t xml:space="preserve">La suma de las masas sobre el </w:t>
      </w:r>
      <w:r>
        <w:rPr>
          <w:i w:val="1"/>
        </w:rPr>
        <w:t>bogie</w:t>
      </w:r>
      <w:r>
        <w:t xml:space="preserve"> trasero del vehículo tractor y el </w:t>
      </w:r>
      <w:r>
        <w:rPr>
          <w:i w:val="1"/>
        </w:rPr>
        <w:t>bogie</w:t>
      </w:r>
      <w:r>
        <w:t xml:space="preserve"> delantero del remolque no podrá superar el valor obtenido al sumar 350 kilogramos a 20 toneladas por cada 0,10 metros que la separación entre los ejes más separados de los </w:t>
      </w:r>
      <w:r>
        <w:rPr>
          <w:i w:val="1"/>
        </w:rPr>
        <w:t>bogies</w:t>
      </w:r>
      <w:r>
        <w:t xml:space="preserve"> supere los 1,80 metros.</w:t>
      </w:r>
    </w:p>
    <w:p w:rsidR="001130A8" w:rsidRPr="00D95431" w:rsidRDefault="00CE34F6">
      <w:pPr>
        <w:ind w:left="-15" w:right="0"/>
      </w:pPr>
      <w:r>
        <w:t xml:space="preserve">La masa de un conjunto de vehículos con una masa superior a las 44 toneladas no podrá superar el valor obtenido al sumar a 20 toneladas 320 kilogramos por cada 0,10 metros que la distancia entre los ejes más separados del remolque supere los 1,80 metros. </w:t>
      </w:r>
      <w:r>
        <w:t>Las disposiciones establecidas más arriba en el presente apartado también se aplicarán a los conjuntos de vehículos compuestos por un vehículo y un semirremolque que sea parte del conjunto mencionado en el párrafo primero, punto 2, si su masa sobrepasa las 44 toneladas.</w:t>
      </w:r>
    </w:p>
    <w:p w:rsidR="001130A8" w:rsidRPr="00D95431" w:rsidRDefault="00CE34F6">
      <w:pPr>
        <w:ind w:left="-15" w:right="0"/>
      </w:pPr>
      <w:r>
        <w:t>En un conjunto de vehículos con una masa superior a 40 toneladas, la distancia entre el eje trasero del vehículo y el eje delantero de un remolque con una masa superior a 10 toneladas será de al menos 3,00 metros.</w:t>
      </w:r>
    </w:p>
    <w:p w:rsidR="001130A8" w:rsidRPr="00D95431" w:rsidRDefault="00CE34F6">
      <w:pPr>
        <w:ind w:left="-15" w:right="0"/>
      </w:pPr>
      <w:r>
        <w:t xml:space="preserve">Al menos un 15 % de la masa del conjunto de vehículos recaerá sobre los ejes motores del conjunto compuesto por un vehículo y uno o varios remolques. </w:t>
      </w:r>
      <w:r>
        <w:t>Si la masa del conjunto de vehículos supera las 68 toneladas, al menos un 20 % de la masa del conjunto de vehículos recaerá sobre los ejes motores, y al menos un 9 % de la masa del conjunto de vehículos recaerá sobre el eje de dirección de un vehículo tractor.</w:t>
      </w:r>
    </w:p>
    <w:p w:rsidR="001130A8" w:rsidRPr="00D95431" w:rsidRDefault="00CE34F6">
      <w:pPr>
        <w:ind w:left="-15" w:right="0"/>
      </w:pPr>
      <w:r>
        <w:t>La potencia del motor para un conjunto de vehículos con una masa superior a 44 toneladas deberá ser de al menos 5 kilovatios por cada tonelada de la masa del conjunto.</w:t>
      </w:r>
    </w:p>
    <w:p w:rsidR="001130A8" w:rsidRPr="00D95431" w:rsidRDefault="00CE34F6">
      <w:pPr>
        <w:spacing w:after="196"/>
        <w:ind w:left="-15" w:right="0"/>
      </w:pPr>
      <w:r>
        <w:t>La masa del conjunto podrá exceder el máximo autorizado establecido en el párrafo primero si se cumplen las condiciones establecidas en el artículo 21, punto 5, siempre y cuando haya en el conjunto un vehículo de motor que use combustibles alternativos referidos en el mencionado párrafo.</w:t>
      </w:r>
    </w:p>
    <w:p w:rsidR="001130A8" w:rsidRPr="00D95431" w:rsidRDefault="00CE34F6" w:rsidP="00791F05">
      <w:pPr>
        <w:keepNext/>
        <w:spacing w:after="86" w:line="265" w:lineRule="auto"/>
        <w:ind w:left="127" w:right="121" w:hanging="10"/>
        <w:jc w:val="center"/>
      </w:pPr>
      <w:r>
        <w:t xml:space="preserve">Artículo 23 </w:t>
      </w:r>
      <w:r>
        <w:rPr>
          <w:i w:val="1"/>
        </w:rPr>
        <w:t>bis</w:t>
      </w:r>
    </w:p>
    <w:p w:rsidR="001130A8" w:rsidRPr="00D95431" w:rsidRDefault="00CE34F6" w:rsidP="00791F05">
      <w:pPr>
        <w:keepNext/>
        <w:spacing w:after="123" w:line="252" w:lineRule="auto"/>
        <w:ind w:left="97" w:right="0" w:firstLine="0"/>
        <w:jc w:val="left"/>
      </w:pPr>
      <w:r>
        <w:rPr>
          <w:i/>
        </w:rPr>
        <w:t>Excepciones a la masa de un conjunto de vehículos dedicado al transporte de mercancías peligrosas</w:t>
      </w:r>
    </w:p>
    <w:p w:rsidR="001130A8" w:rsidRPr="00D95431" w:rsidRDefault="00CE34F6">
      <w:pPr>
        <w:ind w:left="-15" w:right="0"/>
      </w:pPr>
      <w:r>
        <w:t>Como excepción al artículo 23, párrafo primero, punto 2, si un transporte está sujeto a la Ley sobre el transporte de mercancías peligrosas (719/1994), el peso máximo autorizado del conjunto de vehículos deberá ser de:</w:t>
      </w:r>
    </w:p>
    <w:p w:rsidR="001130A8" w:rsidRPr="00D95431" w:rsidRDefault="00CE34F6" w:rsidP="0005296C">
      <w:pPr>
        <w:numPr>
          <w:ilvl w:val="0"/>
          <w:numId w:val="4"/>
        </w:numPr>
        <w:tabs>
          <w:tab w:val="left" w:pos="720"/>
        </w:tabs>
        <w:ind w:right="0"/>
      </w:pPr>
      <w:r>
        <w:t>60 toneladas cuando haya al menos siete ejes;</w:t>
      </w:r>
    </w:p>
    <w:p w:rsidR="003326CC" w:rsidRPr="00D95431" w:rsidRDefault="00CE34F6" w:rsidP="0005296C">
      <w:pPr>
        <w:numPr>
          <w:ilvl w:val="0"/>
          <w:numId w:val="4"/>
        </w:numPr>
        <w:tabs>
          <w:tab w:val="left" w:pos="720"/>
        </w:tabs>
        <w:ind w:right="0"/>
      </w:pPr>
      <w:r>
        <w:t xml:space="preserve">64 toneladas en el caso de un conjunto de un vehículo tractor con al menos tres ejes y un semirremolque con al menos cinco ejes; </w:t>
      </w:r>
    </w:p>
    <w:p w:rsidR="001130A8" w:rsidRPr="00D95431" w:rsidRDefault="00CE34F6" w:rsidP="0005296C">
      <w:pPr>
        <w:numPr>
          <w:ilvl w:val="0"/>
          <w:numId w:val="4"/>
        </w:numPr>
        <w:tabs>
          <w:tab w:val="left" w:pos="720"/>
        </w:tabs>
        <w:ind w:right="0"/>
      </w:pPr>
      <w:r>
        <w:t xml:space="preserve">68 toneladas, si: </w:t>
      </w:r>
    </w:p>
    <w:p w:rsidR="001130A8" w:rsidRPr="00D95431" w:rsidRDefault="00CE34F6" w:rsidP="001C7212">
      <w:pPr>
        <w:numPr>
          <w:ilvl w:val="0"/>
          <w:numId w:val="5"/>
        </w:numPr>
        <w:tabs>
          <w:tab w:val="left" w:pos="720"/>
        </w:tabs>
        <w:ind w:right="-6" w:firstLine="324"/>
      </w:pPr>
      <w:r>
        <w:t>un conjunto de vehículos tiene al menos ocho ejes y el vehículo tractor del conjunto tiene al menos cuatro ejes; o</w:t>
      </w:r>
    </w:p>
    <w:p w:rsidR="001130A8" w:rsidRPr="00D95431" w:rsidRDefault="00CE34F6" w:rsidP="000D6F4A">
      <w:pPr>
        <w:numPr>
          <w:ilvl w:val="0"/>
          <w:numId w:val="5"/>
        </w:numPr>
        <w:tabs>
          <w:tab w:val="left" w:pos="720"/>
        </w:tabs>
        <w:ind w:right="-6" w:firstLine="324"/>
      </w:pPr>
      <w:r>
        <w:t>el vehículo tractor del conjunto de vehículos tiene al menos tres ejes y el conjunto en cuestión comprende un vehículo de motor con al menos ocho ejes y dos semirremolques.</w:t>
      </w:r>
    </w:p>
    <w:p w:rsidR="001130A8" w:rsidRPr="00D95431" w:rsidRDefault="00CE34F6">
      <w:pPr>
        <w:ind w:left="-15" w:right="0"/>
      </w:pPr>
      <w:r>
        <w:t xml:space="preserve">En conjuntos de vehículos con no más de ocho ejes con una masa de más de 64 toneladas, al menos el 65 por ciento de la masa del remolque o de la masa total de los remolques debe recaer sobre ejes con ruedas gemelas. </w:t>
      </w:r>
      <w:r>
        <w:t>De cualquier manera, el requisito no se aplica al transporte de tanques de sustancias peligrosas si la sustancia peligrosa transportada supera las 5 toneladas.</w:t>
      </w:r>
    </w:p>
    <w:p w:rsidR="001130A8" w:rsidRPr="00D95431" w:rsidRDefault="00CE34F6">
      <w:pPr>
        <w:spacing w:after="224"/>
        <w:ind w:left="-15" w:right="0"/>
      </w:pPr>
      <w:r>
        <w:t>Las disposiciones de los puntos 1 y 2 anteriores no se aplican al transporte de bienes envasados, si la cantidad de sustancias peligrosas que se transporta no supera los límites establecidos o estipulados con arreglo a la Ley referida en el párrafo primero sobre las exenciones relativas a la cantidad transportada en una unidad de transporte.</w:t>
      </w:r>
    </w:p>
    <w:p w:rsidR="001130A8" w:rsidRPr="00D95431" w:rsidRDefault="00CE34F6" w:rsidP="00791F05">
      <w:pPr>
        <w:keepNext/>
        <w:spacing w:after="86" w:line="265" w:lineRule="auto"/>
        <w:ind w:left="127" w:right="120" w:hanging="10"/>
        <w:jc w:val="center"/>
      </w:pPr>
      <w:r>
        <w:t>Artículo 24</w:t>
      </w:r>
    </w:p>
    <w:p w:rsidR="001130A8" w:rsidRPr="00D95431" w:rsidRDefault="00CE34F6">
      <w:pPr>
        <w:pStyle w:val="Heading2"/>
        <w:ind w:right="3"/>
      </w:pPr>
      <w:r>
        <w:t>Longitud del vehículo, del remolque o del conjunto de estos</w:t>
      </w:r>
    </w:p>
    <w:p w:rsidR="001130A8" w:rsidRPr="00D95431" w:rsidRDefault="00CE34F6" w:rsidP="00D95431">
      <w:pPr>
        <w:keepNext/>
        <w:spacing w:after="68"/>
        <w:ind w:left="-15" w:right="0"/>
      </w:pPr>
      <w:r>
        <w:t>La longitud del vehículo no deberá sobrepasar los siguientes valores:</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autobús o autocar (categorías M</w:t>
            </w:r>
            <w:r>
              <w:rPr>
                <w:vertAlign w:val="subscript"/>
              </w:rPr>
              <w:t>2</w:t>
            </w:r>
            <w:r>
              <w:t xml:space="preserve"> y M</w:t>
            </w:r>
            <w:r>
              <w:rPr>
                <w:vertAlign w:val="subscript"/>
              </w:rPr>
              <w:t>3</w:t>
            </w:r>
            <w:r>
              <w:t xml:space="preserve">) </w:t>
            </w:r>
          </w:p>
          <w:p w:rsidR="0005296C" w:rsidRPr="00D95431" w:rsidRDefault="00CE34F6" w:rsidP="00791F05">
            <w:pPr>
              <w:spacing w:after="0" w:line="240" w:lineRule="auto"/>
              <w:ind w:right="0" w:firstLine="0"/>
              <w:jc w:val="left"/>
            </w:pPr>
            <w:r>
              <w:t xml:space="preserve">no obstante, si tiene al menos tres ejes </w:t>
            </w:r>
          </w:p>
          <w:p w:rsidR="0005296C" w:rsidRPr="00D95431" w:rsidRDefault="00CE34F6" w:rsidP="00791F05">
            <w:pPr>
              <w:spacing w:after="0" w:line="240" w:lineRule="auto"/>
              <w:ind w:right="0" w:firstLine="0"/>
              <w:jc w:val="left"/>
            </w:pPr>
            <w:r>
              <w:t xml:space="preserve">no obstante, si es articulado </w:t>
            </w:r>
          </w:p>
          <w:p w:rsidR="001130A8" w:rsidRPr="00D95431" w:rsidRDefault="00CE34F6" w:rsidP="00791F05">
            <w:pPr>
              <w:spacing w:after="0" w:line="240" w:lineRule="auto"/>
              <w:ind w:right="0" w:firstLine="0"/>
              <w:jc w:val="left"/>
            </w:pPr>
            <w:r>
              <w:t>no obstante, si el vehículo articulado tiene más de una sección articulada</w:t>
            </w:r>
          </w:p>
          <w:p w:rsidR="0005296C" w:rsidRPr="00D95431" w:rsidRDefault="00CE34F6" w:rsidP="00791F05">
            <w:pPr>
              <w:numPr>
                <w:ilvl w:val="0"/>
                <w:numId w:val="11"/>
              </w:numPr>
              <w:tabs>
                <w:tab w:val="left" w:pos="493"/>
              </w:tabs>
              <w:spacing w:after="0" w:line="240" w:lineRule="auto"/>
              <w:ind w:left="0" w:right="0" w:firstLine="0"/>
              <w:jc w:val="left"/>
            </w:pPr>
            <w:r>
              <w:t>vehículo que no sea un autobús o un autocar mencionados en el punto 1</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keepNext/>
              <w:spacing w:after="68"/>
              <w:ind w:left="-15" w:right="0"/>
            </w:pPr>
          </w:p>
          <w:p w:rsidR="001130A8" w:rsidRPr="00D95431" w:rsidRDefault="00CE34F6" w:rsidP="00D95431">
            <w:pPr>
              <w:keepNext/>
              <w:spacing w:after="68"/>
              <w:ind w:left="-15" w:right="0"/>
            </w:pPr>
            <w:r>
              <w:t>La longitud del remolque no deberá sobrepasar los siguientes valores: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distancia desde el eje vertical del pivote de enganche del semirremolque al punto más trasero del remolque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en el caso de un remolque completo usado en un conjunto de vehículos con longitud superior a 22,00 metros, la distancia desde el punto de rotación de los ejes frontales hasta el punto más trasero del remolque</w:t>
            </w:r>
          </w:p>
          <w:p w:rsidR="001130A8" w:rsidRPr="00D95431" w:rsidRDefault="00CE34F6" w:rsidP="00791F05">
            <w:pPr>
              <w:numPr>
                <w:ilvl w:val="0"/>
                <w:numId w:val="13"/>
              </w:numPr>
              <w:tabs>
                <w:tab w:val="left" w:pos="493"/>
              </w:tabs>
              <w:spacing w:after="0" w:line="240" w:lineRule="auto"/>
              <w:ind w:left="0" w:right="0"/>
              <w:jc w:val="left"/>
            </w:pPr>
            <w:r>
              <w:t>desde el eje vertical del pivote de enganche o el punto de rotación de los ejes frontales mencionados en los puntos 1 y 2 hasta cualquier punto en la delantera del punto en cuestión, sin incluir la barra de remolque</w:t>
            </w:r>
          </w:p>
          <w:p w:rsidR="001130A8" w:rsidRPr="00D95431" w:rsidRDefault="00CE34F6" w:rsidP="00791F05">
            <w:pPr>
              <w:numPr>
                <w:ilvl w:val="0"/>
                <w:numId w:val="13"/>
              </w:numPr>
              <w:tabs>
                <w:tab w:val="left" w:pos="493"/>
              </w:tabs>
              <w:spacing w:after="0" w:line="240" w:lineRule="auto"/>
              <w:ind w:left="0" w:right="0"/>
              <w:jc w:val="left"/>
            </w:pPr>
            <w:r>
              <w:t>cualquier remolque diferente de los referidos en los puntos 1 y 2 sin incluir la barra de remolque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La longitud del conjunto de vehículos no deberá sobrepasar los siguientes valores: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el conjunto de un vehículo de pasajeros o un autobús (categoría M) y un remolque que no sea un semirremolque, además del conjunto de una furgoneta (categoría N</w:t>
            </w:r>
            <w:r>
              <w:rPr>
                <w:vertAlign w:val="subscript"/>
              </w:rPr>
              <w:t>1</w:t>
            </w:r>
            <w:r>
              <w:t>) y un remolque que no sea un semirremolque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18,75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el conjunto de un vehículo de pasajeros (categoría M</w:t>
            </w:r>
            <w:r>
              <w:rPr>
                <w:vertAlign w:val="subscript"/>
              </w:rPr>
              <w:t>1</w:t>
            </w:r>
            <w:r>
              <w:t>) o una furgoneta (categoría N</w:t>
            </w:r>
            <w:r>
              <w:rPr>
                <w:vertAlign w:val="subscript"/>
              </w:rPr>
              <w:t>1</w:t>
            </w:r>
            <w:r>
              <w:t>) o un camión de la categoría N</w:t>
            </w:r>
            <w:r>
              <w:rPr>
                <w:vertAlign w:val="subscript"/>
              </w:rPr>
              <w:t>2</w:t>
            </w:r>
            <w:r>
              <w:t xml:space="preserve"> y un semirremolque, además de cualquier conjunto de vehículos distinto a los mencionados en los puntos 1, 3, 4 o 5</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el conjunto de un camión de categoría N</w:t>
            </w:r>
            <w:r>
              <w:rPr>
                <w:vertAlign w:val="subscript"/>
              </w:rPr>
              <w:t>3</w:t>
            </w:r>
            <w:r>
              <w:t xml:space="preserve"> y un semirremolque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el conjunto de un vehículo de motor diferente del referido en el punto 1 y un remolque de eje central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el conjunto de un camión (categorías N</w:t>
            </w:r>
            <w:r>
              <w:rPr>
                <w:vertAlign w:val="subscript"/>
              </w:rPr>
              <w:t>2</w:t>
            </w:r>
            <w:r>
              <w:t xml:space="preserve"> y N</w:t>
            </w:r>
            <w:r>
              <w:rPr>
                <w:vertAlign w:val="subscript"/>
              </w:rPr>
              <w:t>3</w:t>
            </w:r>
            <w:r>
              <w:t>) diferente de los referidos en los puntos 2, 3 o 4 y uno o más remolques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de los cuales la suma de las longitudes internas del área de carga situada detrás de la cabina en el vehículo tractor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95431" w:rsidRPr="00D95431" w:rsidRDefault="00D95431">
      <w:pPr>
        <w:ind w:left="-15" w:right="0"/>
      </w:pPr>
    </w:p>
    <w:p w:rsidR="001130A8" w:rsidRPr="00D95431" w:rsidRDefault="00CE34F6">
      <w:pPr>
        <w:ind w:left="-15" w:right="0"/>
      </w:pPr>
      <w:r>
        <w:t>Si un autobús o autocar a está dotado de portaesquís u otro equipamiento extraíble, la longitud del autobús o del autocar y el equipamiento acoplado no deberá sobrepasar las dimensiones establecidas en el presente artículo.</w:t>
      </w:r>
    </w:p>
    <w:p w:rsidR="001130A8" w:rsidRPr="00D95431" w:rsidRDefault="00CE34F6">
      <w:pPr>
        <w:ind w:left="-15" w:right="0"/>
      </w:pPr>
      <w:r>
        <w:t xml:space="preserve">Vehículos y combinaciones de vehículos dotados del equipamiento aerodinámico referido en el artículo 8 </w:t>
      </w:r>
      <w:r>
        <w:rPr>
          <w:i w:val="1"/>
        </w:rPr>
        <w:t>ter</w:t>
      </w:r>
      <w:r>
        <w:t xml:space="preserve"> de la Directiva sobre dimensiones y pesos podrán superar las dimensiones establecidas en este artículo, sin incluir las longitudes internas del área de carga, siempre y cuando se cumplan los requisitos establecidos en la Directiva. </w:t>
      </w:r>
      <w:r>
        <w:t>Solo se permite superar las dimensiones si es necesario para el acoplamiento de ese equipamiento a la parte trasera del vehículo o del conjunto de vehículos, y es posible que ello no suponga un aumento del tamaño del área de carga.</w:t>
      </w:r>
    </w:p>
    <w:p w:rsidR="001130A8" w:rsidRPr="00D95431" w:rsidRDefault="00CE34F6">
      <w:pPr>
        <w:ind w:left="-15" w:right="0"/>
      </w:pPr>
      <w:r>
        <w:t xml:space="preserve">Los vehículos o conjuntos de vehículos equipados con cabinas mencionadas en el artículo 9 </w:t>
      </w:r>
      <w:r>
        <w:rPr>
          <w:i w:val="1"/>
        </w:rPr>
        <w:t>bis</w:t>
      </w:r>
      <w:r>
        <w:t xml:space="preserve"> de la Directiva sobre dimensiones y pesos podrán superar las dimensiones establecidas en este artículo, sin incluir las longitudes internas del área de carga, siempre y cuando se cumplan los requisitos establecidos en la Directiva. </w:t>
      </w:r>
      <w:r>
        <w:t>Superar las dimensiones podrá no ocasionar un aumento del tamaño del área de carga.</w:t>
      </w:r>
    </w:p>
    <w:p w:rsidR="001130A8" w:rsidRPr="00D95431" w:rsidRDefault="00CE34F6">
      <w:pPr>
        <w:ind w:left="-15" w:right="0"/>
      </w:pPr>
      <w:r>
        <w:t>Las dimensiones establecidas en este artículo pueden ser superadas en 15 cm por un remolque o conjunto de vehículos que se use para transportar un contenedor de 45 pies de longitud o una caja móvil de 45 pies de longitud como parte de un transporte intermodal mencionado en el artículo 2 de la Directiva sobre dimensiones y pesos.</w:t>
      </w:r>
    </w:p>
    <w:p w:rsidR="001130A8" w:rsidRPr="00D95431" w:rsidRDefault="00CE34F6">
      <w:pPr>
        <w:ind w:left="-15" w:right="0"/>
      </w:pPr>
      <w:r>
        <w:t>Los vehículos o anexos usados para la carga podrán estar acoplados detrás del área de carga de vehículos usados para transportar mercancías a pesar de que el vehículo o conjunto de vehículos en cuestión superen la longitud máxima permitida en el caso de que:</w:t>
      </w:r>
    </w:p>
    <w:p w:rsidR="001130A8" w:rsidRPr="00D95431" w:rsidRDefault="00CE34F6" w:rsidP="00916DE5">
      <w:pPr>
        <w:numPr>
          <w:ilvl w:val="0"/>
          <w:numId w:val="6"/>
        </w:numPr>
        <w:tabs>
          <w:tab w:val="left" w:pos="720"/>
        </w:tabs>
        <w:ind w:right="0"/>
      </w:pPr>
      <w:r>
        <w:t>no se incremente el área usada para el transporte de mercancías;</w:t>
      </w:r>
    </w:p>
    <w:p w:rsidR="001130A8" w:rsidRPr="00D95431" w:rsidRDefault="00CE34F6" w:rsidP="00916DE5">
      <w:pPr>
        <w:numPr>
          <w:ilvl w:val="0"/>
          <w:numId w:val="6"/>
        </w:numPr>
        <w:tabs>
          <w:tab w:val="left" w:pos="720"/>
        </w:tabs>
        <w:ind w:right="0"/>
      </w:pPr>
      <w:r>
        <w:t>no se supere ninguna otra dimensión generalmente autorizada diferente de la longitud;</w:t>
      </w:r>
    </w:p>
    <w:p w:rsidR="001130A8" w:rsidRPr="00D95431" w:rsidRDefault="00CE34F6" w:rsidP="00916DE5">
      <w:pPr>
        <w:numPr>
          <w:ilvl w:val="0"/>
          <w:numId w:val="6"/>
        </w:numPr>
        <w:tabs>
          <w:tab w:val="left" w:pos="720"/>
        </w:tabs>
        <w:ind w:right="0"/>
      </w:pPr>
      <w:r>
        <w:t>no se supere la anchura del vehículo usado para el transporte de mercancías;</w:t>
      </w:r>
    </w:p>
    <w:p w:rsidR="001130A8" w:rsidRPr="00D95431" w:rsidRDefault="00CE34F6" w:rsidP="00916DE5">
      <w:pPr>
        <w:numPr>
          <w:ilvl w:val="0"/>
          <w:numId w:val="6"/>
        </w:numPr>
        <w:tabs>
          <w:tab w:val="left" w:pos="720"/>
        </w:tabs>
        <w:ind w:right="0"/>
      </w:pPr>
      <w:r>
        <w:t>el vehículo al cual un vehículo o anexo aquí mencionado está acoplado cumpla los requisitos establecidos o estipulados para él en cuanto a la protección trasera contra el empotramiento;</w:t>
      </w:r>
    </w:p>
    <w:p w:rsidR="001130A8" w:rsidRPr="00D95431" w:rsidRDefault="00CE34F6" w:rsidP="00916DE5">
      <w:pPr>
        <w:numPr>
          <w:ilvl w:val="0"/>
          <w:numId w:val="6"/>
        </w:numPr>
        <w:tabs>
          <w:tab w:val="left" w:pos="720"/>
        </w:tabs>
        <w:ind w:right="0"/>
      </w:pPr>
      <w:r>
        <w:t>los requisitos sobre la visibilidad y ángulos de visibilidad de luces y matrícula trasera se cumplan, bien con sus propias luces y matrícula o bien a través de luces adicionales y una matrícula instalada para este propósito; y</w:t>
      </w:r>
    </w:p>
    <w:p w:rsidR="001130A8" w:rsidRPr="00D95431" w:rsidRDefault="00CE34F6" w:rsidP="00916DE5">
      <w:pPr>
        <w:numPr>
          <w:ilvl w:val="0"/>
          <w:numId w:val="6"/>
        </w:numPr>
        <w:tabs>
          <w:tab w:val="left" w:pos="720"/>
        </w:tabs>
        <w:spacing w:after="226"/>
        <w:ind w:right="0"/>
      </w:pPr>
      <w:r>
        <w:t>un vehículo o anexo acoplado por detrás del vehículo no suponga ningún peligro.</w:t>
      </w:r>
    </w:p>
    <w:p w:rsidR="001130A8" w:rsidRPr="00D95431" w:rsidRDefault="00CE34F6" w:rsidP="00791F05">
      <w:pPr>
        <w:keepNext/>
        <w:spacing w:after="86" w:line="265" w:lineRule="auto"/>
        <w:ind w:left="127" w:right="120" w:hanging="10"/>
        <w:jc w:val="center"/>
      </w:pPr>
      <w:r>
        <w:t>Artículo 26</w:t>
      </w:r>
    </w:p>
    <w:p w:rsidR="001130A8" w:rsidRPr="00D95431" w:rsidRDefault="00CE34F6">
      <w:pPr>
        <w:pStyle w:val="Heading2"/>
        <w:ind w:right="2"/>
      </w:pPr>
      <w:r>
        <w:t>Capacidad de maniobra de los conjuntos de vehículos</w:t>
      </w:r>
    </w:p>
    <w:p w:rsidR="001130A8" w:rsidRPr="00D95431" w:rsidRDefault="00CE34F6">
      <w:pPr>
        <w:ind w:left="-15" w:right="0"/>
      </w:pPr>
      <w:r>
        <w:t xml:space="preserve">Un conjunto compuesto por un vehículo y un semirremolque que no supere los 16,50 metros de longitud, un conjunto de un remolque completo o un remolque de eje central que no supere los 18,75 metros de longitud y un vehículo o un conjunto mencionado en el artículo 24, párrafos quinto a séptimo, deberá poder maniobrar a ambos lados durante una trayectoria circular completa de 360° dentro de un área definida por dos círculos concéntricos; el círculo exterior tendrá un radio de 12,50 metros y el círculo interior un radio de 5,30 metros. </w:t>
      </w:r>
      <w:r>
        <w:t xml:space="preserve">Se considerará que un conjunto de semirremolque cumple este requisito si la distancia desde el pivote de enganche hasta la línea central de los ejes del </w:t>
      </w:r>
      <w:r>
        <w:rPr>
          <w:i w:val="1"/>
        </w:rPr>
        <w:t>bogie</w:t>
      </w:r>
      <w:r>
        <w:t xml:space="preserve"> no direccional no es superior a</w:t>
      </w:r>
    </w:p>
    <w:p w:rsidR="001130A8" w:rsidRPr="00D95431" w:rsidRDefault="00CE34F6">
      <w:pPr>
        <w:spacing w:after="275" w:line="259" w:lineRule="auto"/>
        <w:ind w:left="10" w:right="0" w:firstLine="0"/>
        <w:jc w:val="left"/>
      </w:pPr>
      <w:r>
        <w:rPr>
          <w:noProof/>
        </w:rPr>
        <w:drawing>
          <wp:inline xmlns:wp="http://schemas.openxmlformats.org/drawingml/2006/wordprocessingDrawing"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donde L corresponde a la anchura del remolque.</w:t>
      </w:r>
    </w:p>
    <w:p w:rsidR="001130A8" w:rsidRPr="00D95431" w:rsidRDefault="00CE34F6">
      <w:pPr>
        <w:ind w:left="-15" w:right="0"/>
      </w:pPr>
      <w:r>
        <w:t xml:space="preserve">Un conjunto compuesto por un vehículo y uno o dos remolques que supere los 18,75 metros de longitud deberá poder inscribirse en una corona circular de un radio exterior de 12,50 metros y de un radio interior de 2,00 metros. </w:t>
      </w:r>
      <w:r>
        <w:t xml:space="preserve">En el semirremolque o remolque completo usado en dicho conjunto, la distancia desde el pivote de enganche o desde el punto de rotación del grupo delantero de ejes hasta el eje trasero de un remolque de eje único o hasta la línea central del grupo trasero no direccional de ejes de un remolque multieje no podrá superar los 8,15 metros. </w:t>
      </w:r>
      <w:r>
        <w:t>Si todos los ejes traseros de un remolque son ejes de dirección o si algunos de los ejes son ejes direccionales, o si los ejes traseros con el bulón de acoplamiento colocado en la parte superior pueden moverse marcha atrás a efectos de acoplamiento al segundo semirremolque, las dimensiones mencionadas podrán superar las dimensiones dentro del ámbito de aplicación de la disposición sobre capacidad de maniobra establecida en este artículo.</w:t>
      </w:r>
    </w:p>
    <w:p w:rsidR="001130A8" w:rsidRPr="00D95431" w:rsidRDefault="00CE34F6">
      <w:pPr>
        <w:ind w:left="-15" w:right="0"/>
      </w:pPr>
      <w:r>
        <w:t xml:space="preserve">No obstante lo dispuesto al amparo de las disposiciones del párrafo segundo, un conjunto compuesto por un vehículo de motor y uno o dos remolques que superen los 18,75 metros de longitud o un conjunto compuesto por un vehículo de motor y un semirremolque que superen los 16,50 metros de longitud podrá girar de modo que cuando su borde más externo dé un giro de 120° alrededor de un círculo con un radio exterior de 12,50 metros y el conjunto del vehículo continúe en línea recta, el borde interior del conjunto describa un arco de al menos 4,00 m de radio. </w:t>
      </w:r>
      <w:r>
        <w:t xml:space="preserve">Ninguna de las esquinas traseras del remolque podrá moverse más de 0,80 metros en dirección al arco exterior cuando haya comenzado su giro. </w:t>
      </w:r>
      <w:r>
        <w:t xml:space="preserve">Si el movimiento lateral del remolque mencionado anteriormente es menor de 0,80 metros, el borde interior del conjunto podrá describir un arco cuyo radio sea inferior a 4,00 metros en la proporción en la que el desplazamiento lateral de la esquina trasera sea inferior a 0,80 metros. </w:t>
      </w:r>
      <w:r>
        <w:t xml:space="preserve">Sin embargo, el borde interior del conjunto debe describir un arco de al menos 3,7 metros de radio. </w:t>
      </w:r>
      <w:r>
        <w:t xml:space="preserve">La información técnica del vehículo y el conjunto necesaria para demostrar el cumplimiento de los requisitos de maniobrabilidad deberá llevarse durante el transporte. </w:t>
      </w:r>
      <w:r>
        <w:t>Para un transporte que gire de conformidad con el presente párrafo, el transportista y el conductor deberán garantizar que es posible realizar la ruta elegida para el transporte sin riesgo de choque con estructuras situadas a los lados de la calzada.</w:t>
      </w:r>
    </w:p>
    <w:p w:rsidR="001130A8" w:rsidRPr="00D95431" w:rsidRDefault="00CE34F6">
      <w:pPr>
        <w:ind w:left="-15" w:right="0"/>
      </w:pPr>
      <w:r>
        <w:t>Las dimensiones de 16,50 metros y 18,75 metros del conjunto mencionado en los párrafos primero a tercero anteriores no tienen en cuenta el exceso de dimensiones máximas autorizadas mencionadas en el artículo 24, párrafos quinto y sexto.</w:t>
      </w:r>
    </w:p>
    <w:p w:rsidR="001130A8" w:rsidRPr="00D95431" w:rsidRDefault="00CE34F6">
      <w:pPr>
        <w:spacing w:after="225"/>
        <w:ind w:left="-15" w:right="0"/>
      </w:pPr>
      <w:r>
        <w:t xml:space="preserve">Si uno o más ejes de un </w:t>
      </w:r>
      <w:r>
        <w:rPr>
          <w:i w:val="1"/>
        </w:rPr>
        <w:t>bogie</w:t>
      </w:r>
      <w:r>
        <w:t xml:space="preserve"> no direccional o que no sea de dirección llevan un dispositivo de elevación del eje, se tendrán en cuenta las posiciones de los dispositivos de elevación del eje que mejoran el radio de giro a baja velocidad al aplicar los requisitos especificados en los párrafos primero a tercero.</w:t>
      </w:r>
    </w:p>
    <w:p w:rsidR="001130A8" w:rsidRPr="00D95431" w:rsidRDefault="00CE34F6" w:rsidP="00791F05">
      <w:pPr>
        <w:keepNext/>
        <w:spacing w:after="86" w:line="265" w:lineRule="auto"/>
        <w:ind w:left="127" w:right="120" w:hanging="10"/>
        <w:jc w:val="center"/>
      </w:pPr>
      <w:r>
        <w:t>Artículo 27</w:t>
      </w:r>
    </w:p>
    <w:p w:rsidR="001130A8" w:rsidRPr="00D95431" w:rsidRDefault="00CE34F6">
      <w:pPr>
        <w:pStyle w:val="Heading2"/>
        <w:ind w:right="3"/>
      </w:pPr>
      <w:r>
        <w:t>Aplicabilidad de las disposiciones sobre masas y dimensiones a otros vehículos</w:t>
      </w:r>
    </w:p>
    <w:p w:rsidR="001130A8" w:rsidRPr="00D95431" w:rsidRDefault="00CE34F6">
      <w:pPr>
        <w:ind w:left="-15" w:right="0"/>
      </w:pPr>
      <w:r>
        <w:t xml:space="preserve">Las masas y dimensiones principales de vehículos y conjuntos de vehículos diferentes de las mencionadas en los artículos 20 a 23, 23 </w:t>
      </w:r>
      <w:r>
        <w:rPr>
          <w:i w:val="1"/>
        </w:rPr>
        <w:t>bis</w:t>
      </w:r>
      <w:r>
        <w:t xml:space="preserve">, 24 y 25 estarán, menos las excepciones establecidas en los artículos 27 </w:t>
      </w:r>
      <w:r>
        <w:rPr>
          <w:i w:val="1"/>
        </w:rPr>
        <w:t>bis</w:t>
      </w:r>
      <w:r>
        <w:t xml:space="preserve"> y 28 a 30, sujetas a las disposiciones de los artículos 19 </w:t>
      </w:r>
      <w:r>
        <w:rPr>
          <w:i w:val="1"/>
        </w:rPr>
        <w:t>bis</w:t>
      </w:r>
      <w:r>
        <w:t xml:space="preserve">, 20 a 23, 23 </w:t>
      </w:r>
      <w:r>
        <w:rPr>
          <w:i w:val="1"/>
        </w:rPr>
        <w:t>bis</w:t>
      </w:r>
      <w:r>
        <w:t xml:space="preserve">, 24, 25 y 27 </w:t>
      </w:r>
      <w:r>
        <w:rPr>
          <w:i w:val="1"/>
        </w:rPr>
        <w:t>bis</w:t>
      </w:r>
      <w:r>
        <w:t xml:space="preserve"> respecto de vehículos con una estructura mínimamente desviada. </w:t>
      </w:r>
      <w:r>
        <w:t xml:space="preserve">Sin embargo, el artículo 27 </w:t>
      </w:r>
      <w:r>
        <w:rPr>
          <w:i w:val="1"/>
        </w:rPr>
        <w:t>bis</w:t>
      </w:r>
      <w:r>
        <w:t xml:space="preserve"> establece las dimensiones principales de motocicletas, ciclomotores, triciclos, cuadriciclos y cuadriciclos ligero. </w:t>
      </w:r>
      <w:r>
        <w:t>El artículo 24, párrafo tercero, punto 1 y 3 a 5, no se aplicarán a los conjuntos de un tractor y un remolque.</w:t>
      </w:r>
    </w:p>
    <w:p w:rsidR="001130A8" w:rsidRPr="00D95431" w:rsidRDefault="00CE34F6">
      <w:pPr>
        <w:spacing w:after="219"/>
        <w:ind w:left="227" w:right="0" w:firstLine="0"/>
      </w:pPr>
      <w:r>
        <w:t>La masa máxima autorizada para un vehículo equipado con un riel de metal es de 20 toneladas.</w:t>
      </w:r>
    </w:p>
    <w:p w:rsidR="001130A8" w:rsidRPr="00D95431" w:rsidRDefault="00CE34F6" w:rsidP="00791F05">
      <w:pPr>
        <w:keepNext/>
        <w:spacing w:after="86" w:line="265" w:lineRule="auto"/>
        <w:ind w:left="127" w:right="120" w:hanging="10"/>
        <w:jc w:val="center"/>
      </w:pPr>
      <w:r>
        <w:t>Artículo 32</w:t>
      </w:r>
    </w:p>
    <w:p w:rsidR="001130A8" w:rsidRPr="00D95431" w:rsidRDefault="00CE34F6">
      <w:pPr>
        <w:pStyle w:val="Heading2"/>
        <w:ind w:right="0"/>
      </w:pPr>
      <w:r>
        <w:t>Vehículos remolcados que pueden acoplarse a un vehículo</w:t>
      </w:r>
    </w:p>
    <w:p w:rsidR="001130A8" w:rsidRPr="00D95431" w:rsidRDefault="00CE34F6">
      <w:pPr>
        <w:ind w:left="-15" w:right="0"/>
      </w:pPr>
      <w:r>
        <w:t>Un camión de eje central de la categoría O</w:t>
      </w:r>
      <w:r>
        <w:rPr>
          <w:vertAlign w:val="subscript"/>
        </w:rPr>
        <w:t>1</w:t>
      </w:r>
      <w:r>
        <w:t xml:space="preserve"> o O</w:t>
      </w:r>
      <w:r>
        <w:rPr>
          <w:vertAlign w:val="subscript"/>
        </w:rPr>
        <w:t>2</w:t>
      </w:r>
      <w:r>
        <w:t>, un semirremolque de categoría O</w:t>
      </w:r>
      <w:r>
        <w:rPr>
          <w:vertAlign w:val="subscript"/>
        </w:rPr>
        <w:t>2</w:t>
      </w:r>
      <w:r>
        <w:t xml:space="preserve"> o un remolque completo de categoría O</w:t>
      </w:r>
      <w:r>
        <w:rPr>
          <w:vertAlign w:val="subscript"/>
        </w:rPr>
        <w:t>2</w:t>
      </w:r>
      <w:r>
        <w:t xml:space="preserve"> podrán acoplarse a un turismo y caravana (categorías M</w:t>
      </w:r>
      <w:r>
        <w:rPr>
          <w:vertAlign w:val="subscript"/>
        </w:rPr>
        <w:t>1</w:t>
      </w:r>
      <w:r>
        <w:t xml:space="preserve"> y N</w:t>
      </w:r>
      <w:r>
        <w:rPr>
          <w:vertAlign w:val="subscript"/>
        </w:rPr>
        <w:t>1</w:t>
      </w:r>
      <w:r>
        <w:t xml:space="preserve">) además de a un vehículo para fines especiales. </w:t>
      </w:r>
      <w:r>
        <w:t xml:space="preserve">El sistema de frenado de un semirremolque o remolque completo que se engancha a un turismo o furgoneta deberá ser adecuado para dicho acoplamiento y cumplir los requisitos técnicos válidos en el momento en que el remolque comience a utilizarse, o en una fecha posterior. </w:t>
      </w:r>
      <w:r>
        <w:t>Un semirremolque o remolque completo destinado a engancharse a un turismo o furgoneta que haya empezado a utilizarse antes del 1 de enero de 2011 deberá cumplir los requisitos técnicos para sistemas de frenado el 1 de enero de 2011 o a partir de entonces.</w:t>
      </w:r>
    </w:p>
    <w:p w:rsidR="001130A8" w:rsidRPr="00D95431" w:rsidRDefault="00CE34F6">
      <w:pPr>
        <w:ind w:left="-15" w:right="0"/>
      </w:pPr>
      <w:r>
        <w:t>Un remolque de eje central o un remolque completo con eje tándem podrán engancharse a un autobús o a un autocar (categorías M</w:t>
      </w:r>
      <w:r>
        <w:rPr>
          <w:vertAlign w:val="subscript"/>
        </w:rPr>
        <w:t>2</w:t>
      </w:r>
      <w:r>
        <w:t xml:space="preserve"> y M</w:t>
      </w:r>
      <w:r>
        <w:rPr>
          <w:vertAlign w:val="subscript"/>
        </w:rPr>
        <w:t>3</w:t>
      </w:r>
      <w:r>
        <w:t>).</w:t>
      </w:r>
    </w:p>
    <w:p w:rsidR="001130A8" w:rsidRPr="00D95431" w:rsidRDefault="00CE34F6">
      <w:pPr>
        <w:ind w:left="227" w:right="0" w:firstLine="0"/>
      </w:pPr>
      <w:r>
        <w:t>Los siguientes podrán acoplarse a un camión (categorías N2 y N3):</w:t>
      </w:r>
    </w:p>
    <w:p w:rsidR="001130A8" w:rsidRPr="00D95431" w:rsidRDefault="00CE34F6" w:rsidP="00916DE5">
      <w:pPr>
        <w:numPr>
          <w:ilvl w:val="0"/>
          <w:numId w:val="7"/>
        </w:numPr>
        <w:tabs>
          <w:tab w:val="left" w:pos="810"/>
        </w:tabs>
        <w:ind w:right="0"/>
      </w:pPr>
      <w:r>
        <w:t>semirremolque;</w:t>
      </w:r>
    </w:p>
    <w:p w:rsidR="001130A8" w:rsidRPr="00D95431" w:rsidRDefault="00CE34F6" w:rsidP="00916DE5">
      <w:pPr>
        <w:numPr>
          <w:ilvl w:val="0"/>
          <w:numId w:val="7"/>
        </w:numPr>
        <w:tabs>
          <w:tab w:val="left" w:pos="810"/>
        </w:tabs>
        <w:ind w:right="0"/>
      </w:pPr>
      <w:r>
        <w:t>remolque de eje central;</w:t>
      </w:r>
    </w:p>
    <w:p w:rsidR="001130A8" w:rsidRPr="00D95431" w:rsidRDefault="00CE34F6" w:rsidP="00916DE5">
      <w:pPr>
        <w:numPr>
          <w:ilvl w:val="0"/>
          <w:numId w:val="7"/>
        </w:numPr>
        <w:tabs>
          <w:tab w:val="left" w:pos="810"/>
        </w:tabs>
        <w:ind w:right="0"/>
      </w:pPr>
      <w:r>
        <w:t>remolque completo;</w:t>
      </w:r>
    </w:p>
    <w:p w:rsidR="001130A8" w:rsidRPr="00D95431" w:rsidRDefault="00CE34F6" w:rsidP="00916DE5">
      <w:pPr>
        <w:numPr>
          <w:ilvl w:val="0"/>
          <w:numId w:val="7"/>
        </w:numPr>
        <w:tabs>
          <w:tab w:val="left" w:pos="810"/>
        </w:tabs>
        <w:ind w:right="0"/>
      </w:pPr>
      <w:r>
        <w:t>remolque convertidor con un semirremolque acoplado en la parte superior;</w:t>
      </w:r>
    </w:p>
    <w:p w:rsidR="001130A8" w:rsidRPr="00D95431" w:rsidRDefault="00CE34F6" w:rsidP="00916DE5">
      <w:pPr>
        <w:numPr>
          <w:ilvl w:val="0"/>
          <w:numId w:val="7"/>
        </w:numPr>
        <w:tabs>
          <w:tab w:val="left" w:pos="810"/>
        </w:tabs>
        <w:ind w:right="0"/>
      </w:pPr>
      <w:r>
        <w:t>semirremolque con un semirremolque acoplado en la parte superior;</w:t>
      </w:r>
    </w:p>
    <w:p w:rsidR="001130A8" w:rsidRPr="00D95431" w:rsidRDefault="00CE34F6" w:rsidP="00916DE5">
      <w:pPr>
        <w:numPr>
          <w:ilvl w:val="0"/>
          <w:numId w:val="7"/>
        </w:numPr>
        <w:tabs>
          <w:tab w:val="left" w:pos="810"/>
        </w:tabs>
        <w:ind w:right="0"/>
      </w:pPr>
      <w:r>
        <w:t>semirremolque con un remolque de eje central acoplado a él;</w:t>
      </w:r>
    </w:p>
    <w:p w:rsidR="001130A8" w:rsidRPr="00D95431" w:rsidRDefault="00CE34F6" w:rsidP="00916DE5">
      <w:pPr>
        <w:numPr>
          <w:ilvl w:val="0"/>
          <w:numId w:val="7"/>
        </w:numPr>
        <w:tabs>
          <w:tab w:val="left" w:pos="810"/>
        </w:tabs>
        <w:ind w:right="0"/>
      </w:pPr>
      <w:r>
        <w:t>semirremolque con un remolque completo acoplado a él;</w:t>
      </w:r>
    </w:p>
    <w:p w:rsidR="001130A8" w:rsidRPr="00D95431" w:rsidRDefault="00CE34F6" w:rsidP="00916DE5">
      <w:pPr>
        <w:numPr>
          <w:ilvl w:val="0"/>
          <w:numId w:val="7"/>
        </w:numPr>
        <w:tabs>
          <w:tab w:val="left" w:pos="810"/>
        </w:tabs>
        <w:ind w:right="0"/>
      </w:pPr>
      <w:r>
        <w:t>semirremolque con un remolque convertidor acoplado a él que está acoplado a un semirremolque;</w:t>
      </w:r>
    </w:p>
    <w:p w:rsidR="001130A8" w:rsidRPr="00D95431" w:rsidRDefault="00CE34F6" w:rsidP="00916DE5">
      <w:pPr>
        <w:numPr>
          <w:ilvl w:val="0"/>
          <w:numId w:val="7"/>
        </w:numPr>
        <w:tabs>
          <w:tab w:val="left" w:pos="810"/>
        </w:tabs>
        <w:ind w:right="0"/>
      </w:pPr>
      <w:r>
        <w:t>remolque convertidor con un semirremolque acoplado en la parte superior que tiene un semirremolque acoplado en la parte superior;</w:t>
      </w:r>
    </w:p>
    <w:p w:rsidR="001130A8" w:rsidRPr="00D95431" w:rsidRDefault="00CE34F6" w:rsidP="00916DE5">
      <w:pPr>
        <w:numPr>
          <w:ilvl w:val="0"/>
          <w:numId w:val="7"/>
        </w:numPr>
        <w:tabs>
          <w:tab w:val="left" w:pos="810"/>
        </w:tabs>
        <w:ind w:right="0"/>
      </w:pPr>
      <w:r>
        <w:t>remolque completo con un semirremolque acoplado en la parte superior;</w:t>
      </w:r>
    </w:p>
    <w:p w:rsidR="001130A8" w:rsidRPr="00D95431" w:rsidRDefault="00CE34F6" w:rsidP="00916DE5">
      <w:pPr>
        <w:numPr>
          <w:ilvl w:val="0"/>
          <w:numId w:val="7"/>
        </w:numPr>
        <w:tabs>
          <w:tab w:val="left" w:pos="810"/>
        </w:tabs>
        <w:ind w:right="0"/>
      </w:pPr>
      <w:r>
        <w:t>semirremolque con un semirremolque acoplado en la parte superior que tiene un semirremolque acoplado en la parte superior.</w:t>
      </w:r>
    </w:p>
    <w:p w:rsidR="001130A8" w:rsidRPr="00D95431" w:rsidRDefault="00CE34F6">
      <w:pPr>
        <w:ind w:left="-15" w:right="0"/>
      </w:pPr>
      <w:r>
        <w:t>Si la longitud de los conjuntos de vehículos sin carga mencionados en el párrafo tercero anterior supera los 22,00 metros, todos los vehículos del conjunto deberán tener un dispositivo de frenado antibloqueo.</w:t>
      </w:r>
    </w:p>
    <w:p w:rsidR="001130A8" w:rsidRPr="00D95431" w:rsidRDefault="00CE34F6" w:rsidP="00791F05">
      <w:pPr>
        <w:keepNext/>
        <w:spacing w:after="86" w:line="265" w:lineRule="auto"/>
        <w:ind w:left="127" w:right="121" w:hanging="10"/>
        <w:jc w:val="center"/>
      </w:pPr>
      <w:r>
        <w:t xml:space="preserve">Artículo 32 </w:t>
      </w:r>
      <w:r>
        <w:rPr>
          <w:i w:val="1"/>
        </w:rPr>
        <w:t>bis</w:t>
      </w:r>
    </w:p>
    <w:p w:rsidR="001130A8" w:rsidRPr="00D95431" w:rsidRDefault="00CE34F6">
      <w:pPr>
        <w:pStyle w:val="Heading2"/>
        <w:ind w:right="3"/>
      </w:pPr>
      <w:r>
        <w:t>Acoplamiento de vehículos remolcados</w:t>
      </w:r>
    </w:p>
    <w:p w:rsidR="001130A8" w:rsidRPr="00D95431" w:rsidRDefault="00CE34F6">
      <w:pPr>
        <w:ind w:left="-15" w:right="0"/>
      </w:pPr>
      <w:r>
        <w:t>La masa de acoplamiento de los vehículos remolcados distintos a los mencionados en el artículo 34 no podrá sobrepasar la más pequeña de las siguientes masas:</w:t>
      </w:r>
    </w:p>
    <w:p w:rsidR="001130A8" w:rsidRPr="00D95431" w:rsidRDefault="00CE34F6" w:rsidP="00916DE5">
      <w:pPr>
        <w:numPr>
          <w:ilvl w:val="0"/>
          <w:numId w:val="8"/>
        </w:numPr>
        <w:tabs>
          <w:tab w:val="left" w:pos="720"/>
        </w:tabs>
        <w:ind w:right="0"/>
      </w:pPr>
      <w:r>
        <w:t>la masa máxima remolcada técnicamente autorizada, basada en la estructura y capacidad del vehículo y en la resistencia del dispositivo de acoplamiento;</w:t>
      </w:r>
    </w:p>
    <w:p w:rsidR="001130A8" w:rsidRPr="00D95431" w:rsidRDefault="00CE34F6" w:rsidP="00916DE5">
      <w:pPr>
        <w:numPr>
          <w:ilvl w:val="0"/>
          <w:numId w:val="8"/>
        </w:numPr>
        <w:tabs>
          <w:tab w:val="left" w:pos="720"/>
        </w:tabs>
        <w:ind w:right="0"/>
      </w:pPr>
      <w:r>
        <w:t>si el vehículo remolcado no tiene frenos, la mitad de la masa del vehículo tractor, que no exceda de 0,75 toneladas, o, en el caso de un dispositivo remolcado, no más de la mitad de la masa real del vehículo tractor de la categoría N</w:t>
      </w:r>
      <w:r>
        <w:rPr>
          <w:vertAlign w:val="subscript"/>
        </w:rPr>
        <w:t>2</w:t>
      </w:r>
      <w:r>
        <w:t xml:space="preserve"> o N</w:t>
      </w:r>
      <w:r>
        <w:rPr>
          <w:vertAlign w:val="subscript"/>
        </w:rPr>
        <w:t>3</w:t>
      </w:r>
      <w:r>
        <w:t>;</w:t>
      </w:r>
    </w:p>
    <w:p w:rsidR="001130A8" w:rsidRPr="00D95431" w:rsidRDefault="00CE34F6" w:rsidP="00916DE5">
      <w:pPr>
        <w:numPr>
          <w:ilvl w:val="0"/>
          <w:numId w:val="8"/>
        </w:numPr>
        <w:tabs>
          <w:tab w:val="left" w:pos="720"/>
        </w:tabs>
        <w:ind w:right="0"/>
      </w:pPr>
      <w:r>
        <w:t>si el vehículo remolcado que se va a acoplar a un vehículo con una masa máxima autorizada de matriculación/puesta en circulación no superior a 3,5 toneladas está equipado con frenos de inercia, la masa máxima autorizada de matriculación/puesta en circulación del vehículo tractor; o, si el vehículo tractor es un vehículo de la categoría M</w:t>
      </w:r>
      <w:r>
        <w:rPr>
          <w:vertAlign w:val="subscript"/>
        </w:rPr>
        <w:t>1</w:t>
      </w:r>
      <w:r>
        <w:t>G o N</w:t>
      </w:r>
      <w:r>
        <w:rPr>
          <w:vertAlign w:val="subscript"/>
        </w:rPr>
        <w:t>1</w:t>
      </w:r>
      <w:r>
        <w:t>G, 1,5 veces la masa máxima autorizada de matriculación/puesta en circulación del vehículo tractor, pero nunca más de 3,5 toneladas;</w:t>
      </w:r>
    </w:p>
    <w:p w:rsidR="001130A8" w:rsidRPr="00D95431" w:rsidRDefault="00CE34F6" w:rsidP="00916DE5">
      <w:pPr>
        <w:numPr>
          <w:ilvl w:val="0"/>
          <w:numId w:val="8"/>
        </w:numPr>
        <w:tabs>
          <w:tab w:val="left" w:pos="720"/>
        </w:tabs>
        <w:ind w:right="0"/>
      </w:pPr>
      <w:r>
        <w:t>si el remolque que se va a acoplar a un vehículo con una masa máxima autorizada de matriculación/puesta en circulación superior a 3,5 toneladas está equipado con frenos de inercia, 3,5 toneladas;</w:t>
      </w:r>
    </w:p>
    <w:p w:rsidR="001130A8" w:rsidRPr="00D95431" w:rsidRDefault="00CE34F6" w:rsidP="00916DE5">
      <w:pPr>
        <w:numPr>
          <w:ilvl w:val="0"/>
          <w:numId w:val="8"/>
        </w:numPr>
        <w:tabs>
          <w:tab w:val="left" w:pos="720"/>
        </w:tabs>
        <w:ind w:right="0"/>
      </w:pPr>
      <w:r>
        <w:t>si el vehículo remolcado que se va a acoplar a un vehículo no es un semirremolque o un dispositivo remolcado equivalente y está equipado con un sistema de frenado continuo, 1,7 veces la masa máxima autorizada de matriculación/puesta en circulación del vehículo tractor;</w:t>
      </w:r>
    </w:p>
    <w:p w:rsidR="001130A8" w:rsidRPr="00D95431" w:rsidRDefault="00CE34F6" w:rsidP="00916DE5">
      <w:pPr>
        <w:numPr>
          <w:ilvl w:val="0"/>
          <w:numId w:val="8"/>
        </w:numPr>
        <w:tabs>
          <w:tab w:val="left" w:pos="720"/>
        </w:tabs>
        <w:ind w:right="0"/>
      </w:pPr>
      <w:r>
        <w:t>si un remolque o remolques descargados están acoplados a un vehículo con una masa máxima autorizada de matriculación/puesta en circulación superior a 3,5 toneladas para formar una combinación de más de 22,00 metros de longitud, 2,5 veces la masa máxima autorizada de matriculación/puesta en circulación del vehículo tractor.</w:t>
      </w:r>
    </w:p>
    <w:p w:rsidR="001130A8" w:rsidRPr="00D95431" w:rsidRDefault="00CE34F6">
      <w:pPr>
        <w:spacing w:after="225"/>
        <w:ind w:left="-15" w:right="0"/>
      </w:pPr>
      <w:r>
        <w:t xml:space="preserve">La masa sobre el </w:t>
      </w:r>
      <w:r>
        <w:rPr>
          <w:i w:val="1"/>
        </w:rPr>
        <w:t>bogie</w:t>
      </w:r>
      <w:r>
        <w:t xml:space="preserve"> de un semirremolque no será superior a 1,7 veces la masa generalmente permitida de un vehículo tractor.</w:t>
      </w:r>
    </w:p>
    <w:p w:rsidR="001130A8" w:rsidRPr="00D95431" w:rsidRDefault="00CE34F6" w:rsidP="00791F05">
      <w:pPr>
        <w:keepNext/>
        <w:spacing w:after="86" w:line="265" w:lineRule="auto"/>
        <w:ind w:left="127" w:right="121" w:hanging="10"/>
        <w:jc w:val="center"/>
      </w:pPr>
      <w:r>
        <w:t xml:space="preserve">Artículo 32 </w:t>
      </w:r>
      <w:r>
        <w:rPr>
          <w:i w:val="1"/>
        </w:rPr>
        <w:t>ter</w:t>
      </w:r>
    </w:p>
    <w:p w:rsidR="001130A8" w:rsidRPr="00D95431" w:rsidRDefault="00CE34F6">
      <w:pPr>
        <w:pStyle w:val="Heading2"/>
        <w:ind w:right="2"/>
      </w:pPr>
      <w:r>
        <w:t>Requisito de estabilidad para conjuntos de vehículos</w:t>
      </w:r>
    </w:p>
    <w:p w:rsidR="001130A8" w:rsidRPr="00D95431" w:rsidRDefault="00CE34F6">
      <w:pPr>
        <w:ind w:left="-15" w:right="0"/>
      </w:pPr>
      <w:r>
        <w:t>Un conjunto de vehículos cargado con su carga máxima generalmente autorizada mencionada en el artículo 32, párrafo tercero, puntos 7 a 11, deberá, en cuanto a sus dimensiones, ser equivalente a un conjunto que tenga el valor de incremento máximo de 1,90 para su velocidad de desplazamiento vertical angular y un valor de incremento máximo de 4,00 para la aceleración lateral medida en el centro de masa de la carga situada a 1,3 metros por encima del piso del área de carga y a una velocidad de conducción de 80 kilómetros por hora en ensayos de conducción conformes con la norma ISO 14791 o en simulaciones equivalentes.</w:t>
      </w:r>
    </w:p>
    <w:p w:rsidR="001130A8" w:rsidRPr="00D95431" w:rsidRDefault="00CE34F6">
      <w:pPr>
        <w:spacing w:after="225"/>
        <w:ind w:left="-15" w:right="0"/>
      </w:pPr>
      <w:r>
        <w:t>Durante el transporte deberán llevarse en el vehículo las especificaciones técnicas necesarias para demostrar el cumplimiento del requisito de estabilidad establecido en el párrafo primero.</w:t>
      </w:r>
    </w:p>
    <w:p w:rsidR="001130A8" w:rsidRPr="00D95431" w:rsidRDefault="00CE34F6" w:rsidP="00791F05">
      <w:pPr>
        <w:keepNext/>
        <w:spacing w:after="86" w:line="265" w:lineRule="auto"/>
        <w:ind w:left="127" w:right="120" w:hanging="10"/>
        <w:jc w:val="center"/>
      </w:pPr>
      <w:r>
        <w:t>Artículo 33</w:t>
      </w:r>
    </w:p>
    <w:p w:rsidR="001130A8" w:rsidRPr="00D95431" w:rsidRDefault="00CE34F6">
      <w:pPr>
        <w:pStyle w:val="Heading2"/>
        <w:ind w:right="4"/>
      </w:pPr>
      <w:r>
        <w:t>Acoplamiento de vehículos y remolques</w:t>
      </w:r>
    </w:p>
    <w:p w:rsidR="001130A8" w:rsidRPr="00D95431" w:rsidRDefault="00CE34F6">
      <w:pPr>
        <w:ind w:left="227" w:right="0" w:firstLine="0"/>
      </w:pPr>
      <w:r>
        <w:t>Cuando un remolque esté acoplado a un vehículo tractor, deberá garantizarse que:</w:t>
      </w:r>
    </w:p>
    <w:p w:rsidR="001130A8" w:rsidRPr="00D95431" w:rsidRDefault="00CE34F6" w:rsidP="00916DE5">
      <w:pPr>
        <w:numPr>
          <w:ilvl w:val="0"/>
          <w:numId w:val="9"/>
        </w:numPr>
        <w:tabs>
          <w:tab w:val="left" w:pos="720"/>
        </w:tabs>
        <w:ind w:right="0"/>
      </w:pPr>
      <w:r>
        <w:t>las estructuras del vehículo tractor y del vehículo remolcado no están en contacto en condiciones normales de conducción;</w:t>
      </w:r>
    </w:p>
    <w:p w:rsidR="001130A8" w:rsidRPr="00D95431" w:rsidRDefault="00CE34F6" w:rsidP="00916DE5">
      <w:pPr>
        <w:numPr>
          <w:ilvl w:val="0"/>
          <w:numId w:val="9"/>
        </w:numPr>
        <w:tabs>
          <w:tab w:val="left" w:pos="720"/>
        </w:tabs>
        <w:ind w:right="0"/>
      </w:pPr>
      <w:r>
        <w:t>el conductor tiene una vista despejada de los laterales del vehículo de motor y de los remolques y puede observar el tráfico que se aproxima por detrás;</w:t>
      </w:r>
    </w:p>
    <w:p w:rsidR="001130A8" w:rsidRPr="00D95431" w:rsidRDefault="00CE34F6" w:rsidP="00916DE5">
      <w:pPr>
        <w:numPr>
          <w:ilvl w:val="0"/>
          <w:numId w:val="9"/>
        </w:numPr>
        <w:tabs>
          <w:tab w:val="left" w:pos="720"/>
        </w:tabs>
        <w:ind w:right="0"/>
      </w:pPr>
      <w:r>
        <w:t>los frenos y los faros de los remolques funcionan de acuerdo con los reglamentos;</w:t>
      </w:r>
    </w:p>
    <w:p w:rsidR="001130A8" w:rsidRPr="00D95431" w:rsidRDefault="00CE34F6" w:rsidP="00916DE5">
      <w:pPr>
        <w:numPr>
          <w:ilvl w:val="0"/>
          <w:numId w:val="9"/>
        </w:numPr>
        <w:tabs>
          <w:tab w:val="left" w:pos="720"/>
        </w:tabs>
        <w:ind w:right="0"/>
      </w:pPr>
      <w:r>
        <w:t>los frenos neumáticos del vehículo de motor y de los remolques se han ajustado para que sean compatibles entre sí de conformidad con la normativa.</w:t>
      </w:r>
    </w:p>
    <w:p w:rsidR="001130A8" w:rsidRPr="00D95431" w:rsidRDefault="00CE34F6">
      <w:pPr>
        <w:ind w:left="-15" w:right="0"/>
      </w:pPr>
      <w:r>
        <w:t>Además de la disposición estipulada en el párrafo primero anterior, el conjunto de un vehículo y un semirremolque con una longitud superior a 20,00 metros y de otros conjuntos de vehículos cuyas longitudes superen los 28,00 metros deberá tener:</w:t>
      </w:r>
    </w:p>
    <w:p w:rsidR="001130A8" w:rsidRPr="00D95431" w:rsidRDefault="00CE34F6" w:rsidP="00916DE5">
      <w:pPr>
        <w:numPr>
          <w:ilvl w:val="0"/>
          <w:numId w:val="10"/>
        </w:numPr>
        <w:tabs>
          <w:tab w:val="left" w:pos="720"/>
        </w:tabs>
        <w:spacing w:after="24" w:line="229" w:lineRule="auto"/>
        <w:ind w:right="0"/>
      </w:pPr>
      <w:r>
        <w:t>dispositivos para una visión indirecta que permitan al conductor ver todo el lado de la curva interior del conjunto y el área adyacente durante un giro como el mencionado en el artículo 26, párrafos segundo o tercero, cuando se gire hacia cualquiera de los lados;</w:t>
      </w:r>
    </w:p>
    <w:p w:rsidR="001130A8" w:rsidRPr="00D95431" w:rsidRDefault="00CE34F6" w:rsidP="00916DE5">
      <w:pPr>
        <w:numPr>
          <w:ilvl w:val="0"/>
          <w:numId w:val="10"/>
        </w:numPr>
        <w:tabs>
          <w:tab w:val="left" w:pos="720"/>
        </w:tabs>
        <w:ind w:right="0"/>
      </w:pPr>
      <w:r>
        <w:t>un sistema de frenado de emergencia sofisticado y un sistema de advertencia de abandono del carril en el vehículo tractor;</w:t>
      </w:r>
    </w:p>
    <w:p w:rsidR="001130A8" w:rsidRPr="00D95431" w:rsidRDefault="00CE34F6" w:rsidP="00916DE5">
      <w:pPr>
        <w:numPr>
          <w:ilvl w:val="0"/>
          <w:numId w:val="10"/>
        </w:numPr>
        <w:tabs>
          <w:tab w:val="left" w:pos="720"/>
        </w:tabs>
        <w:ind w:right="0"/>
      </w:pPr>
      <w:r>
        <w:t>un control electrónico de estabilidad y frenos eléctricos en todos los vehículos del conjunto;</w:t>
      </w:r>
    </w:p>
    <w:p w:rsidR="001130A8" w:rsidRPr="00D95431" w:rsidRDefault="00CE34F6" w:rsidP="00916DE5">
      <w:pPr>
        <w:numPr>
          <w:ilvl w:val="0"/>
          <w:numId w:val="10"/>
        </w:numPr>
        <w:tabs>
          <w:tab w:val="left" w:pos="720"/>
        </w:tabs>
        <w:ind w:right="0"/>
      </w:pPr>
      <w:r>
        <w:t xml:space="preserve">la información sobre la masa que recae sobre cada eje único y </w:t>
      </w:r>
      <w:r>
        <w:rPr>
          <w:i w:val="1"/>
        </w:rPr>
        <w:t>bogie</w:t>
      </w:r>
      <w:r>
        <w:t xml:space="preserve"> con el conductor; la información solo es necesaria para el eje frontal del vehículo tractor si el eje está equipado con suspensión neumática.</w:t>
      </w:r>
    </w:p>
    <w:p w:rsidR="001130A8" w:rsidRPr="00D95431" w:rsidRDefault="00CE34F6">
      <w:pPr>
        <w:ind w:left="-15" w:right="0"/>
      </w:pPr>
      <w:r>
        <w:t>Los vehículos de motor con cuatro ejes o más, los vehículos de categoría N</w:t>
      </w:r>
      <w:r>
        <w:rPr>
          <w:vertAlign w:val="subscript"/>
        </w:rPr>
        <w:t>3</w:t>
      </w:r>
      <w:r>
        <w:t>G y los conjuntos de camión y dos semirremolques no están obligados, sin embargo, a estar equipados con un sistema de frenado de emergencia sofisticado ni con el sistema de advertencia de abandono del carril mencionados anteriormente en el párrafo segundo, punto 2, o con un control electrónico de estabilidad mencionado en el punto 3.</w:t>
      </w:r>
    </w:p>
    <w:p w:rsidR="001130A8" w:rsidRPr="00D95431" w:rsidRDefault="00CE34F6">
      <w:pPr>
        <w:spacing w:after="224"/>
        <w:ind w:left="-15" w:right="0"/>
      </w:pPr>
      <w:r>
        <w:t>Durante el transporte deberán llevarse en el vehículo las especificaciones técnicas necesarias para demostrar el cumplimiento de los requisitos establecidos en el párrafo segundo.</w:t>
      </w:r>
    </w:p>
    <w:p w:rsidR="001130A8" w:rsidRPr="00D95431" w:rsidRDefault="00CE34F6" w:rsidP="00791F05">
      <w:pPr>
        <w:keepNext/>
        <w:spacing w:after="86" w:line="265" w:lineRule="auto"/>
        <w:ind w:left="127" w:right="120" w:hanging="10"/>
        <w:jc w:val="center"/>
      </w:pPr>
      <w:r>
        <w:t>Artículo 36</w:t>
      </w:r>
    </w:p>
    <w:p w:rsidR="001130A8" w:rsidRPr="00D95431" w:rsidRDefault="00CE34F6">
      <w:pPr>
        <w:pStyle w:val="Heading2"/>
        <w:ind w:right="3"/>
      </w:pPr>
      <w:r>
        <w:t>Acoplamiento de vehículos remolcados a máquinas de trabajo motorizadas y a vehículos todoterreno</w:t>
      </w:r>
    </w:p>
    <w:p w:rsidR="001130A8" w:rsidRPr="00D95431" w:rsidRDefault="00CE34F6">
      <w:pPr>
        <w:ind w:left="-15" w:right="0"/>
      </w:pPr>
      <w:r>
        <w:t xml:space="preserve">Un vehículo remolcado, caravana o dispositivo remolcado equivalente puede ir acoplado a una máquina de trabajo motorizada cuando el vehículo remolcado se use para transporte de combustible y lubricante para la máquina de trabajo así como para el equipo y los accesorios relacionados con el trabajo. </w:t>
      </w:r>
      <w:r>
        <w:t>La masa conectada del vehículo remolcado no podrá exceder la masa sin carga de la máquina de trabajo motorizada.</w:t>
      </w:r>
    </w:p>
    <w:p w:rsidR="001130A8" w:rsidRPr="00D95431" w:rsidRDefault="00CE34F6">
      <w:pPr>
        <w:ind w:left="-15" w:right="0"/>
      </w:pPr>
      <w:r>
        <w:t>Una máquina de trabajo motorizada usada como tractor de remolque podrá acoplarse a un vehículo remolcado para trasladar remolques o contenedores cargados o sin carga cuando se despliegue en una zona portuaria o terminal.</w:t>
      </w:r>
    </w:p>
    <w:p w:rsidR="001130A8" w:rsidRPr="00D95431" w:rsidRDefault="00CE34F6">
      <w:pPr>
        <w:spacing w:after="224"/>
        <w:ind w:left="-15" w:right="0"/>
      </w:pPr>
      <w:r>
        <w:t>Un remolque puede acoplarse a un vehículo todoterreno si su masa conectada no es superior a 1,5 veces la masa en vacío del vehículo todoterreno.</w:t>
      </w:r>
    </w:p>
    <w:p w:rsidR="001130A8" w:rsidRPr="00D95431" w:rsidRDefault="00CE34F6" w:rsidP="00791F05">
      <w:pPr>
        <w:keepNext/>
        <w:spacing w:after="86" w:line="265" w:lineRule="auto"/>
        <w:ind w:left="127" w:right="120" w:hanging="10"/>
        <w:jc w:val="center"/>
      </w:pPr>
      <w:r>
        <w:t>Artículo 45</w:t>
      </w:r>
    </w:p>
    <w:p w:rsidR="001130A8" w:rsidRPr="00D95431" w:rsidRDefault="00CE34F6">
      <w:pPr>
        <w:pStyle w:val="Heading2"/>
        <w:ind w:right="1"/>
      </w:pPr>
      <w:r>
        <w:t>Transporte de mercancías</w:t>
      </w:r>
    </w:p>
    <w:p w:rsidR="001130A8" w:rsidRPr="00D95431" w:rsidRDefault="00CE34F6">
      <w:pPr>
        <w:ind w:left="-15" w:right="0"/>
      </w:pPr>
      <w:r>
        <w:t xml:space="preserve">Un vehículo no podrá cargarse de tal manera que la carga sobresalga lateralmente fuera de la carrocería o del espacio de carga del vehículo. </w:t>
      </w:r>
      <w:r>
        <w:t xml:space="preserve">Cuando el vehículo no tenga carrocería, la carga en el espacio de carga no podrá sobrepasar en más de 0,35 metros la anchura del vehículo medida en el eje delantero. </w:t>
      </w:r>
      <w:r>
        <w:t>Sin embargo, este límite no se aplicará al transporte de un barco.</w:t>
      </w:r>
    </w:p>
    <w:p w:rsidR="001130A8" w:rsidRPr="00D95431" w:rsidRDefault="00CE34F6">
      <w:pPr>
        <w:ind w:left="-15" w:right="0"/>
      </w:pPr>
      <w:r>
        <w:t xml:space="preserve">Dentro de los límites de longitud máxima autorizada para vehículos y conjuntos de vehículos, la carga podrá extenderse hacia delante desde la parte delantera en como máximo un metro y hacia atrás en como máximo dos metros más allá del punto del vehículo situado más atrás. </w:t>
      </w:r>
      <w:r>
        <w:t xml:space="preserve">Si el conjunto de vehículos no cumple el requisito de capacidad de maniobra establecido en el artículo 26, párrafos primero o segundo, la carga podrá, no obstante, extenderse por detrás en como máximo un metro más allá del punto del vehículo situado más atrás. </w:t>
      </w:r>
      <w:r>
        <w:t xml:space="preserve">Sin embargo, la carga de un vehículo podrá superar la longitud máxima autorizada por detrás cuando el remolque esté acoplado al vehículo. </w:t>
      </w:r>
      <w:r>
        <w:t xml:space="preserve">Asimismo, la carga podrá superar la longitud máxima autorizada para el vehículo tractor durante traslados breves relacionados con la carga y descarga. </w:t>
      </w:r>
      <w:r>
        <w:t xml:space="preserve">El requisito para sobrepasar la longitud máxima autorizada es que el procedimiento de carga no suponga ningún riesgo de que la carga presente en el vehículo tractor golpee el remolque o la carga presente en el remolque. </w:t>
      </w:r>
      <w:r>
        <w:t>En otros aspectos, el procedimiento de carga no podrá suponer un riesgo para la seguridad del tráfico.</w:t>
      </w:r>
    </w:p>
    <w:p w:rsidR="001130A8" w:rsidRPr="00D95431" w:rsidRDefault="00CE34F6">
      <w:pPr>
        <w:ind w:left="-15" w:right="0"/>
      </w:pPr>
      <w:r>
        <w:t>La masa de las mercancías transportadas en el techo de un turismo (categoría M</w:t>
      </w:r>
      <w:r>
        <w:rPr>
          <w:vertAlign w:val="subscript"/>
        </w:rPr>
        <w:t>1</w:t>
      </w:r>
      <w:r>
        <w:t>) no debe, dentro de los límites de las masas autorizadas del vehículo, exceder el 10 % de la masa en vacío del vehículo.</w:t>
      </w:r>
    </w:p>
    <w:p w:rsidR="001130A8" w:rsidRPr="00D95431" w:rsidRDefault="00CE34F6">
      <w:pPr>
        <w:ind w:left="-15" w:right="0"/>
      </w:pPr>
      <w:r>
        <w:t xml:space="preserve">Un biciclo podrá usarse para transportar un máximo de 50 kg de mercancías, y un ciclo de al menos tres ruedas podrá usarse para transportar 100 kg de mercancías. </w:t>
      </w:r>
      <w:r>
        <w:t>Sin embargo, para un ciclo destinado al transporte de mercancías, la masa combinada de personas y mercancías, de acuerdo con la masa total permitida por el fabricante, no deberá exceder los 250 kilogramos, si la controlabilidad del ciclo destinado a transporte de mercancías y de su remolque está asegurada a través de ruedas adicionales o dispositivos de freno u otras soluciones del fabricante.</w:t>
      </w:r>
    </w:p>
    <w:p w:rsidR="001130A8" w:rsidRPr="00D95431" w:rsidRDefault="00CE34F6">
      <w:pPr>
        <w:ind w:left="-15" w:right="0"/>
      </w:pPr>
      <w:r>
        <w:t>A excepción de los transportes con un remolque mencionados en el artículo 36, párrafo primero, una máquina de trabajo motorizada no deberá ser usada para ningún transporte que no sea el realizado en el lugar de trabajo y derivado del uso real previsto de la máquina de trabajo.</w:t>
      </w:r>
    </w:p>
    <w:p w:rsidR="001130A8" w:rsidRPr="00D95431" w:rsidRDefault="00CE34F6">
      <w:pPr>
        <w:ind w:left="-15" w:right="0"/>
      </w:pPr>
      <w:r>
        <w:t>En el caso de un vehículo eléctrico ligero, la masa combinada de personas y mercancías deberá ser conforme con la masa máxima autorizada notificada por el fabricante, e inferior a 250 kilogramos.</w:t>
      </w:r>
    </w:p>
    <w:p w:rsidR="001130A8" w:rsidRPr="00D95431" w:rsidRDefault="00CE34F6">
      <w:pPr>
        <w:ind w:left="-15" w:right="0"/>
      </w:pPr>
      <w:r>
        <w:t xml:space="preserve">La masa combinada de personas y mercancías no podrá superar el peso máximo permitido indicado por el fabricante. </w:t>
      </w:r>
      <w:r>
        <w:t>No obstante, la masa combinada de personas y mercancías en un vehículo previsto para el transporte de mercancías no deberá exceder:</w:t>
      </w:r>
    </w:p>
    <w:p w:rsidR="001130A8" w:rsidRPr="00D95431" w:rsidRDefault="00CE34F6">
      <w:pPr>
        <w:ind w:left="227" w:right="711" w:firstLine="0"/>
      </w:pPr>
      <w:r>
        <w:t>1) 375 kilogramos en el caso de una motocicleta de tres ruedas diseñada para fines utilitarios o un cuatriciclo ligero para fines utilitarios; 2) 675 kilogramos en el caso de un cuatriciclo de carretera o un cuatriciclo todoterreno;</w:t>
      </w:r>
    </w:p>
    <w:p w:rsidR="001130A8" w:rsidRPr="00D95431" w:rsidRDefault="00CE34F6">
      <w:pPr>
        <w:spacing w:after="225"/>
        <w:ind w:left="227" w:right="0" w:firstLine="0"/>
      </w:pPr>
      <w:r>
        <w:t>3) 1 075 kilogramos en el caso de un triciclo comercial o un cuatriciclo todoterreno pesado para fines utilitarios.</w:t>
      </w:r>
    </w:p>
    <w:p w:rsidR="001130A8" w:rsidRPr="00D95431" w:rsidRDefault="00CE34F6" w:rsidP="00791F05">
      <w:pPr>
        <w:keepNext/>
        <w:spacing w:after="86" w:line="265" w:lineRule="auto"/>
        <w:ind w:left="127" w:right="120" w:hanging="10"/>
        <w:jc w:val="center"/>
      </w:pPr>
      <w:r>
        <w:t>Artículo 46</w:t>
      </w:r>
    </w:p>
    <w:p w:rsidR="001130A8" w:rsidRPr="00D95431" w:rsidRDefault="00CE34F6">
      <w:pPr>
        <w:pStyle w:val="Heading2"/>
        <w:ind w:right="3"/>
      </w:pPr>
      <w:r>
        <w:t>Posicionamiento de la carga</w:t>
      </w:r>
    </w:p>
    <w:p w:rsidR="001130A8" w:rsidRPr="00D95431" w:rsidRDefault="00CE34F6">
      <w:pPr>
        <w:ind w:left="-15" w:right="0"/>
      </w:pPr>
      <w:r>
        <w:t xml:space="preserve">La carga será una unidad consistente colocada lo más abajo posible. </w:t>
      </w:r>
      <w:r>
        <w:t xml:space="preserve">El centro de la carga deberá estar lo más bajo posible y ubicarse cerca de la línea central longitudinal del vehículo. </w:t>
      </w:r>
      <w:r>
        <w:t xml:space="preserve">En un conjunto de un vehículo y varios remolques, la carga se posicionará tan cerca de la parte delantera como sea posible, teniendo en cuenta el conjunto completo. </w:t>
      </w:r>
      <w:r>
        <w:t>El vehículo no deberá cargarse de manera que el centro de gravedad esté más alto de lo que técnicamente se permite para el vehículo.</w:t>
      </w:r>
    </w:p>
    <w:p w:rsidR="001130A8" w:rsidRPr="00D95431" w:rsidRDefault="00CE34F6">
      <w:pPr>
        <w:ind w:left="-15" w:right="0"/>
      </w:pPr>
      <w:r>
        <w:t xml:space="preserve">En la medida de lo posible, la carga deberá estar apoyada para permitir el acceso delantero al área de carga. </w:t>
      </w:r>
      <w:r>
        <w:t>Todas las partes afiladas de la carga deberán estar orientadas hacia atrás.</w:t>
      </w:r>
    </w:p>
    <w:p w:rsidR="001130A8" w:rsidRPr="00D95431" w:rsidRDefault="00CE34F6">
      <w:pPr>
        <w:spacing w:after="224"/>
        <w:ind w:left="-15" w:right="0"/>
      </w:pPr>
      <w:r>
        <w:t xml:space="preserve">Un remolque de eje central deberá cargarse de modo que ejerza una fuerza hacia abajo en el dispositivo de acoplamiento del vehículo tractor. </w:t>
      </w:r>
      <w:r>
        <w:t xml:space="preserve">La fuerza hacia abajo no podrá exceder el 10 por ciento de la masa permitida para los ejes del remolque o una fuerza equivalente a una masa de 1 000 kilogramos, la que sea menor. </w:t>
      </w:r>
      <w:r>
        <w:t>La fuerza hacia abajo no podrá exceder las fuerzas autorizadas para los vehículos acoplados o dispositivos de acoplamiento.</w:t>
      </w:r>
    </w:p>
    <w:p w:rsidR="001130A8" w:rsidRPr="00D95431" w:rsidRDefault="00CE34F6" w:rsidP="00791F05">
      <w:pPr>
        <w:keepNext/>
        <w:spacing w:after="86" w:line="265" w:lineRule="auto"/>
        <w:ind w:left="127" w:right="121" w:hanging="10"/>
        <w:jc w:val="center"/>
      </w:pPr>
      <w:r>
        <w:t xml:space="preserve">Artículo 51 </w:t>
      </w:r>
      <w:r>
        <w:rPr>
          <w:i w:val="1"/>
        </w:rPr>
        <w:t>ter</w:t>
      </w:r>
    </w:p>
    <w:p w:rsidR="001130A8" w:rsidRPr="00D95431" w:rsidRDefault="00CE34F6">
      <w:pPr>
        <w:pStyle w:val="Heading2"/>
        <w:ind w:right="1"/>
      </w:pPr>
      <w:r>
        <w:t>Marcados para conjuntos de vehículos largos</w:t>
      </w:r>
    </w:p>
    <w:p w:rsidR="001130A8" w:rsidRPr="00D95431" w:rsidRDefault="00CE34F6">
      <w:pPr>
        <w:ind w:left="-15" w:right="0"/>
      </w:pPr>
      <w:r>
        <w:t xml:space="preserve">Los conjuntos de vehículos de más de 15,5 metros de longitud, compuestos por un camión y uno o varios remolques deberán llevar una placa de identificación equiparable a la versión original del Reglamento n.º 70 de la CEPE, en su versión modificada por la última serie de modificaciones. </w:t>
      </w:r>
      <w:r>
        <w:t xml:space="preserve">De forma alternativa, la placa de identificación podrá colocarse en el conjunto de vehículos. </w:t>
      </w:r>
      <w:r>
        <w:t>Las dimensiones de dicha placa de identificación serán como mínimo de 0,30 metros x 0,80 metros, y tendrá una imagen de un conjunto de vehículos negro sobre un fondo retrorreflectante amarillo y un borde rojo fluorescente o retrorreflectante de 25 milímetros de ancho, por debajo del cual podrá indicarse la longitud del conjunto.</w:t>
      </w:r>
    </w:p>
    <w:p w:rsidR="001130A8" w:rsidRPr="00D95431" w:rsidRDefault="00CE34F6">
      <w:pPr>
        <w:ind w:left="-15" w:right="0"/>
      </w:pPr>
      <w:r>
        <w:t>Además de las disposiciones ya mencionadas establecidas en el párrafo primero, el conjunto de camión y semirremolque que supere los 18,75 metros de longitud y otras combinaciones de vehículos que superen los 25,25 metros de longitud llevarán marcas retrorreflectantes en los laterales de los vehículos y luces de gálibo opcionales de acuerdo con el apartado 6.13 del Reglamento n.º 48 de la CEPE, que se instalarán en el último remolque.</w:t>
      </w:r>
    </w:p>
    <w:p w:rsidR="001130A8" w:rsidRPr="00D95431" w:rsidRDefault="00CE34F6">
      <w:pPr>
        <w:spacing w:after="230"/>
        <w:ind w:left="-15" w:right="0"/>
      </w:pPr>
      <w:r>
        <w:t>Un conjunto de vehículos de más de 25,25 metros de longitud tendrá una placa de identificación de al menos 0,45 metros</w:t>
      </w:r>
      <w:r>
        <w:rPr>
          <w:vertAlign w:val="superscript"/>
        </w:rPr>
        <w:t>2</w:t>
      </w:r>
      <w:r>
        <w:t xml:space="preserve">. </w:t>
      </w:r>
      <w:r>
        <w:t xml:space="preserve">El color y sus características retrorreflectantes serán conformes a los requisitos del Reglamento n.º 70 de la CEPE, y mostrarán la palabra en finés «PITKÄ» (o su correspondiente en sueco o inglés) en letras mayúsculas de al menos 200 mm de alto. </w:t>
      </w:r>
      <w:r>
        <w:t xml:space="preserve">Además, la placa podrá incluir la imagen de un conjunto de vehículos en negro, con una indicación de la longitud del conjunto debajo de este. </w:t>
      </w:r>
      <w:r>
        <w:t>La placa mencionada en este párrafo podrá sustituirse por una conforme al párrafo primero.</w:t>
      </w:r>
    </w:p>
    <w:p w:rsidR="001130A8" w:rsidRPr="00D95431" w:rsidRDefault="00CE34F6" w:rsidP="00791F05">
      <w:pPr>
        <w:keepNext/>
        <w:spacing w:after="86" w:line="265" w:lineRule="auto"/>
        <w:ind w:left="127" w:right="120" w:hanging="10"/>
        <w:jc w:val="center"/>
      </w:pPr>
      <w:r>
        <w:t>Artículo 52</w:t>
      </w:r>
    </w:p>
    <w:p w:rsidR="001130A8" w:rsidRPr="00D95431" w:rsidRDefault="00CE34F6" w:rsidP="00791F05">
      <w:pPr>
        <w:keepNext/>
        <w:spacing w:after="123" w:line="252" w:lineRule="auto"/>
        <w:ind w:left="2461" w:right="0" w:hanging="2476"/>
        <w:jc w:val="left"/>
      </w:pPr>
      <w:r>
        <w:rPr>
          <w:i/>
        </w:rPr>
        <w:t>Homologación de vehículos y conjuntos de vehículos que se pondrán en circulación como excepción a las disposiciones sobre dimensiones y masas</w:t>
      </w:r>
    </w:p>
    <w:p w:rsidR="001130A8" w:rsidRPr="00D95431" w:rsidRDefault="00CE34F6">
      <w:pPr>
        <w:spacing w:after="225"/>
        <w:ind w:left="-15" w:right="0"/>
      </w:pPr>
      <w:r>
        <w:t xml:space="preserve">La Agencia de Comunicación y Transporte de Finlandia podrá conceder una excepción a lo dispuesto en los artículos 20, 21, 23, 23 </w:t>
      </w:r>
      <w:r>
        <w:rPr>
          <w:i w:val="1"/>
        </w:rPr>
        <w:t>bis</w:t>
      </w:r>
      <w:r>
        <w:t xml:space="preserve">, 24 a 26, 31, 32, 32 </w:t>
      </w:r>
      <w:r>
        <w:rPr>
          <w:i w:val="1"/>
        </w:rPr>
        <w:t>bis</w:t>
      </w:r>
      <w:r>
        <w:t xml:space="preserve"> y 32 </w:t>
      </w:r>
      <w:r>
        <w:rPr>
          <w:i w:val="1"/>
        </w:rPr>
        <w:t>ter</w:t>
      </w:r>
      <w:r>
        <w:t xml:space="preserve"> para vehículos de motor individuales o conjuntos de vehículos si ello es necesario para probar nuevas tecnologías o desarrollar productos o por otra razón especial. </w:t>
      </w:r>
      <w:r>
        <w:t xml:space="preserve">Asimismo, la excepción no comprometerá la seguridad vial ni falseará la competencia. </w:t>
      </w:r>
      <w:r>
        <w:t>La excepción podrá concederse por un período fijo y podrá estar sujeta a determinadas condiciones.</w:t>
      </w:r>
    </w:p>
    <w:p w:rsidR="001130A8" w:rsidRPr="00D95431" w:rsidRDefault="00CE34F6" w:rsidP="00791F05">
      <w:pPr>
        <w:keepNext/>
        <w:spacing w:after="86" w:line="265" w:lineRule="auto"/>
        <w:ind w:left="127" w:right="120" w:hanging="10"/>
        <w:jc w:val="center"/>
      </w:pPr>
      <w:r>
        <w:t>Artículo 57</w:t>
      </w:r>
    </w:p>
    <w:p w:rsidR="001130A8" w:rsidRPr="00D95431" w:rsidRDefault="00CE34F6">
      <w:pPr>
        <w:pStyle w:val="Heading2"/>
        <w:ind w:right="2"/>
      </w:pPr>
      <w:r>
        <w:t>Disposiciones transitorias</w:t>
      </w:r>
    </w:p>
    <w:p w:rsidR="001130A8" w:rsidRPr="00D95431" w:rsidRDefault="00CE34F6">
      <w:pPr>
        <w:ind w:left="-15" w:right="0"/>
      </w:pPr>
      <w:r>
        <w:t>La prohibición referente al ralentí a la que se refiere el artículo 5 del Decreto se aplica a los vehículos de emergencia y a los vehículos de motor en el transporte sujeto a autorización desde el 1 de octubre de 1993.</w:t>
      </w:r>
    </w:p>
    <w:p w:rsidR="001130A8" w:rsidRPr="00D95431" w:rsidRDefault="00CE34F6">
      <w:pPr>
        <w:ind w:left="-15" w:right="0"/>
      </w:pPr>
      <w:r>
        <w:t xml:space="preserve">Los vehículos de cuatro ejes puestos en circulación por primera vez antes del 1 de enero de 1994, de acuerdo con el artículo 21, párrafo primero, punto 6, del Decreto, están sujetos a las disposiciones sobre la masa de los vehículos que estaban en vigor a 31 de diciembre de 1993. </w:t>
      </w:r>
      <w:r>
        <w:t>Un vehículo puesto en circulación antes de la fecha mencionada también debe cumplir las disposiciones sobre la masa total suspendida entre los ejes exteriores de un vehículo de motor vigentes a 31 de diciembre de 1993.</w:t>
      </w:r>
    </w:p>
    <w:p w:rsidR="001130A8" w:rsidRPr="00D95431" w:rsidRDefault="00CE34F6">
      <w:pPr>
        <w:ind w:left="-15" w:right="0"/>
      </w:pPr>
      <w:r>
        <w:t>Un vehículo cuya puesta en circulación haya sido aceptada o, si no se requiere una aceptación específica, que haya sido utilizado en el transporte antes de la entrada en vigor del presente Decreto, podrá seguir siendo utilizado en el transporte de acuerdo con las condiciones establecidas en las disposiciones y reglamentos vigentes en el momento de la entrada en vigor del presente Decreto o establecidas en el presente Decreto.</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El presente Decreto entrará en vigor el 21 de enero de 2019.</w:t>
      </w:r>
    </w:p>
    <w:p w:rsidR="001130A8" w:rsidRPr="00D95431" w:rsidRDefault="00CE34F6">
      <w:pPr>
        <w:ind w:left="-15" w:right="0"/>
      </w:pPr>
      <w:r>
        <w:t>Si un remolque se pone en circulación antes del 1 de enero de 2019, el artículo 22 del Decreto se aplicará a partir del 1 de enero de 2024.</w:t>
      </w:r>
    </w:p>
    <w:p w:rsidR="001130A8" w:rsidRPr="00D95431" w:rsidRDefault="00CE34F6">
      <w:pPr>
        <w:ind w:left="-15" w:right="0"/>
      </w:pPr>
      <w:r>
        <w:t>Si un remolque se pone en circulación antes del 1 de enero de 2019, el requisito de un programa electrónico de estabilidad establecido en el artículo 33, párrafo segundo, punto 3, del Decreto, se aplicará a partir del 1 de enero de 2024.</w:t>
      </w:r>
    </w:p>
    <w:p w:rsidR="001130A8" w:rsidRPr="00D95431" w:rsidRDefault="00CE34F6">
      <w:pPr>
        <w:ind w:left="-15" w:right="0"/>
      </w:pPr>
      <w:r>
        <w:t>No obstante lo dispuesto en el artículo 23, párrafo primero, en relación con el conjunto de vehículo y semirremolque, las disposiciones relativas a la masa del conjunto de vehículo y semirremolque en vigor en el momento de entrada en vigor del presente Decreto podrán aplicarse al conjunto de vehículo y semirremolque hasta el 31 de diciembre de 2023, si el remolque fue puesto en circulación antes del 1 de enero de 2019.</w:t>
      </w:r>
    </w:p>
    <w:p w:rsidR="001130A8" w:rsidRPr="00D95431" w:rsidRDefault="00CE34F6">
      <w:pPr>
        <w:ind w:left="-15" w:right="0"/>
      </w:pPr>
      <w:r>
        <w:t xml:space="preserve">Si un vehículo tractor o un vehículo remolcado se ponen en circulación antes del 1 de abril de 2019, el conjunto de vehículos compuesto por un vehículo y uno o varios remolques cumplirá el requisito de la suma de masas soportadas por el </w:t>
      </w:r>
      <w:r>
        <w:rPr>
          <w:i w:val="1"/>
        </w:rPr>
        <w:t>bogie</w:t>
      </w:r>
      <w:r>
        <w:t xml:space="preserve"> situado en la parte más trasera de un vehículo tractor y el </w:t>
      </w:r>
      <w:r>
        <w:rPr>
          <w:i w:val="1"/>
        </w:rPr>
        <w:t>bogie</w:t>
      </w:r>
      <w:r>
        <w:t xml:space="preserve"> situado en la parte más delantera de un remolque establecido en el artículo 23, párrafo tercero, a partir del 1 de enero de 2024.</w:t>
      </w:r>
    </w:p>
    <w:p w:rsidR="001130A8" w:rsidRPr="00D95431" w:rsidRDefault="00CE34F6">
      <w:pPr>
        <w:spacing w:after="397"/>
        <w:ind w:left="-15" w:right="0" w:firstLine="0"/>
      </w:pPr>
      <w:r>
        <w:t>Helsinki, 10 de enero de 2019</w:t>
      </w:r>
    </w:p>
    <w:p w:rsidR="001130A8" w:rsidRPr="00D95431" w:rsidRDefault="00CE34F6">
      <w:pPr>
        <w:spacing w:after="760" w:line="265" w:lineRule="auto"/>
        <w:ind w:left="127" w:right="120" w:hanging="10"/>
        <w:jc w:val="center"/>
      </w:pPr>
      <w:r>
        <w:t>Ministra de Transporte y Comunicaciones Anne Berner</w:t>
      </w:r>
    </w:p>
    <w:p w:rsidR="001130A8" w:rsidRPr="00D95431" w:rsidRDefault="00CE34F6" w:rsidP="00916DE5">
      <w:pPr>
        <w:spacing w:after="0" w:line="264" w:lineRule="auto"/>
        <w:ind w:left="14" w:right="-14" w:hanging="14"/>
        <w:jc w:val="right"/>
      </w:pPr>
      <w:r>
        <w:t>Especialista Aino Still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A5752" w:rsidRPr="00D95431" w:rsidRDefault="00BA5752"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rPr>
        <mc:AlternateContent xmlns:mc="http://schemas.openxmlformats.org/markup-compatibility/2006">
          <mc:Choice Requires="wpg">
            <w:drawing>
              <wp:inline xmlns:wp="http://schemas.openxmlformats.org/drawingml/2006/wordprocessingDrawing" distT="0" distB="0" distL="0" distR="0">
                <wp:extent cx="4968240" cy="5334"/>
                <wp:effectExtent l="0" t="0" r="0" b="0"/>
                <wp:docPr id="16948" name="Group 169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68240" cy="5334"/>
                          <a:chOff x="0" y="0"/>
                          <a:chExt cx="4968240" cy="5334"/>
                        </a:xfrm>
                      </wpg:grpSpPr>
                      <wps:wsp xmlns:wps="http://schemas.microsoft.com/office/word/2010/wordprocessingShape">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 xml:space="preserve">PUBLICADO POR: </w:t>
      </w:r>
      <w:r>
        <w:rPr>
          <w:color w:val="221F1F"/>
          <w:sz w:val="13"/>
        </w:rPr>
        <w:t>MINISTERIO DE JUSTICIA</w:t>
      </w:r>
      <w:r>
        <w:tab/>
      </w:r>
      <w:r>
        <w:rPr>
          <w:color w:val="221F1F"/>
          <w:sz w:val="13"/>
        </w:rPr>
        <w:t>ISSN 1455-8904</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3253AF" w:rsidRDefault="003253AF">
      <w:pPr>
        <w:spacing w:after="0" w:line="240" w:lineRule="auto"/>
      </w:pPr>
      <w:r>
        <w:separator/>
      </w:r>
    </w:p>
  </w:endnote>
  <w:endnote xmlns:w15="http://schemas.microsoft.com/office/word/2012/wordml"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16</w:t>
    </w:r>
    <w:r>
      <w:fldChar w:fldCharType="end"/>
    </w: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52B0D">
      <w:rPr>
        <w:noProof/>
      </w:rPr>
      <w:t>1</w:t>
    </w:r>
    <w:r>
      <w:fldChar w:fldCharType="end"/>
    </w: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3253AF" w:rsidRDefault="003253AF">
      <w:pPr>
        <w:spacing w:after="0" w:line="240" w:lineRule="auto"/>
      </w:pPr>
      <w:r>
        <w:separator/>
      </w:r>
    </w:p>
  </w:footnote>
  <w:footnote xmlns:w15="http://schemas.microsoft.com/office/word/2012/wordml" w:type="continuationSeparator" w:id="0">
    <w:p w:rsidR="003253AF" w:rsidRDefault="003253AF">
      <w:pPr>
        <w:spacing w:after="0" w:line="240" w:lineRule="auto"/>
      </w:pPr>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6D5710-3404-4D49-9E46-8038CC8DBFD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xmlns:w15="http://schemas.microsoft.com/office/word/2012/wordml"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xmlns:w15="http://schemas.microsoft.com/office/word/2012/wordml"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customStyle="1" w:styleId="Heading1Char">
    <w:name w:val="Heading 1 Char"/>
    <w:link w:val="Heading1"/>
    <w:rPr>
      <w:rFonts w:ascii="Times New Roman" w:eastAsia="Times New Roman" w:hAnsi="Times New Roman" w:cs="Times New Roman"/>
      <w:b/>
      <w:color w:val="000000"/>
      <w:sz w:val="22"/>
    </w:rPr>
  </w:style>
  <w:style xmlns:w15="http://schemas.microsoft.com/office/word/2012/wordml" w:type="character" w:customStyle="1" w:styleId="Heading2Char">
    <w:name w:val="Heading 2 Char"/>
    <w:link w:val="Heading2"/>
    <w:rPr>
      <w:rFonts w:ascii="Times New Roman" w:eastAsia="Times New Roman" w:hAnsi="Times New Roman" w:cs="Times New Roman"/>
      <w:i/>
      <w:color w:val="000000"/>
      <w:sz w:val="22"/>
    </w:rPr>
  </w:style>
  <w:style xmlns:w15="http://schemas.microsoft.com/office/word/2012/wordml" w:type="table" w:customStyle="1" w:styleId="TableGrid">
    <w:name w:val="TableGrid"/>
    <w:pPr>
      <w:spacing w:after="0" w:line="240" w:lineRule="auto"/>
    </w:pPr>
    <w:tblPr>
      <w:tblCellMar>
        <w:top w:w="0" w:type="dxa"/>
        <w:left w:w="0" w:type="dxa"/>
        <w:bottom w:w="0" w:type="dxa"/>
        <w:right w:w="0" w:type="dxa"/>
      </w:tblCellMar>
    </w:tblPr>
  </w:style>
  <w:style xmlns:w15="http://schemas.microsoft.com/office/word/2012/wordml"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lang w:val="es-ES" w:eastAsia="es-ES"/>
    </w:rPr>
  </w:style>
  <w:style xmlns:w15="http://schemas.microsoft.com/office/word/2012/wordml"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6363</Words>
  <Characters>36272</Characters>
  <Application>Microsoft Office Word</Application>
  <DocSecurity>0</DocSecurity>
  <Lines>302</Lines>
  <Paragraphs>85</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42550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ZAGHINI, Francesco</cp:lastModifiedBy>
  <cp:revision>14</cp:revision>
  <dcterms:created xsi:type="dcterms:W3CDTF">2019-04-15T13:27:00Z</dcterms:created>
  <dcterms:modified xsi:type="dcterms:W3CDTF">2019-12-11T10:29:00Z</dcterms:modified>
</cp:coreProperties>
</file>