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BE" w:rsidRDefault="001F24BE" w:rsidP="001F24BE">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0178 A-- CS- ------ 20200714 --- --- FINAL</w:t>
      </w:r>
    </w:p>
    <w:p w:rsidR="00122AD6" w:rsidRPr="000736A5" w:rsidRDefault="00122AD6" w:rsidP="00122AD6">
      <w:pPr>
        <w:pStyle w:val="02BDGesBlatt"/>
        <w:rPr>
          <w:spacing w:val="0"/>
        </w:rPr>
      </w:pPr>
      <w:r>
        <w:t xml:space="preserve">ZEMSKÝ VĚSTNÍK</w:t>
      </w:r>
    </w:p>
    <w:p w:rsidR="00122AD6" w:rsidRPr="000736A5" w:rsidRDefault="00122AD6" w:rsidP="00122AD6">
      <w:pPr>
        <w:pStyle w:val="03RepOesterr"/>
        <w:rPr>
          <w:spacing w:val="0"/>
        </w:rPr>
      </w:pPr>
      <w:r>
        <w:t xml:space="preserve">PRO KORUTANY</w:t>
      </w:r>
    </w:p>
    <w:p w:rsidR="00122AD6" w:rsidRPr="000736A5" w:rsidRDefault="00122AD6" w:rsidP="00122AD6">
      <w:pPr>
        <w:pStyle w:val="04AusgabeDaten"/>
      </w:pPr>
      <w:r>
        <w:t xml:space="preserve">Rok 2019</w:t>
        <w:tab/>
        <w:t xml:space="preserve">Vydáno dne 8. listopadu 2019</w:t>
        <w:tab/>
        <w:t xml:space="preserve">www.ris.bka.gv.at</w:t>
      </w:r>
    </w:p>
    <w:p w:rsidR="00122AD6" w:rsidRPr="000736A5" w:rsidRDefault="00122AD6" w:rsidP="00122AD6">
      <w:pPr>
        <w:pStyle w:val="05Kurztitel"/>
      </w:pPr>
      <w:r>
        <w:t xml:space="preserve">86. nařízení:</w:t>
      </w:r>
      <w:r>
        <w:tab/>
      </w:r>
      <w:r>
        <w:t xml:space="preserve">Korutanské nařízení o topných zařízení; změna</w:t>
      </w:r>
    </w:p>
    <w:p w:rsidR="0038131E" w:rsidRPr="000736A5" w:rsidRDefault="00522043" w:rsidP="00122AD6">
      <w:pPr>
        <w:pStyle w:val="11Titel"/>
      </w:pPr>
      <w:r>
        <w:t xml:space="preserve">86. nařízením vlády spolkové země ze dne 5. listopadu 2019, Zl.</w:t>
      </w:r>
      <w:r>
        <w:t xml:space="preserve"> </w:t>
      </w:r>
      <w:r>
        <w:t xml:space="preserve">08-LL-119/3-2019, kterou se mění Korutanská vyhláška o topných zařízeních – K-HeizVO</w:t>
      </w:r>
    </w:p>
    <w:p w:rsidR="00703C97" w:rsidRPr="000736A5" w:rsidRDefault="00703C97" w:rsidP="00703C97">
      <w:pPr>
        <w:pStyle w:val="12PromKlEinlSatz"/>
      </w:pPr>
      <w:r>
        <w:t xml:space="preserve">Na základě § 4 odst. 4, § 20a, § 21 odst. 1 a 1a a § 26 odst. 7 a § 28 odst. 7 korutanského zákona o topných zařízeních – K-HeizG, Zemsk. věst.</w:t>
      </w:r>
      <w:r>
        <w:t xml:space="preserve"> </w:t>
      </w:r>
      <w:r>
        <w:t xml:space="preserve"> 1/2014, naposledy změněný zákonem Zemsk. věst.</w:t>
      </w:r>
      <w:r>
        <w:t xml:space="preserve"> </w:t>
      </w:r>
      <w:r>
        <w:t xml:space="preserve">71/2018, se nařizuje:</w:t>
      </w:r>
      <w:r>
        <w:t xml:space="preserve"> </w:t>
      </w:r>
    </w:p>
    <w:p w:rsidR="00703C97" w:rsidRPr="000736A5" w:rsidRDefault="00703C97" w:rsidP="00703C97">
      <w:pPr>
        <w:pStyle w:val="44UeberschrArt"/>
      </w:pPr>
      <w:r>
        <w:t xml:space="preserve">Článek I</w:t>
      </w:r>
    </w:p>
    <w:p w:rsidR="00703C97" w:rsidRPr="000736A5" w:rsidRDefault="00703C97" w:rsidP="00703C97">
      <w:pPr>
        <w:pStyle w:val="12PromKlEinlSatz"/>
      </w:pPr>
      <w:r>
        <w:t xml:space="preserve">Korutanská vyhláška o topných zařízeních– K-HeizVO, Zemsk. věst.</w:t>
      </w:r>
      <w:r>
        <w:t xml:space="preserve"> </w:t>
      </w:r>
      <w:r>
        <w:t xml:space="preserve">19/2015, se mění takto:</w:t>
      </w:r>
    </w:p>
    <w:p w:rsidR="00703C97" w:rsidRPr="000736A5" w:rsidRDefault="00703C97" w:rsidP="00703C97">
      <w:pPr>
        <w:pStyle w:val="21NovAo1"/>
      </w:pPr>
      <w:r>
        <w:t xml:space="preserve">1.</w:t>
      </w:r>
      <w:r>
        <w:t xml:space="preserve"> </w:t>
      </w:r>
      <w:r>
        <w:t xml:space="preserve">Obsah zní:</w:t>
      </w:r>
    </w:p>
    <w:p w:rsidR="00703C97" w:rsidRPr="000736A5" w:rsidRDefault="00703C97" w:rsidP="00703C97">
      <w:pPr>
        <w:pStyle w:val="30InhaltUeberschrift"/>
        <w:rPr>
          <w:rFonts w:eastAsiaTheme="minorEastAsia"/>
        </w:rPr>
      </w:pPr>
      <w:r>
        <w:t xml:space="preserve">„Obsah:</w:t>
      </w:r>
    </w:p>
    <w:p w:rsidR="00703C97" w:rsidRPr="000736A5" w:rsidRDefault="00703C97" w:rsidP="00703C97">
      <w:pPr>
        <w:pStyle w:val="31InhaltSpalte"/>
        <w:rPr>
          <w:rFonts w:eastAsiaTheme="minorEastAsia"/>
        </w:rPr>
      </w:pPr>
      <w:r>
        <w:t xml:space="preserve">1. oddíl</w:t>
        <w:br/>
        <w:t xml:space="preserve">Uvádění topných zařízení do oběhu</w:t>
      </w:r>
    </w:p>
    <w:p w:rsidR="00703C97" w:rsidRPr="000736A5" w:rsidRDefault="00703C97" w:rsidP="00703C97">
      <w:pPr>
        <w:pStyle w:val="32InhaltEintragEinzug"/>
      </w:pPr>
      <w:r>
        <w:tab/>
      </w:r>
      <w:r>
        <w:t xml:space="preserve">§</w:t>
        <w:tab/>
        <w:t xml:space="preserve">1</w:t>
        <w:tab/>
        <w:tab/>
        <w:t xml:space="preserve">Předpoklady</w:t>
      </w:r>
    </w:p>
    <w:p w:rsidR="00703C97" w:rsidRPr="000736A5" w:rsidRDefault="00703C97" w:rsidP="00703C97">
      <w:pPr>
        <w:pStyle w:val="32InhaltEintragEinzug"/>
      </w:pPr>
      <w:r>
        <w:tab/>
      </w:r>
      <w:r>
        <w:t xml:space="preserve">§</w:t>
        <w:tab/>
        <w:t xml:space="preserve">2</w:t>
        <w:tab/>
        <w:tab/>
        <w:t xml:space="preserve">Emisní mezní hodnoty pro uvádění do oběhu</w:t>
      </w:r>
    </w:p>
    <w:p w:rsidR="00703C97" w:rsidRPr="000736A5" w:rsidRDefault="00703C97" w:rsidP="00703C97">
      <w:pPr>
        <w:pStyle w:val="32InhaltEintragEinzug"/>
      </w:pPr>
      <w:r>
        <w:tab/>
      </w:r>
      <w:r>
        <w:t xml:space="preserve">§</w:t>
        <w:tab/>
        <w:t xml:space="preserve">3</w:t>
        <w:tab/>
        <w:tab/>
        <w:t xml:space="preserve">Požadavky na stupeň účinnosti pro uvádění do oběhu</w:t>
      </w:r>
    </w:p>
    <w:p w:rsidR="00703C97" w:rsidRPr="000736A5" w:rsidRDefault="00703C97" w:rsidP="00703C97">
      <w:pPr>
        <w:pStyle w:val="32InhaltEintragEinzug"/>
      </w:pPr>
      <w:r>
        <w:tab/>
      </w:r>
      <w:r>
        <w:t xml:space="preserve">§</w:t>
        <w:tab/>
        <w:t xml:space="preserve">4</w:t>
        <w:tab/>
        <w:tab/>
        <w:t xml:space="preserve">Zkušební podmínky</w:t>
        <w:cr/>
        <w:br/>
      </w:r>
    </w:p>
    <w:p w:rsidR="00703C97" w:rsidRPr="000736A5" w:rsidRDefault="00703C97" w:rsidP="00703C97">
      <w:pPr>
        <w:pStyle w:val="32InhaltEintragEinzug"/>
      </w:pPr>
      <w:r>
        <w:tab/>
      </w:r>
      <w:r>
        <w:t xml:space="preserve">§</w:t>
        <w:tab/>
        <w:t xml:space="preserve">5</w:t>
        <w:tab/>
        <w:tab/>
        <w:t xml:space="preserve">Prohlášení o shodě ES ve smyslu směr. 2009/125/ES</w:t>
      </w:r>
    </w:p>
    <w:p w:rsidR="00703C97" w:rsidRPr="000736A5" w:rsidRDefault="00703C97" w:rsidP="00703C97">
      <w:pPr>
        <w:pStyle w:val="31InhaltSpalte"/>
      </w:pPr>
      <w:r>
        <w:t xml:space="preserve">2. oddíl</w:t>
        <w:br/>
        <w:t xml:space="preserve">Zařízení a vybavení topných zařízení</w:t>
      </w:r>
      <w:r>
        <w:t xml:space="preserve"> </w:t>
      </w:r>
    </w:p>
    <w:p w:rsidR="00703C97" w:rsidRPr="000736A5" w:rsidRDefault="00703C97" w:rsidP="00703C97">
      <w:pPr>
        <w:pStyle w:val="32InhaltEintragEinzug"/>
      </w:pPr>
      <w:r>
        <w:tab/>
      </w:r>
      <w:r>
        <w:t xml:space="preserve">§</w:t>
        <w:tab/>
        <w:t xml:space="preserve">5a</w:t>
        <w:tab/>
        <w:tab/>
        <w:t xml:space="preserve">Oblast platnosti</w:t>
        <w:cr/>
        <w:br/>
      </w:r>
    </w:p>
    <w:p w:rsidR="00703C97" w:rsidRPr="000736A5" w:rsidRDefault="00703C97" w:rsidP="00703C97">
      <w:pPr>
        <w:pStyle w:val="32InhaltEintragEinzug"/>
        <w:rPr>
          <w:rFonts w:eastAsiaTheme="minorEastAsia"/>
        </w:rPr>
      </w:pPr>
      <w:r>
        <w:tab/>
      </w:r>
      <w:r>
        <w:t xml:space="preserve">§</w:t>
        <w:tab/>
        <w:t xml:space="preserve">6</w:t>
        <w:tab/>
        <w:tab/>
        <w:t xml:space="preserve">Zařízení a vybavení</w:t>
      </w:r>
    </w:p>
    <w:p w:rsidR="00703C97" w:rsidRPr="000736A5" w:rsidRDefault="00703C97" w:rsidP="00703C97">
      <w:pPr>
        <w:pStyle w:val="32InhaltEintragEinzug"/>
      </w:pPr>
      <w:r>
        <w:tab/>
      </w:r>
      <w:r>
        <w:t xml:space="preserve">§</w:t>
        <w:tab/>
        <w:t xml:space="preserve">6a</w:t>
        <w:tab/>
        <w:tab/>
        <w:t xml:space="preserve">Registrace středně velkých spalovacích zařízení</w:t>
      </w:r>
    </w:p>
    <w:p w:rsidR="00703C97" w:rsidRPr="000736A5" w:rsidRDefault="00703C97" w:rsidP="00703C97">
      <w:pPr>
        <w:pStyle w:val="32InhaltEintragEinzug"/>
        <w:rPr>
          <w:rFonts w:eastAsiaTheme="minorEastAsia"/>
        </w:rPr>
      </w:pPr>
      <w:r>
        <w:tab/>
      </w:r>
      <w:r>
        <w:t xml:space="preserve">§</w:t>
        <w:tab/>
        <w:t xml:space="preserve">7</w:t>
        <w:tab/>
        <w:tab/>
        <w:t xml:space="preserve">Měřicí otvory</w:t>
      </w:r>
    </w:p>
    <w:p w:rsidR="00703C97" w:rsidRPr="000736A5" w:rsidRDefault="00703C97" w:rsidP="00703C97">
      <w:pPr>
        <w:pStyle w:val="31InhaltSpalte"/>
        <w:rPr>
          <w:rFonts w:eastAsiaTheme="minorEastAsia"/>
        </w:rPr>
      </w:pPr>
      <w:r>
        <w:t xml:space="preserve">3. oddíl</w:t>
        <w:br/>
        <w:t xml:space="preserve">Emisní mezní hodnoty a spalinové ztráty v případě provozování spalovacích zařízení a blokových tepláren</w:t>
      </w:r>
    </w:p>
    <w:p w:rsidR="00703C97" w:rsidRPr="000736A5" w:rsidRDefault="00703C97" w:rsidP="00703C97">
      <w:pPr>
        <w:pStyle w:val="32InhaltEintragEinzug"/>
        <w:rPr>
          <w:rFonts w:eastAsiaTheme="minorEastAsia"/>
        </w:rPr>
      </w:pPr>
      <w:r>
        <w:tab/>
      </w:r>
      <w:r>
        <w:t xml:space="preserve">§</w:t>
        <w:tab/>
        <w:t xml:space="preserve">8 </w:t>
        <w:tab/>
        <w:tab/>
        <w:t xml:space="preserve">Všeobecně</w:t>
      </w:r>
    </w:p>
    <w:p w:rsidR="00703C97" w:rsidRPr="000736A5" w:rsidRDefault="00703C97" w:rsidP="00703C97">
      <w:pPr>
        <w:pStyle w:val="32InhaltEintragEinzug"/>
        <w:rPr>
          <w:rFonts w:eastAsiaTheme="minorEastAsia"/>
        </w:rPr>
      </w:pPr>
      <w:r>
        <w:tab/>
      </w:r>
      <w:r>
        <w:t xml:space="preserve">§</w:t>
        <w:tab/>
        <w:t xml:space="preserve">9 </w:t>
        <w:tab/>
        <w:tab/>
        <w:t xml:space="preserve">Topná zařízení se tepelným výkonem paliva pod 100 kW</w:t>
      </w:r>
    </w:p>
    <w:p w:rsidR="00703C97" w:rsidRPr="000736A5" w:rsidRDefault="00703C97" w:rsidP="00703C97">
      <w:pPr>
        <w:pStyle w:val="32InhaltEintragEinzug"/>
        <w:rPr>
          <w:rFonts w:eastAsiaTheme="minorEastAsia"/>
        </w:rPr>
      </w:pPr>
      <w:r>
        <w:tab/>
      </w:r>
      <w:r>
        <w:t xml:space="preserve">§</w:t>
        <w:tab/>
        <w:t xml:space="preserve">10 </w:t>
        <w:tab/>
        <w:t xml:space="preserve">Spalovací zařízení s tepelným výkonem paliva od 100 kW</w:t>
      </w:r>
    </w:p>
    <w:p w:rsidR="00703C97" w:rsidRPr="000736A5" w:rsidRDefault="00703C97" w:rsidP="00703C97">
      <w:pPr>
        <w:pStyle w:val="32InhaltEintragEinzug"/>
      </w:pPr>
      <w:r>
        <w:tab/>
      </w:r>
      <w:r>
        <w:t xml:space="preserve">§</w:t>
        <w:tab/>
        <w:t xml:space="preserve">11 </w:t>
        <w:tab/>
        <w:t xml:space="preserve">Blokové teplárny (včetně motorových a plynových turbín)</w:t>
      </w:r>
    </w:p>
    <w:p w:rsidR="00703C97" w:rsidRPr="000736A5" w:rsidRDefault="00703C97" w:rsidP="00703C97">
      <w:pPr>
        <w:pStyle w:val="32InhaltEintragEinzug"/>
        <w:rPr>
          <w:rFonts w:eastAsiaTheme="minorEastAsia"/>
        </w:rPr>
      </w:pPr>
      <w:r>
        <w:tab/>
      </w:r>
      <w:r>
        <w:t xml:space="preserve">§</w:t>
        <w:tab/>
        <w:t xml:space="preserve">11a </w:t>
        <w:tab/>
        <w:t xml:space="preserve">Středně velká spalovací zařízení</w:t>
      </w:r>
    </w:p>
    <w:p w:rsidR="00703C97" w:rsidRPr="000736A5" w:rsidRDefault="00703C97" w:rsidP="00703C97">
      <w:pPr>
        <w:pStyle w:val="31InhaltSpalte"/>
        <w:rPr>
          <w:rFonts w:eastAsiaTheme="minorEastAsia"/>
        </w:rPr>
      </w:pPr>
      <w:r>
        <w:t xml:space="preserve">4. oddíl</w:t>
        <w:br/>
        <w:t xml:space="preserve">Topiva a paliva</w:t>
      </w:r>
    </w:p>
    <w:p w:rsidR="00703C97" w:rsidRPr="000736A5" w:rsidRDefault="00703C97" w:rsidP="00703C97">
      <w:pPr>
        <w:pStyle w:val="32InhaltEintragEinzug"/>
      </w:pPr>
      <w:r>
        <w:tab/>
      </w:r>
      <w:r>
        <w:t xml:space="preserve">§</w:t>
        <w:tab/>
        <w:t xml:space="preserve">12 </w:t>
        <w:tab/>
        <w:t xml:space="preserve">Přípustná topiva a paliva</w:t>
      </w:r>
    </w:p>
    <w:p w:rsidR="00703C97" w:rsidRPr="000736A5" w:rsidRDefault="00703C97" w:rsidP="00703C97">
      <w:pPr>
        <w:pStyle w:val="32InhaltEintragEinzug"/>
        <w:rPr>
          <w:rFonts w:eastAsiaTheme="minorEastAsia"/>
        </w:rPr>
      </w:pPr>
      <w:r>
        <w:tab/>
      </w:r>
      <w:r>
        <w:t xml:space="preserve">§</w:t>
        <w:tab/>
        <w:t xml:space="preserve">13 </w:t>
        <w:tab/>
        <w:t xml:space="preserve">Skladování pevných paliv</w:t>
      </w:r>
    </w:p>
    <w:p w:rsidR="00703C97" w:rsidRPr="000736A5" w:rsidRDefault="00703C97" w:rsidP="00703C97">
      <w:pPr>
        <w:pStyle w:val="31InhaltSpalte"/>
        <w:rPr>
          <w:rFonts w:eastAsiaTheme="minorEastAsia"/>
        </w:rPr>
      </w:pPr>
      <w:r>
        <w:t xml:space="preserve">5. oddíl</w:t>
        <w:br/>
        <w:t xml:space="preserve">Kontroly spalovacích zařízení a blokových tepláren v provozu</w:t>
      </w:r>
    </w:p>
    <w:p w:rsidR="00703C97" w:rsidRPr="000736A5" w:rsidRDefault="00703C97" w:rsidP="00703C97">
      <w:pPr>
        <w:pStyle w:val="32InhaltEintragEinzug"/>
        <w:rPr>
          <w:rFonts w:eastAsiaTheme="minorEastAsia"/>
        </w:rPr>
      </w:pPr>
      <w:r>
        <w:tab/>
      </w:r>
      <w:r>
        <w:t xml:space="preserve">§</w:t>
        <w:tab/>
        <w:t xml:space="preserve">14 </w:t>
        <w:tab/>
        <w:t xml:space="preserve">Kontrola spalovacích zařízení a blokových tepláren</w:t>
      </w:r>
    </w:p>
    <w:p w:rsidR="00703C97" w:rsidRPr="000736A5" w:rsidRDefault="00703C97" w:rsidP="00703C97">
      <w:pPr>
        <w:pStyle w:val="32InhaltEintragEinzug"/>
        <w:rPr>
          <w:rFonts w:eastAsiaTheme="minorEastAsia"/>
        </w:rPr>
      </w:pPr>
      <w:r>
        <w:tab/>
      </w:r>
      <w:r>
        <w:t xml:space="preserve">§</w:t>
        <w:tab/>
        <w:t xml:space="preserve">15 </w:t>
        <w:tab/>
        <w:t xml:space="preserve">Jednoduchá kontrola (měření spalin)</w:t>
      </w:r>
    </w:p>
    <w:p w:rsidR="00703C97" w:rsidRPr="000736A5" w:rsidRDefault="00703C97" w:rsidP="00703C97">
      <w:pPr>
        <w:pStyle w:val="32InhaltEintragEinzug"/>
      </w:pPr>
      <w:r>
        <w:tab/>
      </w:r>
      <w:r>
        <w:t xml:space="preserve">§</w:t>
        <w:tab/>
        <w:t xml:space="preserve">16 </w:t>
        <w:tab/>
        <w:t xml:space="preserve">Rozsáhlá kontrola</w:t>
      </w:r>
    </w:p>
    <w:p w:rsidR="00703C97" w:rsidRPr="000736A5" w:rsidRDefault="00703C97" w:rsidP="00703C97">
      <w:pPr>
        <w:pStyle w:val="32InhaltEintragEinzug"/>
        <w:rPr>
          <w:rFonts w:eastAsiaTheme="minorEastAsia"/>
        </w:rPr>
      </w:pPr>
      <w:r>
        <w:tab/>
      </w:r>
      <w:r>
        <w:t xml:space="preserve">§</w:t>
        <w:tab/>
        <w:t xml:space="preserve">17 </w:t>
        <w:tab/>
        <w:t xml:space="preserve">Průběžné sledování</w:t>
      </w:r>
    </w:p>
    <w:p w:rsidR="00703C97" w:rsidRPr="000736A5" w:rsidRDefault="00703C97" w:rsidP="00703C97">
      <w:pPr>
        <w:pStyle w:val="32InhaltEintragEinzug"/>
        <w:rPr>
          <w:rFonts w:eastAsiaTheme="minorEastAsia"/>
        </w:rPr>
      </w:pPr>
      <w:r>
        <w:tab/>
      </w:r>
      <w:r>
        <w:t xml:space="preserve">§</w:t>
        <w:tab/>
        <w:t xml:space="preserve">18 </w:t>
        <w:tab/>
        <w:t xml:space="preserve">Mimořádná kontrola</w:t>
      </w:r>
    </w:p>
    <w:p w:rsidR="00703C97" w:rsidRPr="000736A5" w:rsidRDefault="00703C97" w:rsidP="00703C97">
      <w:pPr>
        <w:pStyle w:val="32InhaltEintragEinzug"/>
      </w:pPr>
      <w:r>
        <w:tab/>
      </w:r>
      <w:r>
        <w:t xml:space="preserve">§</w:t>
        <w:tab/>
        <w:t xml:space="preserve">19 </w:t>
        <w:tab/>
        <w:t xml:space="preserve">Pravidelná inspekce (kontrola energetické efektivnosti)</w:t>
      </w:r>
    </w:p>
    <w:p w:rsidR="00703C97" w:rsidRPr="000736A5" w:rsidRDefault="00703C97" w:rsidP="00703C97">
      <w:pPr>
        <w:pStyle w:val="32InhaltEintragEinzug"/>
      </w:pPr>
      <w:r>
        <w:tab/>
      </w:r>
      <w:r>
        <w:t xml:space="preserve">§</w:t>
        <w:tab/>
        <w:t xml:space="preserve">20 </w:t>
        <w:tab/>
        <w:t xml:space="preserve">Nezávislý kontrolní systém</w:t>
      </w:r>
    </w:p>
    <w:p w:rsidR="00703C97" w:rsidRPr="000736A5" w:rsidRDefault="00703C97" w:rsidP="00703C97">
      <w:pPr>
        <w:pStyle w:val="32InhaltEintragEinzug"/>
        <w:rPr>
          <w:rFonts w:eastAsiaTheme="minorEastAsia"/>
        </w:rPr>
      </w:pPr>
      <w:r>
        <w:tab/>
      </w:r>
      <w:r>
        <w:t xml:space="preserve">§</w:t>
        <w:tab/>
        <w:t xml:space="preserve">21 </w:t>
        <w:tab/>
        <w:t xml:space="preserve">Sanace</w:t>
      </w:r>
      <w:r>
        <w:t xml:space="preserve"> </w:t>
      </w:r>
    </w:p>
    <w:p w:rsidR="00703C97" w:rsidRPr="000736A5" w:rsidRDefault="00703C97" w:rsidP="00703C97">
      <w:pPr>
        <w:pStyle w:val="32InhaltEintragEinzug"/>
        <w:rPr>
          <w:rFonts w:eastAsiaTheme="minorEastAsia"/>
        </w:rPr>
      </w:pPr>
      <w:r>
        <w:tab/>
      </w:r>
      <w:r>
        <w:t xml:space="preserve">§</w:t>
        <w:tab/>
        <w:t xml:space="preserve">22 </w:t>
        <w:tab/>
        <w:t xml:space="preserve">Úhrada</w:t>
      </w:r>
    </w:p>
    <w:p w:rsidR="00703C97" w:rsidRPr="000736A5" w:rsidRDefault="00703C97" w:rsidP="00703C97">
      <w:pPr>
        <w:pStyle w:val="31InhaltSpalte"/>
        <w:rPr>
          <w:rFonts w:eastAsiaTheme="minorEastAsia"/>
        </w:rPr>
      </w:pPr>
      <w:r>
        <w:t xml:space="preserve">6. oddíl </w:t>
        <w:br/>
        <w:t xml:space="preserve">Závěrečná ustanovení</w:t>
      </w:r>
    </w:p>
    <w:p w:rsidR="00703C97" w:rsidRPr="000736A5" w:rsidRDefault="00703C97" w:rsidP="00703C97">
      <w:pPr>
        <w:pStyle w:val="32InhaltEintragEinzug"/>
        <w:rPr>
          <w:rFonts w:eastAsiaTheme="minorEastAsia"/>
        </w:rPr>
      </w:pPr>
      <w:r>
        <w:tab/>
      </w:r>
      <w:r>
        <w:t xml:space="preserve">§</w:t>
        <w:tab/>
        <w:t xml:space="preserve">23 </w:t>
        <w:tab/>
        <w:t xml:space="preserve">Nabytí platnosti</w:t>
      </w:r>
    </w:p>
    <w:p w:rsidR="00703C97" w:rsidRPr="000736A5" w:rsidRDefault="00703C97" w:rsidP="00703C97">
      <w:pPr>
        <w:pStyle w:val="32InhaltEintragEinzug"/>
        <w:rPr>
          <w:rFonts w:eastAsiaTheme="minorEastAsia"/>
        </w:rPr>
      </w:pPr>
      <w:r>
        <w:tab/>
      </w:r>
      <w:r>
        <w:t xml:space="preserve">§</w:t>
        <w:tab/>
        <w:t xml:space="preserve">23a </w:t>
        <w:tab/>
        <w:t xml:space="preserve">Odkazy</w:t>
      </w:r>
    </w:p>
    <w:p w:rsidR="00703C97" w:rsidRPr="000736A5" w:rsidRDefault="00703C97" w:rsidP="00703C97">
      <w:pPr>
        <w:pStyle w:val="32InhaltEintragEinzug"/>
      </w:pPr>
      <w:r>
        <w:tab/>
      </w:r>
      <w:r>
        <w:t xml:space="preserve">§</w:t>
        <w:tab/>
        <w:t xml:space="preserve">24 </w:t>
        <w:tab/>
        <w:t xml:space="preserve">Notifikační odkaz</w:t>
      </w:r>
    </w:p>
    <w:p w:rsidR="00703C97" w:rsidRPr="000736A5" w:rsidRDefault="00703C97" w:rsidP="00703C97">
      <w:pPr>
        <w:pStyle w:val="32InhaltEintragEinzug"/>
      </w:pPr>
      <w:r>
        <w:tab/>
        <w:tab/>
      </w:r>
      <w:r>
        <w:t xml:space="preserve">Příloha 1 </w:t>
        <w:tab/>
        <w:tab/>
        <w:t xml:space="preserve">Datový list zařízení</w:t>
      </w:r>
    </w:p>
    <w:p w:rsidR="00703C97" w:rsidRPr="000736A5" w:rsidRDefault="00703C97" w:rsidP="00703C97">
      <w:pPr>
        <w:pStyle w:val="32InhaltEintragEinzug"/>
      </w:pPr>
      <w:r>
        <w:tab/>
        <w:tab/>
      </w:r>
      <w:r>
        <w:t xml:space="preserve">Příloha 2a, 2b, 2c </w:t>
        <w:tab/>
        <w:t xml:space="preserve">Kontrolní zprávy</w:t>
      </w:r>
    </w:p>
    <w:p w:rsidR="00703C97" w:rsidRPr="000736A5" w:rsidRDefault="00703C97" w:rsidP="00703C97">
      <w:pPr>
        <w:pStyle w:val="32InhaltEintragEinzug"/>
      </w:pPr>
      <w:r>
        <w:tab/>
        <w:tab/>
      </w:r>
      <w:r>
        <w:t xml:space="preserve">Příloha 3 </w:t>
        <w:tab/>
        <w:tab/>
        <w:t xml:space="preserve">Inspekční zpráva</w:t>
      </w:r>
    </w:p>
    <w:p w:rsidR="00703C97" w:rsidRPr="000736A5" w:rsidRDefault="00703C97" w:rsidP="00703C97">
      <w:pPr>
        <w:pStyle w:val="32InhaltEintragEinzug"/>
      </w:pPr>
      <w:r>
        <w:tab/>
        <w:tab/>
      </w:r>
      <w:r>
        <w:t xml:space="preserve">Příloha 4 </w:t>
        <w:tab/>
        <w:tab/>
        <w:t xml:space="preserve">Předpis kalkulace - různá pravidla</w:t>
      </w:r>
    </w:p>
    <w:p w:rsidR="00703C97" w:rsidRPr="000736A5" w:rsidRDefault="00703C97" w:rsidP="00703C97">
      <w:pPr>
        <w:pStyle w:val="32InhaltEintragEinzug"/>
      </w:pPr>
      <w:r>
        <w:tab/>
        <w:tab/>
      </w:r>
      <w:r>
        <w:t xml:space="preserve">Příloha 5 </w:t>
        <w:tab/>
        <w:tab/>
        <w:t xml:space="preserve">Kmenová data“</w:t>
      </w:r>
    </w:p>
    <w:p w:rsidR="00703C97" w:rsidRPr="000736A5" w:rsidRDefault="00703C97" w:rsidP="00703C97">
      <w:pPr>
        <w:pStyle w:val="21NovAo1"/>
      </w:pPr>
      <w:r>
        <w:t xml:space="preserve">2.</w:t>
      </w:r>
      <w:r>
        <w:t xml:space="preserve"> </w:t>
      </w:r>
      <w:r>
        <w:t xml:space="preserve">Nadpis 1.</w:t>
      </w:r>
      <w:r>
        <w:t xml:space="preserve"> </w:t>
      </w:r>
      <w:r>
        <w:t xml:space="preserve">odd. zní:</w:t>
      </w:r>
    </w:p>
    <w:p w:rsidR="00703C97" w:rsidRPr="000736A5" w:rsidRDefault="00703C97" w:rsidP="00703C97">
      <w:pPr>
        <w:pStyle w:val="41UeberschrG1"/>
        <w:rPr>
          <w:rFonts w:eastAsiaTheme="minorEastAsia"/>
        </w:rPr>
      </w:pPr>
      <w:r>
        <w:t xml:space="preserve">„Uvádění topných zařízení do oběhu“</w:t>
      </w:r>
    </w:p>
    <w:p w:rsidR="00703C97" w:rsidRPr="000736A5" w:rsidRDefault="00703C97" w:rsidP="00703C97">
      <w:pPr>
        <w:pStyle w:val="21NovAo1"/>
      </w:pPr>
      <w:r>
        <w:t xml:space="preserve">3.</w:t>
      </w:r>
      <w:r>
        <w:t xml:space="preserve"> </w:t>
      </w:r>
      <w:r>
        <w:t xml:space="preserve">§ 1 zní:</w:t>
      </w:r>
    </w:p>
    <w:p w:rsidR="00703C97" w:rsidRPr="000736A5" w:rsidRDefault="00703C97" w:rsidP="00703C97">
      <w:pPr>
        <w:pStyle w:val="45UeberschrPara"/>
      </w:pPr>
      <w:r>
        <w:t xml:space="preserve">„§ 1</w:t>
        <w:br/>
        <w:t xml:space="preserve">Předpoklady</w:t>
      </w:r>
    </w:p>
    <w:p w:rsidR="00703C97" w:rsidRPr="000736A5" w:rsidRDefault="00703C97" w:rsidP="00703C97">
      <w:pPr>
        <w:pStyle w:val="51Abs"/>
      </w:pPr>
      <w:r>
        <w:t xml:space="preserve">Topná zařízení do jmenovitého tepelného výkonu 400 kW a jejich podstatné konstrukční části smí být uváděny do provozu, zabudována a provozována, pokud splňují požadavky tohoto oddílu.“</w:t>
      </w:r>
    </w:p>
    <w:p w:rsidR="00703C97" w:rsidRPr="000736A5" w:rsidRDefault="00703C97" w:rsidP="004C7EAB">
      <w:pPr>
        <w:pStyle w:val="21NovAo1"/>
      </w:pPr>
      <w:r>
        <w:t xml:space="preserve">4.</w:t>
      </w:r>
      <w:r>
        <w:t xml:space="preserve"> </w:t>
      </w:r>
      <w:r>
        <w:t xml:space="preserve">§ 2 zní:</w:t>
      </w:r>
      <w:r>
        <w:t xml:space="preserve"> </w:t>
      </w:r>
    </w:p>
    <w:p w:rsidR="00703C97" w:rsidRPr="000736A5" w:rsidRDefault="00703C97" w:rsidP="004C7EAB">
      <w:pPr>
        <w:pStyle w:val="45UeberschrPara"/>
      </w:pPr>
      <w:r>
        <w:t xml:space="preserve">„§ 2</w:t>
        <w:br/>
        <w:t xml:space="preserve">Emisní mezní hodnoty pro uvádění do oběhu</w:t>
      </w:r>
    </w:p>
    <w:p w:rsidR="00703C97" w:rsidRPr="000736A5" w:rsidRDefault="00703C97" w:rsidP="004C7EAB">
      <w:pPr>
        <w:pStyle w:val="51Abs"/>
        <w:keepNext/>
      </w:pPr>
      <w:r>
        <w:t xml:space="preserve">Topná zařízení do jmenovitého tepelného výkonu do 400 kW nesmí za zkušebních podmínek § 4 za provozu dle řádného určení překračovat následující emisní hodnoty:</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Topná zařízení na pevná paliva s ručním přikládáním:</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15"/>
        <w:gridCol w:w="1416"/>
        <w:gridCol w:w="1421"/>
        <w:gridCol w:w="1985"/>
        <w:gridCol w:w="1559"/>
      </w:tblGrid>
      <w:tr w:rsidR="00703C97" w:rsidRPr="000736A5" w:rsidTr="00E97CAD">
        <w:tc>
          <w:tcPr>
            <w:tcW w:w="1300" w:type="dxa"/>
            <w:vMerge w:val="restart"/>
            <w:hideMark/>
          </w:tcPr>
          <w:p w:rsidR="00703C97" w:rsidRPr="000736A5" w:rsidRDefault="00703C97" w:rsidP="004C7EAB">
            <w:pPr>
              <w:pStyle w:val="61TabText"/>
              <w:keepNext/>
              <w:rPr>
                <w:b/>
              </w:rPr>
            </w:pPr>
            <w:r>
              <w:rPr>
                <w:b/>
              </w:rPr>
              <w:t xml:space="preserve">Parametr</w:t>
            </w:r>
          </w:p>
        </w:tc>
        <w:tc>
          <w:tcPr>
            <w:tcW w:w="7796" w:type="dxa"/>
            <w:gridSpan w:val="5"/>
            <w:hideMark/>
          </w:tcPr>
          <w:p w:rsidR="00703C97" w:rsidRPr="000736A5" w:rsidRDefault="00703C97" w:rsidP="004C7EAB">
            <w:pPr>
              <w:pStyle w:val="61bTabTextZentriert"/>
              <w:keepNext/>
              <w:rPr>
                <w:b/>
              </w:rPr>
            </w:pPr>
            <w:r>
              <w:rPr>
                <w:b/>
              </w:rPr>
              <w:t xml:space="preserve">Mezní hodnoty emisí (mg/MJ)</w:t>
            </w:r>
          </w:p>
        </w:tc>
      </w:tr>
      <w:tr w:rsidR="00703C97" w:rsidRPr="000736A5" w:rsidTr="00E97CAD">
        <w:tc>
          <w:tcPr>
            <w:tcW w:w="1300" w:type="dxa"/>
            <w:vMerge/>
            <w:vAlign w:val="center"/>
            <w:hideMark/>
          </w:tcPr>
          <w:p w:rsidR="00703C97" w:rsidRPr="000736A5" w:rsidRDefault="00703C97" w:rsidP="004C7EAB">
            <w:pPr>
              <w:pStyle w:val="09Abstand"/>
              <w:keepNext/>
              <w:rPr>
                <w:b/>
              </w:rPr>
            </w:pPr>
          </w:p>
        </w:tc>
        <w:tc>
          <w:tcPr>
            <w:tcW w:w="4252" w:type="dxa"/>
            <w:gridSpan w:val="3"/>
            <w:hideMark/>
          </w:tcPr>
          <w:p w:rsidR="00703C97" w:rsidRPr="000736A5" w:rsidRDefault="00703C97" w:rsidP="004C7EAB">
            <w:pPr>
              <w:pStyle w:val="61bTabTextZentriert"/>
              <w:keepNext/>
              <w:rPr>
                <w:b/>
                <w:strike/>
              </w:rPr>
            </w:pPr>
            <w:r>
              <w:rPr>
                <w:b/>
              </w:rPr>
              <w:t xml:space="preserve">dřevěná paliva</w:t>
            </w:r>
          </w:p>
        </w:tc>
        <w:tc>
          <w:tcPr>
            <w:tcW w:w="3544" w:type="dxa"/>
            <w:gridSpan w:val="2"/>
            <w:hideMark/>
          </w:tcPr>
          <w:p w:rsidR="00703C97" w:rsidRPr="000736A5" w:rsidRDefault="00703C97" w:rsidP="004C7EAB">
            <w:pPr>
              <w:pStyle w:val="61bTabTextZentriert"/>
              <w:keepNext/>
              <w:rPr>
                <w:b/>
              </w:rPr>
            </w:pPr>
            <w:r>
              <w:rPr>
                <w:b/>
              </w:rPr>
              <w:t xml:space="preserve">fosilní paliva</w:t>
            </w:r>
            <w:r>
              <w:rPr>
                <w:b/>
              </w:rPr>
              <w:t xml:space="preserve"> </w:t>
            </w:r>
          </w:p>
        </w:tc>
      </w:tr>
      <w:tr w:rsidR="00703C97" w:rsidRPr="000736A5" w:rsidTr="00E97CAD">
        <w:tc>
          <w:tcPr>
            <w:tcW w:w="1300" w:type="dxa"/>
          </w:tcPr>
          <w:p w:rsidR="00703C97" w:rsidRPr="000736A5" w:rsidRDefault="00703C97" w:rsidP="00E97CAD">
            <w:pPr>
              <w:pStyle w:val="09Abstand"/>
            </w:pPr>
          </w:p>
        </w:tc>
        <w:tc>
          <w:tcPr>
            <w:tcW w:w="1415" w:type="dxa"/>
            <w:hideMark/>
          </w:tcPr>
          <w:p w:rsidR="00703C97" w:rsidRPr="000736A5" w:rsidRDefault="00703C97" w:rsidP="00E97CAD">
            <w:pPr>
              <w:pStyle w:val="61bTabTextZentriert"/>
            </w:pPr>
            <w:r>
              <w:t xml:space="preserve">Topná zařízení pro jednotlivé místnosti*</w:t>
            </w:r>
          </w:p>
        </w:tc>
        <w:tc>
          <w:tcPr>
            <w:tcW w:w="1416" w:type="dxa"/>
            <w:hideMark/>
          </w:tcPr>
          <w:p w:rsidR="00703C97" w:rsidRPr="000736A5" w:rsidRDefault="00703C97" w:rsidP="00E97CAD">
            <w:pPr>
              <w:pStyle w:val="61bTabTextZentriert"/>
            </w:pPr>
            <w:r>
              <w:t xml:space="preserve">Topná zařízení pro vytápění prostor*</w:t>
            </w:r>
          </w:p>
        </w:tc>
        <w:tc>
          <w:tcPr>
            <w:tcW w:w="1421" w:type="dxa"/>
            <w:hideMark/>
          </w:tcPr>
          <w:p w:rsidR="00703C97" w:rsidRPr="000736A5" w:rsidRDefault="00703C97" w:rsidP="00E97CAD">
            <w:pPr>
              <w:pStyle w:val="61bTabTextZentriert"/>
              <w:rPr>
                <w:strike/>
              </w:rPr>
            </w:pPr>
            <w:r>
              <w:t xml:space="preserve">Lokální kamna a sporáky</w:t>
            </w:r>
          </w:p>
        </w:tc>
        <w:tc>
          <w:tcPr>
            <w:tcW w:w="1985" w:type="dxa"/>
            <w:hideMark/>
          </w:tcPr>
          <w:p w:rsidR="00703C97" w:rsidRPr="000736A5" w:rsidRDefault="00703C97" w:rsidP="00E97CAD">
            <w:pPr>
              <w:pStyle w:val="61bTabTextZentriert"/>
            </w:pPr>
            <w:r>
              <w:t xml:space="preserve">Se jmenovitým tepelným výkonem pod 50 kW*</w:t>
            </w:r>
          </w:p>
        </w:tc>
        <w:tc>
          <w:tcPr>
            <w:tcW w:w="1559" w:type="dxa"/>
            <w:hideMark/>
          </w:tcPr>
          <w:p w:rsidR="00703C97" w:rsidRPr="000736A5" w:rsidRDefault="00703C97" w:rsidP="00E97CAD">
            <w:pPr>
              <w:pStyle w:val="61bTabTextZentriert"/>
            </w:pPr>
            <w:r>
              <w:t xml:space="preserve">Se jmenovitým tepelným výkonem od 50 kW*</w:t>
            </w:r>
          </w:p>
        </w:tc>
      </w:tr>
      <w:tr w:rsidR="00703C97" w:rsidRPr="000736A5" w:rsidTr="00E97CAD">
        <w:tc>
          <w:tcPr>
            <w:tcW w:w="1300" w:type="dxa"/>
            <w:hideMark/>
          </w:tcPr>
          <w:p w:rsidR="00703C97" w:rsidRPr="000736A5" w:rsidRDefault="00703C97" w:rsidP="00E97CAD">
            <w:pPr>
              <w:pStyle w:val="61TabText"/>
            </w:pPr>
            <w:r>
              <w:t xml:space="preserve">CO</w:t>
            </w:r>
          </w:p>
        </w:tc>
        <w:tc>
          <w:tcPr>
            <w:tcW w:w="1415" w:type="dxa"/>
            <w:hideMark/>
          </w:tcPr>
          <w:p w:rsidR="00703C97" w:rsidRPr="000736A5" w:rsidRDefault="00703C97" w:rsidP="00E97CAD">
            <w:pPr>
              <w:pStyle w:val="61bTabTextZentriert"/>
            </w:pPr>
            <w:r>
              <w:t xml:space="preserve">1100</w:t>
            </w:r>
          </w:p>
        </w:tc>
        <w:tc>
          <w:tcPr>
            <w:tcW w:w="1416" w:type="dxa"/>
            <w:hideMark/>
          </w:tcPr>
          <w:p w:rsidR="00703C97" w:rsidRPr="000736A5" w:rsidRDefault="00703C97" w:rsidP="00E97CAD">
            <w:pPr>
              <w:pStyle w:val="61bTabTextZentriert"/>
            </w:pPr>
            <w:r>
              <w:t xml:space="preserve">500</w:t>
            </w:r>
          </w:p>
        </w:tc>
        <w:tc>
          <w:tcPr>
            <w:tcW w:w="1421" w:type="dxa"/>
            <w:hideMark/>
          </w:tcPr>
          <w:p w:rsidR="00703C97" w:rsidRPr="000736A5" w:rsidRDefault="00703C97" w:rsidP="00E97CAD">
            <w:pPr>
              <w:pStyle w:val="61bTabTextZentriert"/>
            </w:pPr>
            <w:r>
              <w:t xml:space="preserve">1100</w:t>
            </w:r>
          </w:p>
        </w:tc>
        <w:tc>
          <w:tcPr>
            <w:tcW w:w="1985" w:type="dxa"/>
          </w:tcPr>
          <w:p w:rsidR="00703C97" w:rsidRPr="000736A5" w:rsidRDefault="00703C97" w:rsidP="00E97CAD">
            <w:pPr>
              <w:pStyle w:val="61bTabTextZentriert"/>
            </w:pPr>
            <w:r>
              <w:t xml:space="preserve">1100</w:t>
            </w:r>
          </w:p>
        </w:tc>
        <w:tc>
          <w:tcPr>
            <w:tcW w:w="1559" w:type="dxa"/>
            <w:hideMark/>
          </w:tcPr>
          <w:p w:rsidR="00703C97" w:rsidRPr="000736A5" w:rsidRDefault="00703C97" w:rsidP="00E97CAD">
            <w:pPr>
              <w:pStyle w:val="61bTabTextZentriert"/>
            </w:pPr>
            <w:r>
              <w:t xml:space="preserve">500</w:t>
            </w:r>
          </w:p>
        </w:tc>
      </w:tr>
      <w:tr w:rsidR="00703C97" w:rsidRPr="000736A5" w:rsidTr="00E97CAD">
        <w:tc>
          <w:tcPr>
            <w:tcW w:w="1300" w:type="dxa"/>
            <w:hideMark/>
          </w:tcPr>
          <w:p w:rsidR="00703C97" w:rsidRPr="000736A5" w:rsidRDefault="00703C97" w:rsidP="00E97CAD">
            <w:pPr>
              <w:pStyle w:val="61TabText"/>
            </w:pPr>
            <w:r>
              <w:t xml:space="preserve">NO</w:t>
            </w:r>
            <w:r>
              <w:rPr>
                <w:vertAlign w:val="subscript"/>
              </w:rPr>
              <w:t xml:space="preserve">x</w:t>
            </w:r>
          </w:p>
        </w:tc>
        <w:tc>
          <w:tcPr>
            <w:tcW w:w="1415" w:type="dxa"/>
            <w:hideMark/>
          </w:tcPr>
          <w:p w:rsidR="00703C97" w:rsidRPr="000736A5" w:rsidRDefault="00703C97" w:rsidP="00E97CAD">
            <w:pPr>
              <w:pStyle w:val="61bTabTextZentriert"/>
            </w:pPr>
            <w:r>
              <w:t xml:space="preserve">150</w:t>
            </w:r>
          </w:p>
        </w:tc>
        <w:tc>
          <w:tcPr>
            <w:tcW w:w="1416" w:type="dxa"/>
            <w:hideMark/>
          </w:tcPr>
          <w:p w:rsidR="00703C97" w:rsidRPr="000736A5" w:rsidRDefault="00703C97" w:rsidP="00E97CAD">
            <w:pPr>
              <w:pStyle w:val="61bTabTextZentriert"/>
            </w:pPr>
            <w:r>
              <w:t xml:space="preserve">100</w:t>
            </w:r>
          </w:p>
        </w:tc>
        <w:tc>
          <w:tcPr>
            <w:tcW w:w="1421" w:type="dxa"/>
            <w:hideMark/>
          </w:tcPr>
          <w:p w:rsidR="00703C97" w:rsidRPr="000736A5" w:rsidRDefault="00703C97" w:rsidP="00E97CAD">
            <w:pPr>
              <w:pStyle w:val="61bTabTextZentriert"/>
            </w:pPr>
            <w:r>
              <w:t xml:space="preserve">150</w:t>
            </w:r>
          </w:p>
        </w:tc>
        <w:tc>
          <w:tcPr>
            <w:tcW w:w="1985" w:type="dxa"/>
            <w:tcBorders>
              <w:top w:val="nil"/>
            </w:tcBorders>
          </w:tcPr>
          <w:p w:rsidR="00703C97" w:rsidRPr="000736A5" w:rsidRDefault="00703C97" w:rsidP="00E97CAD">
            <w:pPr>
              <w:pStyle w:val="61bTabTextZentriert"/>
            </w:pPr>
            <w:r>
              <w:t xml:space="preserve">100</w:t>
            </w:r>
          </w:p>
        </w:tc>
        <w:tc>
          <w:tcPr>
            <w:tcW w:w="1559" w:type="dxa"/>
            <w:hideMark/>
          </w:tcPr>
          <w:p w:rsidR="00703C97" w:rsidRPr="000736A5" w:rsidRDefault="00703C97" w:rsidP="00E97CAD">
            <w:pPr>
              <w:pStyle w:val="61bTabTextZentriert"/>
            </w:pPr>
            <w:r>
              <w:t xml:space="preserve">100</w:t>
            </w:r>
          </w:p>
        </w:tc>
      </w:tr>
      <w:tr w:rsidR="00703C97" w:rsidRPr="000736A5" w:rsidTr="00E97CAD">
        <w:tc>
          <w:tcPr>
            <w:tcW w:w="1300" w:type="dxa"/>
            <w:hideMark/>
          </w:tcPr>
          <w:p w:rsidR="00703C97" w:rsidRPr="000736A5" w:rsidRDefault="00703C97" w:rsidP="00E97CAD">
            <w:pPr>
              <w:pStyle w:val="61TabText"/>
            </w:pPr>
            <w:r>
              <w:t xml:space="preserve">OGC</w:t>
            </w:r>
          </w:p>
        </w:tc>
        <w:tc>
          <w:tcPr>
            <w:tcW w:w="1415" w:type="dxa"/>
            <w:hideMark/>
          </w:tcPr>
          <w:p w:rsidR="00703C97" w:rsidRPr="000736A5" w:rsidRDefault="00703C97" w:rsidP="00E97CAD">
            <w:pPr>
              <w:pStyle w:val="61bTabTextZentriert"/>
              <w:rPr>
                <w:strike/>
              </w:rPr>
            </w:pPr>
            <w:r>
              <w:t xml:space="preserve">80</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50</w:t>
            </w:r>
          </w:p>
        </w:tc>
        <w:tc>
          <w:tcPr>
            <w:tcW w:w="1985" w:type="dxa"/>
            <w:tcBorders>
              <w:top w:val="nil"/>
            </w:tcBorders>
          </w:tcPr>
          <w:p w:rsidR="00703C97" w:rsidRPr="000736A5" w:rsidRDefault="00703C97" w:rsidP="00E97CAD">
            <w:pPr>
              <w:pStyle w:val="61bTabTextZentriert"/>
            </w:pPr>
            <w:r>
              <w:t xml:space="preserve">80</w:t>
            </w:r>
          </w:p>
        </w:tc>
        <w:tc>
          <w:tcPr>
            <w:tcW w:w="1559" w:type="dxa"/>
            <w:hideMark/>
          </w:tcPr>
          <w:p w:rsidR="00703C97" w:rsidRPr="000736A5" w:rsidRDefault="00703C97" w:rsidP="00E97CAD">
            <w:pPr>
              <w:pStyle w:val="61bTabTextZentriert"/>
            </w:pPr>
            <w:r>
              <w:t xml:space="preserve">30</w:t>
            </w:r>
          </w:p>
        </w:tc>
      </w:tr>
      <w:tr w:rsidR="00703C97" w:rsidRPr="000736A5" w:rsidTr="00E97CAD">
        <w:tc>
          <w:tcPr>
            <w:tcW w:w="1300" w:type="dxa"/>
            <w:hideMark/>
          </w:tcPr>
          <w:p w:rsidR="00703C97" w:rsidRPr="000736A5" w:rsidRDefault="00703C97" w:rsidP="00E97CAD">
            <w:pPr>
              <w:pStyle w:val="61TabText"/>
            </w:pPr>
            <w:r>
              <w:t xml:space="preserve">Prach</w:t>
            </w:r>
          </w:p>
        </w:tc>
        <w:tc>
          <w:tcPr>
            <w:tcW w:w="1415" w:type="dxa"/>
            <w:hideMark/>
          </w:tcPr>
          <w:p w:rsidR="00703C97" w:rsidRPr="000736A5" w:rsidRDefault="00703C97" w:rsidP="00E97CAD">
            <w:pPr>
              <w:pStyle w:val="61bTabTextZentriert"/>
            </w:pPr>
            <w:r>
              <w:t xml:space="preserve">35</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35</w:t>
            </w:r>
          </w:p>
        </w:tc>
        <w:tc>
          <w:tcPr>
            <w:tcW w:w="1985" w:type="dxa"/>
            <w:tcBorders>
              <w:top w:val="nil"/>
            </w:tcBorders>
          </w:tcPr>
          <w:p w:rsidR="00703C97" w:rsidRPr="000736A5" w:rsidRDefault="00703C97" w:rsidP="00E97CAD">
            <w:pPr>
              <w:pStyle w:val="61bTabTextZentriert"/>
            </w:pPr>
            <w:r>
              <w:t xml:space="preserve">35</w:t>
            </w:r>
          </w:p>
        </w:tc>
        <w:tc>
          <w:tcPr>
            <w:tcW w:w="1559" w:type="dxa"/>
            <w:hideMark/>
          </w:tcPr>
          <w:p w:rsidR="00703C97" w:rsidRPr="000736A5" w:rsidRDefault="00703C97" w:rsidP="00E97CAD">
            <w:pPr>
              <w:pStyle w:val="61bTabTextZentriert"/>
            </w:pPr>
            <w:r>
              <w:t xml:space="preserve">35</w:t>
            </w:r>
          </w:p>
        </w:tc>
      </w:tr>
    </w:tbl>
    <w:p w:rsidR="00703C97" w:rsidRPr="000736A5" w:rsidRDefault="00703C97" w:rsidP="00703C97">
      <w:pPr>
        <w:pStyle w:val="58Schlussteile05"/>
      </w:pPr>
      <w:r>
        <w:t xml:space="preserve">* Uvedené hodnoty platí pro topná zařízení pro jednotlivé místnosti do 31. 12. 2021; pro topná zařízení pro vytápění prostor do 31. 12. 2019</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Topná zařízení na pevná paliva a automatickým přikládáním:</w:t>
      </w:r>
    </w:p>
    <w:tbl>
      <w:tblPr>
        <w:tblW w:w="7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26"/>
        <w:gridCol w:w="1921"/>
        <w:gridCol w:w="2190"/>
      </w:tblGrid>
      <w:tr w:rsidR="00703C97" w:rsidRPr="000736A5" w:rsidTr="00133150">
        <w:tc>
          <w:tcPr>
            <w:tcW w:w="1326" w:type="dxa"/>
            <w:vMerge w:val="restart"/>
            <w:hideMark/>
          </w:tcPr>
          <w:p w:rsidR="00703C97" w:rsidRPr="000736A5" w:rsidRDefault="00703C97" w:rsidP="004C7EAB">
            <w:pPr>
              <w:pStyle w:val="61bTabTextZentriert"/>
              <w:keepNext/>
              <w:rPr>
                <w:b/>
              </w:rPr>
            </w:pPr>
            <w:r>
              <w:rPr>
                <w:b/>
              </w:rPr>
              <w:t xml:space="preserve">Parametr</w:t>
            </w:r>
          </w:p>
        </w:tc>
        <w:tc>
          <w:tcPr>
            <w:tcW w:w="6237" w:type="dxa"/>
            <w:gridSpan w:val="3"/>
            <w:hideMark/>
          </w:tcPr>
          <w:p w:rsidR="00703C97" w:rsidRPr="000736A5" w:rsidRDefault="00703C97" w:rsidP="004C7EAB">
            <w:pPr>
              <w:pStyle w:val="61bTabTextZentriert"/>
              <w:keepNext/>
              <w:rPr>
                <w:b/>
              </w:rPr>
            </w:pPr>
            <w:r>
              <w:rPr>
                <w:b/>
              </w:rPr>
              <w:t xml:space="preserve">Mezní hodnoty emisí (mg/MJ)**</w:t>
            </w:r>
          </w:p>
        </w:tc>
      </w:tr>
      <w:tr w:rsidR="00703C97" w:rsidRPr="000736A5" w:rsidTr="00133150">
        <w:tc>
          <w:tcPr>
            <w:tcW w:w="1326" w:type="dxa"/>
            <w:vMerge/>
            <w:vAlign w:val="center"/>
            <w:hideMark/>
          </w:tcPr>
          <w:p w:rsidR="00703C97" w:rsidRPr="000736A5" w:rsidRDefault="00703C97" w:rsidP="004C7EAB">
            <w:pPr>
              <w:pStyle w:val="09Abstand"/>
              <w:keepNext/>
              <w:rPr>
                <w:b/>
              </w:rPr>
            </w:pPr>
          </w:p>
        </w:tc>
        <w:tc>
          <w:tcPr>
            <w:tcW w:w="2126" w:type="dxa"/>
          </w:tcPr>
          <w:p w:rsidR="00703C97" w:rsidRPr="000736A5" w:rsidRDefault="00703C97" w:rsidP="004C7EAB">
            <w:pPr>
              <w:pStyle w:val="61bTabTextZentriert"/>
              <w:keepNext/>
              <w:rPr>
                <w:b/>
              </w:rPr>
            </w:pPr>
            <w:r>
              <w:rPr>
                <w:b/>
              </w:rPr>
              <w:t xml:space="preserve">Top. zař. na dřev. pelety pro vytápění jedn. místn.</w:t>
            </w:r>
          </w:p>
        </w:tc>
        <w:tc>
          <w:tcPr>
            <w:tcW w:w="1921" w:type="dxa"/>
          </w:tcPr>
          <w:p w:rsidR="00703C97" w:rsidRPr="000736A5" w:rsidRDefault="00703C97" w:rsidP="004C7EAB">
            <w:pPr>
              <w:pStyle w:val="61bTabTextZentriert"/>
              <w:keepNext/>
            </w:pPr>
            <w:r>
              <w:rPr>
                <w:b/>
              </w:rPr>
              <w:t xml:space="preserve">Dřevěné pelety</w:t>
            </w:r>
            <w:r>
              <w:rPr>
                <w:b/>
              </w:rPr>
              <w:t xml:space="preserve"> </w:t>
            </w:r>
          </w:p>
          <w:p w:rsidR="00703C97" w:rsidRPr="000736A5" w:rsidRDefault="00703C97" w:rsidP="004C7EAB">
            <w:pPr>
              <w:pStyle w:val="61bTabTextZentriert"/>
              <w:keepNext/>
              <w:rPr>
                <w:b/>
              </w:rPr>
            </w:pPr>
            <w:r>
              <w:rPr>
                <w:b/>
              </w:rPr>
              <w:t xml:space="preserve">Zařízení pro vytápění místností</w:t>
            </w:r>
          </w:p>
        </w:tc>
        <w:tc>
          <w:tcPr>
            <w:tcW w:w="2190" w:type="dxa"/>
            <w:hideMark/>
          </w:tcPr>
          <w:p w:rsidR="00703C97" w:rsidRPr="000736A5" w:rsidRDefault="00703C97" w:rsidP="004C7EAB">
            <w:pPr>
              <w:pStyle w:val="61bTabTextZentriert"/>
              <w:keepNext/>
              <w:rPr>
                <w:b/>
              </w:rPr>
            </w:pPr>
            <w:r>
              <w:rPr>
                <w:b/>
              </w:rPr>
              <w:t xml:space="preserve">jiná dřevěná paliva</w:t>
            </w:r>
          </w:p>
        </w:tc>
      </w:tr>
      <w:tr w:rsidR="00703C97" w:rsidRPr="000736A5" w:rsidTr="00133150">
        <w:tc>
          <w:tcPr>
            <w:tcW w:w="1326" w:type="dxa"/>
            <w:hideMark/>
          </w:tcPr>
          <w:p w:rsidR="00703C97" w:rsidRPr="000736A5" w:rsidRDefault="00703C97" w:rsidP="00E97CAD">
            <w:pPr>
              <w:pStyle w:val="61TabText"/>
            </w:pPr>
            <w:r>
              <w:t xml:space="preserve">CO</w:t>
            </w:r>
          </w:p>
        </w:tc>
        <w:tc>
          <w:tcPr>
            <w:tcW w:w="2126" w:type="dxa"/>
            <w:hideMark/>
          </w:tcPr>
          <w:p w:rsidR="00703C97" w:rsidRPr="000736A5" w:rsidRDefault="00703C97" w:rsidP="00E97CAD">
            <w:pPr>
              <w:pStyle w:val="61bTabTextZentriert"/>
            </w:pPr>
            <w:r>
              <w:t xml:space="preserve">500*</w:t>
            </w:r>
          </w:p>
        </w:tc>
        <w:tc>
          <w:tcPr>
            <w:tcW w:w="1921" w:type="dxa"/>
            <w:hideMark/>
          </w:tcPr>
          <w:p w:rsidR="00703C97" w:rsidRPr="000736A5" w:rsidRDefault="00703C97" w:rsidP="00E97CAD">
            <w:pPr>
              <w:pStyle w:val="61bTabTextZentriert"/>
            </w:pPr>
            <w:r>
              <w:t xml:space="preserve">250*</w:t>
            </w:r>
          </w:p>
        </w:tc>
        <w:tc>
          <w:tcPr>
            <w:tcW w:w="2190" w:type="dxa"/>
            <w:hideMark/>
          </w:tcPr>
          <w:p w:rsidR="00703C97" w:rsidRPr="000736A5" w:rsidRDefault="00703C97" w:rsidP="00E97CAD">
            <w:pPr>
              <w:pStyle w:val="61bTabTextZentriert"/>
            </w:pPr>
            <w:r>
              <w:t xml:space="preserve">250*</w:t>
            </w:r>
          </w:p>
        </w:tc>
      </w:tr>
      <w:tr w:rsidR="00703C97" w:rsidRPr="000736A5" w:rsidTr="00133150">
        <w:tc>
          <w:tcPr>
            <w:tcW w:w="1326" w:type="dxa"/>
            <w:hideMark/>
          </w:tcPr>
          <w:p w:rsidR="00703C97" w:rsidRPr="000736A5" w:rsidRDefault="00703C97" w:rsidP="00E97CAD">
            <w:pPr>
              <w:pStyle w:val="61TabText"/>
            </w:pPr>
            <w:r>
              <w:t xml:space="preserve">NO</w:t>
            </w:r>
            <w:r>
              <w:rPr>
                <w:vertAlign w:val="subscript"/>
              </w:rPr>
              <w:t xml:space="preserve">x</w:t>
            </w:r>
          </w:p>
        </w:tc>
        <w:tc>
          <w:tcPr>
            <w:tcW w:w="2126" w:type="dxa"/>
            <w:hideMark/>
          </w:tcPr>
          <w:p w:rsidR="00703C97" w:rsidRPr="000736A5" w:rsidRDefault="00703C97" w:rsidP="00E97CAD">
            <w:pPr>
              <w:pStyle w:val="61bTabTextZentriert"/>
            </w:pPr>
            <w:r>
              <w:t xml:space="preserve">100</w:t>
            </w:r>
          </w:p>
        </w:tc>
        <w:tc>
          <w:tcPr>
            <w:tcW w:w="1921" w:type="dxa"/>
            <w:hideMark/>
          </w:tcPr>
          <w:p w:rsidR="00703C97" w:rsidRPr="000736A5" w:rsidRDefault="00703C97" w:rsidP="00E97CAD">
            <w:pPr>
              <w:pStyle w:val="61bTabTextZentriert"/>
            </w:pPr>
            <w:r>
              <w:t xml:space="preserve">100</w:t>
            </w:r>
          </w:p>
        </w:tc>
        <w:tc>
          <w:tcPr>
            <w:tcW w:w="2190" w:type="dxa"/>
            <w:hideMark/>
          </w:tcPr>
          <w:p w:rsidR="00703C97" w:rsidRPr="000736A5" w:rsidRDefault="00703C97" w:rsidP="00E97CAD">
            <w:pPr>
              <w:pStyle w:val="61bTabTextZentriert"/>
            </w:pPr>
            <w:r>
              <w:t xml:space="preserve">100</w:t>
            </w:r>
          </w:p>
        </w:tc>
      </w:tr>
      <w:tr w:rsidR="00703C97" w:rsidRPr="000736A5" w:rsidTr="00133150">
        <w:tc>
          <w:tcPr>
            <w:tcW w:w="1326" w:type="dxa"/>
            <w:hideMark/>
          </w:tcPr>
          <w:p w:rsidR="00703C97" w:rsidRPr="000736A5" w:rsidRDefault="00703C97" w:rsidP="00E97CAD">
            <w:pPr>
              <w:pStyle w:val="61TabText"/>
            </w:pPr>
            <w:r>
              <w:t xml:space="preserve">OGC</w:t>
            </w:r>
          </w:p>
        </w:tc>
        <w:tc>
          <w:tcPr>
            <w:tcW w:w="2126" w:type="dxa"/>
            <w:hideMark/>
          </w:tcPr>
          <w:p w:rsidR="00703C97" w:rsidRPr="000736A5" w:rsidRDefault="00703C97" w:rsidP="00E97CAD">
            <w:pPr>
              <w:pStyle w:val="61bTabTextZentriert"/>
            </w:pPr>
            <w:r>
              <w:t xml:space="preserve">30</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r w:rsidR="00703C97" w:rsidRPr="000736A5" w:rsidTr="00133150">
        <w:tc>
          <w:tcPr>
            <w:tcW w:w="1326" w:type="dxa"/>
            <w:hideMark/>
          </w:tcPr>
          <w:p w:rsidR="00703C97" w:rsidRPr="000736A5" w:rsidRDefault="00703C97" w:rsidP="00E97CAD">
            <w:pPr>
              <w:pStyle w:val="61TabText"/>
            </w:pPr>
            <w:r>
              <w:t xml:space="preserve">Prach</w:t>
            </w:r>
          </w:p>
        </w:tc>
        <w:tc>
          <w:tcPr>
            <w:tcW w:w="2126" w:type="dxa"/>
            <w:hideMark/>
          </w:tcPr>
          <w:p w:rsidR="00703C97" w:rsidRPr="000736A5" w:rsidRDefault="00703C97" w:rsidP="00E97CAD">
            <w:pPr>
              <w:pStyle w:val="61bTabTextZentriert"/>
            </w:pPr>
            <w:r>
              <w:t xml:space="preserve">25</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bl>
    <w:p w:rsidR="00703C97" w:rsidRPr="000736A5" w:rsidRDefault="00703C97" w:rsidP="00703C97">
      <w:pPr>
        <w:pStyle w:val="58Schlussteile05"/>
      </w:pPr>
      <w:r>
        <w:t xml:space="preserve">* Při provozu s částečnou zátěží s 30% jmenovitým tepelným výkonem lze překročit mezní hodnotu o 50 %.</w:t>
      </w:r>
    </w:p>
    <w:p w:rsidR="00703C97" w:rsidRPr="000736A5" w:rsidRDefault="00703C97" w:rsidP="00703C97">
      <w:pPr>
        <w:pStyle w:val="58Schlussteile05"/>
      </w:pPr>
      <w:r>
        <w:t xml:space="preserve">** Uvedené hodnoty platí pro topná zařízení pro jednotlivé místnosti do 31. 12. 2021; pro topná zařízení pro vytápění prostor do 31. 12. 2019</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Topná zařízení na kapalná paliva:</w:t>
      </w:r>
    </w:p>
    <w:tbl>
      <w:tblPr>
        <w:tblW w:w="685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5320"/>
      </w:tblGrid>
      <w:tr w:rsidR="00703C97" w:rsidRPr="000736A5" w:rsidTr="00133150">
        <w:trPr>
          <w:tblHeader/>
        </w:trPr>
        <w:tc>
          <w:tcPr>
            <w:tcW w:w="1534" w:type="dxa"/>
            <w:tcBorders>
              <w:bottom w:val="nil"/>
            </w:tcBorders>
            <w:hideMark/>
          </w:tcPr>
          <w:p w:rsidR="00703C97" w:rsidRPr="000736A5" w:rsidRDefault="00703C97" w:rsidP="004C7EAB">
            <w:pPr>
              <w:pStyle w:val="61bTabTextZentriert"/>
              <w:keepNext/>
              <w:rPr>
                <w:b/>
              </w:rPr>
            </w:pPr>
            <w:r>
              <w:rPr>
                <w:b/>
              </w:rPr>
              <w:t xml:space="preserve">Parametr</w:t>
            </w:r>
          </w:p>
        </w:tc>
        <w:tc>
          <w:tcPr>
            <w:tcW w:w="5320" w:type="dxa"/>
            <w:hideMark/>
          </w:tcPr>
          <w:p w:rsidR="00703C97" w:rsidRPr="000736A5" w:rsidRDefault="00703C97" w:rsidP="004C7EAB">
            <w:pPr>
              <w:pStyle w:val="61bTabTextZentriert"/>
              <w:keepNext/>
              <w:rPr>
                <w:b/>
              </w:rPr>
            </w:pPr>
            <w:r>
              <w:rPr>
                <w:b/>
              </w:rPr>
              <w:t xml:space="preserve">Mezní hodnoty emisí (mg/MJ)</w:t>
            </w:r>
            <w:r>
              <w:rPr>
                <w:b/>
              </w:rPr>
              <w:t xml:space="preserve"> </w:t>
            </w:r>
          </w:p>
        </w:tc>
      </w:tr>
      <w:tr w:rsidR="00703C97" w:rsidRPr="000736A5" w:rsidTr="00133150">
        <w:tc>
          <w:tcPr>
            <w:tcW w:w="1534" w:type="dxa"/>
            <w:hideMark/>
          </w:tcPr>
          <w:p w:rsidR="00703C97" w:rsidRPr="000736A5" w:rsidRDefault="00703C97" w:rsidP="00E97CAD">
            <w:pPr>
              <w:pStyle w:val="61TabText"/>
            </w:pPr>
            <w:r>
              <w:t xml:space="preserve">CO</w:t>
            </w:r>
          </w:p>
        </w:tc>
        <w:tc>
          <w:tcPr>
            <w:tcW w:w="5320" w:type="dxa"/>
            <w:hideMark/>
          </w:tcPr>
          <w:p w:rsidR="00703C97" w:rsidRPr="000736A5" w:rsidRDefault="00703C97" w:rsidP="00E97CAD">
            <w:pPr>
              <w:pStyle w:val="61bTabTextZentriert"/>
              <w:rPr>
                <w:strike/>
              </w:rPr>
            </w:pPr>
            <w:r>
              <w:t xml:space="preserve">20</w:t>
            </w:r>
          </w:p>
        </w:tc>
      </w:tr>
      <w:tr w:rsidR="00703C97" w:rsidRPr="000736A5" w:rsidTr="00133150">
        <w:tc>
          <w:tcPr>
            <w:tcW w:w="1534" w:type="dxa"/>
            <w:hideMark/>
          </w:tcPr>
          <w:p w:rsidR="00703C97" w:rsidRPr="000736A5" w:rsidRDefault="00703C97" w:rsidP="00E97CAD">
            <w:pPr>
              <w:pStyle w:val="61TabText"/>
            </w:pPr>
            <w:r>
              <w:t xml:space="preserve">NO</w:t>
            </w:r>
            <w:r>
              <w:rPr>
                <w:vertAlign w:val="subscript"/>
              </w:rPr>
              <w:t xml:space="preserve">x</w:t>
            </w:r>
          </w:p>
        </w:tc>
        <w:tc>
          <w:tcPr>
            <w:tcW w:w="5320" w:type="dxa"/>
            <w:hideMark/>
          </w:tcPr>
          <w:p w:rsidR="00703C97" w:rsidRPr="000736A5" w:rsidRDefault="00703C97" w:rsidP="00E97CAD">
            <w:pPr>
              <w:pStyle w:val="61bTabTextZentriert"/>
              <w:rPr>
                <w:strike/>
              </w:rPr>
            </w:pPr>
            <w:r>
              <w:t xml:space="preserve">35*</w:t>
            </w:r>
          </w:p>
        </w:tc>
      </w:tr>
      <w:tr w:rsidR="00703C97" w:rsidRPr="000736A5" w:rsidTr="00133150">
        <w:tc>
          <w:tcPr>
            <w:tcW w:w="1534" w:type="dxa"/>
            <w:hideMark/>
          </w:tcPr>
          <w:p w:rsidR="00703C97" w:rsidRPr="000736A5" w:rsidRDefault="00703C97" w:rsidP="00E97CAD">
            <w:pPr>
              <w:pStyle w:val="61TabText"/>
            </w:pPr>
            <w:r>
              <w:t xml:space="preserve">OGC</w:t>
            </w:r>
          </w:p>
        </w:tc>
        <w:tc>
          <w:tcPr>
            <w:tcW w:w="5320" w:type="dxa"/>
            <w:hideMark/>
          </w:tcPr>
          <w:p w:rsidR="00703C97" w:rsidRPr="000736A5" w:rsidRDefault="00703C97" w:rsidP="00E97CAD">
            <w:pPr>
              <w:pStyle w:val="61bTabTextZentriert"/>
              <w:rPr>
                <w:strike/>
              </w:rPr>
            </w:pPr>
            <w:r>
              <w:t xml:space="preserve">6</w:t>
            </w:r>
          </w:p>
        </w:tc>
      </w:tr>
    </w:tbl>
    <w:p w:rsidR="00703C97" w:rsidRPr="000736A5" w:rsidRDefault="00703C97" w:rsidP="00703C97">
      <w:pPr>
        <w:pStyle w:val="58Schlussteile05"/>
      </w:pPr>
      <w:r>
        <w:t xml:space="preserve">* Pouze pro sporáky</w:t>
      </w:r>
    </w:p>
    <w:p w:rsidR="00703C97" w:rsidRPr="000736A5" w:rsidRDefault="00703C97" w:rsidP="00703C97">
      <w:pPr>
        <w:pStyle w:val="09Abstand"/>
      </w:pPr>
    </w:p>
    <w:p w:rsidR="00703C97" w:rsidRPr="000736A5" w:rsidRDefault="00703C97" w:rsidP="00703C97">
      <w:pPr>
        <w:pStyle w:val="82ErlUeberschrL"/>
      </w:pPr>
      <w:r>
        <w:t xml:space="preserve">4.</w:t>
      </w:r>
      <w:r>
        <w:t xml:space="preserve"> </w:t>
      </w:r>
      <w:r>
        <w:t xml:space="preserve">Topná zařízení na plynná paliva:</w:t>
      </w:r>
    </w:p>
    <w:tbl>
      <w:tblPr>
        <w:tblW w:w="85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776"/>
        <w:gridCol w:w="1701"/>
        <w:gridCol w:w="1843"/>
        <w:gridCol w:w="1701"/>
      </w:tblGrid>
      <w:tr w:rsidR="00703C97" w:rsidRPr="000736A5" w:rsidTr="00133150">
        <w:trPr>
          <w:tblHeader/>
        </w:trPr>
        <w:tc>
          <w:tcPr>
            <w:tcW w:w="1534" w:type="dxa"/>
            <w:vMerge w:val="restart"/>
            <w:tcBorders>
              <w:bottom w:val="nil"/>
            </w:tcBorders>
            <w:hideMark/>
          </w:tcPr>
          <w:p w:rsidR="00703C97" w:rsidRPr="000736A5" w:rsidRDefault="00703C97" w:rsidP="004C7EAB">
            <w:pPr>
              <w:pStyle w:val="61bTabTextZentriert"/>
              <w:keepNext/>
              <w:rPr>
                <w:b/>
              </w:rPr>
            </w:pPr>
            <w:r>
              <w:rPr>
                <w:b/>
              </w:rPr>
              <w:t xml:space="preserve">Parametr</w:t>
            </w:r>
          </w:p>
        </w:tc>
        <w:tc>
          <w:tcPr>
            <w:tcW w:w="7021" w:type="dxa"/>
            <w:gridSpan w:val="4"/>
            <w:tcBorders>
              <w:bottom w:val="nil"/>
            </w:tcBorders>
            <w:hideMark/>
          </w:tcPr>
          <w:p w:rsidR="00703C97" w:rsidRPr="000736A5" w:rsidRDefault="00703C97" w:rsidP="004C7EAB">
            <w:pPr>
              <w:pStyle w:val="61bTabTextZentriert"/>
              <w:keepNext/>
              <w:rPr>
                <w:b/>
              </w:rPr>
            </w:pPr>
            <w:r>
              <w:rPr>
                <w:b/>
              </w:rPr>
              <w:t xml:space="preserve">Mezní hodnoty emisí (mg/MJ)</w:t>
            </w:r>
          </w:p>
        </w:tc>
      </w:tr>
      <w:tr w:rsidR="00703C97" w:rsidRPr="000736A5" w:rsidTr="00133150">
        <w:trPr>
          <w:tblHeader/>
        </w:trPr>
        <w:tc>
          <w:tcPr>
            <w:tcW w:w="1534" w:type="dxa"/>
            <w:vMerge/>
            <w:tcBorders>
              <w:bottom w:val="nil"/>
            </w:tcBorders>
            <w:vAlign w:val="center"/>
            <w:hideMark/>
          </w:tcPr>
          <w:p w:rsidR="00703C97" w:rsidRPr="000736A5" w:rsidRDefault="00703C97" w:rsidP="004C7EAB">
            <w:pPr>
              <w:pStyle w:val="09Abstand"/>
              <w:keepNext/>
              <w:rPr>
                <w:b/>
              </w:rPr>
            </w:pPr>
          </w:p>
        </w:tc>
        <w:tc>
          <w:tcPr>
            <w:tcW w:w="3477" w:type="dxa"/>
            <w:gridSpan w:val="2"/>
            <w:tcBorders>
              <w:bottom w:val="nil"/>
            </w:tcBorders>
            <w:hideMark/>
          </w:tcPr>
          <w:p w:rsidR="00703C97" w:rsidRPr="000736A5" w:rsidRDefault="00703C97" w:rsidP="004C7EAB">
            <w:pPr>
              <w:pStyle w:val="61bTabTextZentriert"/>
              <w:keepNext/>
              <w:rPr>
                <w:b/>
              </w:rPr>
            </w:pPr>
            <w:r>
              <w:rPr>
                <w:b/>
              </w:rPr>
              <w:t xml:space="preserve">zemní plyn</w:t>
            </w:r>
          </w:p>
        </w:tc>
        <w:tc>
          <w:tcPr>
            <w:tcW w:w="3544" w:type="dxa"/>
            <w:gridSpan w:val="2"/>
            <w:tcBorders>
              <w:bottom w:val="nil"/>
            </w:tcBorders>
            <w:hideMark/>
          </w:tcPr>
          <w:p w:rsidR="00703C97" w:rsidRPr="000736A5" w:rsidRDefault="00703C97" w:rsidP="004C7EAB">
            <w:pPr>
              <w:pStyle w:val="61bTabTextZentriert"/>
              <w:keepNext/>
              <w:rPr>
                <w:b/>
              </w:rPr>
            </w:pPr>
            <w:r>
              <w:rPr>
                <w:b/>
              </w:rPr>
              <w:t xml:space="preserve">zkapalněný plyn</w:t>
            </w:r>
          </w:p>
        </w:tc>
      </w:tr>
      <w:tr w:rsidR="00703C97" w:rsidRPr="000736A5" w:rsidTr="00133150">
        <w:tc>
          <w:tcPr>
            <w:tcW w:w="1534" w:type="dxa"/>
            <w:tcBorders>
              <w:bottom w:val="nil"/>
            </w:tcBorders>
          </w:tcPr>
          <w:p w:rsidR="00703C97" w:rsidRPr="000736A5" w:rsidRDefault="00703C97" w:rsidP="004C7EAB">
            <w:pPr>
              <w:pStyle w:val="09Abstand"/>
              <w:keepNext/>
              <w:rPr>
                <w:b/>
              </w:rPr>
            </w:pPr>
          </w:p>
        </w:tc>
        <w:tc>
          <w:tcPr>
            <w:tcW w:w="1776" w:type="dxa"/>
            <w:hideMark/>
          </w:tcPr>
          <w:p w:rsidR="00703C97" w:rsidRPr="000736A5" w:rsidRDefault="00703C97" w:rsidP="004C7EAB">
            <w:pPr>
              <w:pStyle w:val="61bTabTextZentriert"/>
              <w:keepNext/>
              <w:rPr>
                <w:b/>
              </w:rPr>
            </w:pPr>
            <w:r>
              <w:rPr>
                <w:b/>
              </w:rPr>
              <w:t xml:space="preserve">atmosférický hořák</w:t>
            </w:r>
          </w:p>
        </w:tc>
        <w:tc>
          <w:tcPr>
            <w:tcW w:w="1701" w:type="dxa"/>
            <w:hideMark/>
          </w:tcPr>
          <w:p w:rsidR="00703C97" w:rsidRPr="000736A5" w:rsidRDefault="00703C97" w:rsidP="004C7EAB">
            <w:pPr>
              <w:pStyle w:val="61bTabTextZentriert"/>
              <w:keepNext/>
              <w:rPr>
                <w:b/>
              </w:rPr>
            </w:pPr>
            <w:r>
              <w:rPr>
                <w:b/>
              </w:rPr>
              <w:t xml:space="preserve">hořák s dmychadlem</w:t>
            </w:r>
          </w:p>
        </w:tc>
        <w:tc>
          <w:tcPr>
            <w:tcW w:w="1843" w:type="dxa"/>
            <w:hideMark/>
          </w:tcPr>
          <w:p w:rsidR="00703C97" w:rsidRPr="000736A5" w:rsidRDefault="00703C97" w:rsidP="004C7EAB">
            <w:pPr>
              <w:pStyle w:val="61bTabTextZentriert"/>
              <w:keepNext/>
              <w:rPr>
                <w:b/>
              </w:rPr>
            </w:pPr>
            <w:r>
              <w:rPr>
                <w:b/>
              </w:rPr>
              <w:t xml:space="preserve">atmosférický hořák</w:t>
            </w:r>
          </w:p>
        </w:tc>
        <w:tc>
          <w:tcPr>
            <w:tcW w:w="1701" w:type="dxa"/>
            <w:hideMark/>
          </w:tcPr>
          <w:p w:rsidR="00703C97" w:rsidRPr="000736A5" w:rsidRDefault="00703C97" w:rsidP="004C7EAB">
            <w:pPr>
              <w:pStyle w:val="61bTabTextZentriert"/>
              <w:keepNext/>
              <w:rPr>
                <w:b/>
              </w:rPr>
            </w:pPr>
            <w:r>
              <w:rPr>
                <w:b/>
              </w:rPr>
              <w:t xml:space="preserve">hořák s dmychadlem</w:t>
            </w:r>
          </w:p>
        </w:tc>
      </w:tr>
      <w:tr w:rsidR="00703C97" w:rsidRPr="000736A5" w:rsidTr="00133150">
        <w:tc>
          <w:tcPr>
            <w:tcW w:w="1534" w:type="dxa"/>
            <w:hideMark/>
          </w:tcPr>
          <w:p w:rsidR="00703C97" w:rsidRPr="000736A5" w:rsidRDefault="00703C97" w:rsidP="00E97CAD">
            <w:pPr>
              <w:pStyle w:val="61TabText"/>
            </w:pPr>
            <w:r>
              <w:t xml:space="preserve">CO</w:t>
            </w:r>
          </w:p>
        </w:tc>
        <w:tc>
          <w:tcPr>
            <w:tcW w:w="1776" w:type="dxa"/>
            <w:hideMark/>
          </w:tcPr>
          <w:p w:rsidR="00703C97" w:rsidRPr="000736A5" w:rsidRDefault="00703C97" w:rsidP="00E97CAD">
            <w:pPr>
              <w:pStyle w:val="61bTabTextZentriert"/>
            </w:pPr>
            <w:r>
              <w:t xml:space="preserve">20</w:t>
            </w:r>
          </w:p>
        </w:tc>
        <w:tc>
          <w:tcPr>
            <w:tcW w:w="1701" w:type="dxa"/>
            <w:hideMark/>
          </w:tcPr>
          <w:p w:rsidR="00703C97" w:rsidRPr="000736A5" w:rsidRDefault="00703C97" w:rsidP="00E97CAD">
            <w:pPr>
              <w:pStyle w:val="61bTabTextZentriert"/>
            </w:pPr>
            <w:r>
              <w:t xml:space="preserve">20</w:t>
            </w:r>
          </w:p>
        </w:tc>
        <w:tc>
          <w:tcPr>
            <w:tcW w:w="1843" w:type="dxa"/>
            <w:hideMark/>
          </w:tcPr>
          <w:p w:rsidR="00703C97" w:rsidRPr="000736A5" w:rsidRDefault="00703C97" w:rsidP="00E97CAD">
            <w:pPr>
              <w:pStyle w:val="61bTabTextZentriert"/>
            </w:pPr>
            <w:r>
              <w:t xml:space="preserve">35</w:t>
            </w:r>
          </w:p>
        </w:tc>
        <w:tc>
          <w:tcPr>
            <w:tcW w:w="1701" w:type="dxa"/>
            <w:hideMark/>
          </w:tcPr>
          <w:p w:rsidR="00703C97" w:rsidRPr="000736A5" w:rsidRDefault="00703C97" w:rsidP="00E97CAD">
            <w:pPr>
              <w:pStyle w:val="61bTabTextZentriert"/>
            </w:pPr>
            <w:r>
              <w:t xml:space="preserve">20“</w:t>
            </w:r>
          </w:p>
        </w:tc>
      </w:tr>
    </w:tbl>
    <w:p w:rsidR="00703C97" w:rsidRPr="000736A5" w:rsidRDefault="00703C97" w:rsidP="00703C97">
      <w:pPr>
        <w:pStyle w:val="09Abstand"/>
      </w:pPr>
    </w:p>
    <w:p w:rsidR="00703C97" w:rsidRPr="000736A5" w:rsidRDefault="00703C97" w:rsidP="00703C97">
      <w:pPr>
        <w:pStyle w:val="21NovAo1"/>
      </w:pPr>
      <w:r>
        <w:t xml:space="preserve">5.</w:t>
      </w:r>
      <w:r>
        <w:t xml:space="preserve"> </w:t>
      </w:r>
      <w:r>
        <w:t xml:space="preserve">§ 3 zní:</w:t>
      </w:r>
      <w:r>
        <w:t xml:space="preserve"> </w:t>
      </w:r>
    </w:p>
    <w:p w:rsidR="00703C97" w:rsidRPr="000736A5" w:rsidRDefault="00703C97" w:rsidP="004C7EAB">
      <w:pPr>
        <w:pStyle w:val="45UeberschrPara"/>
      </w:pPr>
      <w:r>
        <w:t xml:space="preserve">„§ 3</w:t>
        <w:br/>
        <w:t xml:space="preserve">Požadavky na stupeň účinnosti pro uvádění do oběhu</w:t>
      </w:r>
    </w:p>
    <w:p w:rsidR="00703C97" w:rsidRPr="000736A5" w:rsidRDefault="00703C97" w:rsidP="004C7EAB">
      <w:pPr>
        <w:pStyle w:val="51Abs"/>
        <w:keepNext/>
      </w:pPr>
      <w:r>
        <w:t xml:space="preserve">Topná zařízení se jmenovitým tepelným výkonem do 400 kW nesmí za zkušebních podmínek uvedených v § 4 při provozu odpovídajícím účelu vykazovat nižší hodnoty následujících stupňů účinnosti, a to se jmenovitým zatížením i s částečným zatížením:</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Topná zařízení pro jednotlivé místnosti na tuhá paliva:</w:t>
      </w:r>
    </w:p>
    <w:tbl>
      <w:tblPr>
        <w:tblW w:w="90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6"/>
      </w:tblGrid>
      <w:tr w:rsidR="00703C97" w:rsidRPr="000736A5" w:rsidTr="00E97CAD">
        <w:tc>
          <w:tcPr>
            <w:tcW w:w="5954" w:type="dxa"/>
          </w:tcPr>
          <w:p w:rsidR="00703C97" w:rsidRPr="000736A5" w:rsidRDefault="00703C97" w:rsidP="004C7EAB">
            <w:pPr>
              <w:pStyle w:val="09Abstand"/>
              <w:keepNext/>
            </w:pPr>
          </w:p>
        </w:tc>
        <w:tc>
          <w:tcPr>
            <w:tcW w:w="3116" w:type="dxa"/>
            <w:hideMark/>
          </w:tcPr>
          <w:p w:rsidR="00703C97" w:rsidRPr="000736A5" w:rsidRDefault="00703C97" w:rsidP="004C7EAB">
            <w:pPr>
              <w:pStyle w:val="61bTabTextZentriert"/>
              <w:keepNext/>
              <w:rPr>
                <w:b/>
              </w:rPr>
            </w:pPr>
            <w:r>
              <w:rPr>
                <w:b/>
              </w:rPr>
              <w:t xml:space="preserve">Minimální stupeň účinnosti v %</w:t>
            </w:r>
          </w:p>
        </w:tc>
      </w:tr>
      <w:tr w:rsidR="00703C97" w:rsidRPr="000736A5" w:rsidTr="00E97CAD">
        <w:tc>
          <w:tcPr>
            <w:tcW w:w="5954" w:type="dxa"/>
          </w:tcPr>
          <w:p w:rsidR="00703C97" w:rsidRPr="000736A5" w:rsidRDefault="00703C97" w:rsidP="00E97CAD">
            <w:pPr>
              <w:pStyle w:val="61TabText"/>
            </w:pPr>
            <w:r>
              <w:t xml:space="preserve">Lokální kamna a sporáky</w:t>
            </w:r>
            <w:r>
              <w:t xml:space="preserve"> </w:t>
            </w:r>
          </w:p>
        </w:tc>
        <w:tc>
          <w:tcPr>
            <w:tcW w:w="3116" w:type="dxa"/>
          </w:tcPr>
          <w:p w:rsidR="00703C97" w:rsidRPr="000736A5" w:rsidRDefault="00703C97" w:rsidP="00E97CAD">
            <w:pPr>
              <w:pStyle w:val="61bTabTextZentriert"/>
            </w:pPr>
            <w:r>
              <w:t xml:space="preserve">80</w:t>
            </w:r>
          </w:p>
        </w:tc>
      </w:tr>
      <w:tr w:rsidR="00703C97" w:rsidRPr="000736A5" w:rsidTr="00E97CAD">
        <w:tc>
          <w:tcPr>
            <w:tcW w:w="5954" w:type="dxa"/>
            <w:hideMark/>
          </w:tcPr>
          <w:p w:rsidR="00703C97" w:rsidRPr="000736A5" w:rsidRDefault="00703C97" w:rsidP="00E97CAD">
            <w:pPr>
              <w:pStyle w:val="61TabText"/>
            </w:pPr>
            <w:r>
              <w:t xml:space="preserve">Sporáky na fosilní paliva*</w:t>
            </w:r>
          </w:p>
        </w:tc>
        <w:tc>
          <w:tcPr>
            <w:tcW w:w="3116" w:type="dxa"/>
            <w:hideMark/>
          </w:tcPr>
          <w:p w:rsidR="00703C97" w:rsidRPr="000736A5" w:rsidRDefault="00703C97" w:rsidP="00E97CAD">
            <w:pPr>
              <w:pStyle w:val="61bTabTextZentriert"/>
            </w:pPr>
            <w:r>
              <w:t xml:space="preserve">73</w:t>
            </w:r>
          </w:p>
        </w:tc>
      </w:tr>
      <w:tr w:rsidR="00703C97" w:rsidRPr="000736A5" w:rsidTr="00E97CAD">
        <w:tc>
          <w:tcPr>
            <w:tcW w:w="5954" w:type="dxa"/>
            <w:hideMark/>
          </w:tcPr>
          <w:p w:rsidR="00703C97" w:rsidRPr="000736A5" w:rsidRDefault="00703C97" w:rsidP="00E97CAD">
            <w:pPr>
              <w:pStyle w:val="61TabText"/>
            </w:pPr>
            <w:r>
              <w:t xml:space="preserve">Sporáky na dřevěná paliva*</w:t>
            </w:r>
            <w:r>
              <w:t xml:space="preserve"> </w:t>
            </w:r>
          </w:p>
        </w:tc>
        <w:tc>
          <w:tcPr>
            <w:tcW w:w="3116" w:type="dxa"/>
            <w:hideMark/>
          </w:tcPr>
          <w:p w:rsidR="00703C97" w:rsidRPr="000736A5" w:rsidRDefault="00703C97" w:rsidP="00E97CAD">
            <w:pPr>
              <w:pStyle w:val="61bTabTextZentriert"/>
            </w:pPr>
            <w:r>
              <w:t xml:space="preserve">72</w:t>
            </w:r>
          </w:p>
        </w:tc>
      </w:tr>
      <w:tr w:rsidR="00703C97" w:rsidRPr="000736A5" w:rsidTr="00E97CAD">
        <w:tc>
          <w:tcPr>
            <w:tcW w:w="5954" w:type="dxa"/>
            <w:hideMark/>
          </w:tcPr>
          <w:p w:rsidR="00703C97" w:rsidRPr="000736A5" w:rsidRDefault="00703C97" w:rsidP="00E97CAD">
            <w:pPr>
              <w:pStyle w:val="61TabText"/>
            </w:pPr>
            <w:r>
              <w:t xml:space="preserve">Ostatní top. zař. pro jedn. místnosti*</w:t>
            </w:r>
          </w:p>
        </w:tc>
        <w:tc>
          <w:tcPr>
            <w:tcW w:w="3116" w:type="dxa"/>
            <w:hideMark/>
          </w:tcPr>
          <w:p w:rsidR="00703C97" w:rsidRPr="000736A5" w:rsidRDefault="00703C97" w:rsidP="00E97CAD">
            <w:pPr>
              <w:pStyle w:val="61bTabTextZentriert"/>
            </w:pPr>
            <w:r>
              <w:t xml:space="preserve">80</w:t>
            </w:r>
          </w:p>
        </w:tc>
      </w:tr>
    </w:tbl>
    <w:p w:rsidR="00703C97" w:rsidRPr="000736A5" w:rsidRDefault="00703C97" w:rsidP="00703C97">
      <w:pPr>
        <w:pStyle w:val="58Schlussteile05"/>
      </w:pPr>
      <w:r>
        <w:t xml:space="preserve">* Uvedené hodnoty platí do 31. 12. 2021</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Ohřívač vody:</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732"/>
      </w:tblGrid>
      <w:tr w:rsidR="00703C97" w:rsidRPr="000736A5" w:rsidTr="00E97CAD">
        <w:tc>
          <w:tcPr>
            <w:tcW w:w="5364" w:type="dxa"/>
          </w:tcPr>
          <w:p w:rsidR="00703C97" w:rsidRPr="000736A5" w:rsidRDefault="00703C97" w:rsidP="004C7EAB">
            <w:pPr>
              <w:pStyle w:val="09Abstand"/>
              <w:keepNext/>
            </w:pPr>
          </w:p>
        </w:tc>
        <w:tc>
          <w:tcPr>
            <w:tcW w:w="3732" w:type="dxa"/>
            <w:hideMark/>
          </w:tcPr>
          <w:p w:rsidR="00703C97" w:rsidRPr="000736A5" w:rsidRDefault="00703C97" w:rsidP="004C7EAB">
            <w:pPr>
              <w:pStyle w:val="61bTabTextZentriert"/>
              <w:keepNext/>
              <w:rPr>
                <w:b/>
              </w:rPr>
            </w:pPr>
            <w:r>
              <w:rPr>
                <w:b/>
              </w:rPr>
              <w:t xml:space="preserve">Minimální stupeň účinnosti v %</w:t>
            </w:r>
          </w:p>
        </w:tc>
      </w:tr>
      <w:tr w:rsidR="00703C97" w:rsidRPr="000736A5" w:rsidTr="00E97CAD">
        <w:tc>
          <w:tcPr>
            <w:tcW w:w="5364" w:type="dxa"/>
            <w:hideMark/>
          </w:tcPr>
          <w:p w:rsidR="00703C97" w:rsidRPr="000736A5" w:rsidRDefault="00703C97" w:rsidP="00E97CAD">
            <w:pPr>
              <w:pStyle w:val="61TabText"/>
            </w:pPr>
            <w:r>
              <w:t xml:space="preserve">Ohřívač vody na tuhá paliva</w:t>
            </w:r>
          </w:p>
        </w:tc>
        <w:tc>
          <w:tcPr>
            <w:tcW w:w="3732" w:type="dxa"/>
            <w:hideMark/>
          </w:tcPr>
          <w:p w:rsidR="00703C97" w:rsidRPr="000736A5" w:rsidRDefault="00703C97" w:rsidP="00E97CAD">
            <w:pPr>
              <w:pStyle w:val="61bTabTextZentriert"/>
            </w:pPr>
            <w:r>
              <w:t xml:space="preserve">75</w:t>
            </w:r>
          </w:p>
        </w:tc>
      </w:tr>
    </w:tbl>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Topná zařízení pro vyt. prostor na tuhá paliva*:</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748"/>
      </w:tblGrid>
      <w:tr w:rsidR="00703C97" w:rsidRPr="000736A5" w:rsidTr="00E97CAD">
        <w:tc>
          <w:tcPr>
            <w:tcW w:w="5348" w:type="dxa"/>
          </w:tcPr>
          <w:p w:rsidR="00703C97" w:rsidRPr="000736A5" w:rsidRDefault="00703C97" w:rsidP="004C7EAB">
            <w:pPr>
              <w:pStyle w:val="09Abstand"/>
              <w:keepNext/>
            </w:pPr>
          </w:p>
        </w:tc>
        <w:tc>
          <w:tcPr>
            <w:tcW w:w="3748" w:type="dxa"/>
            <w:hideMark/>
          </w:tcPr>
          <w:p w:rsidR="00703C97" w:rsidRPr="000736A5" w:rsidRDefault="00703C97" w:rsidP="004C7EAB">
            <w:pPr>
              <w:pStyle w:val="61bTabTextZentriert"/>
              <w:keepNext/>
              <w:rPr>
                <w:b/>
              </w:rPr>
            </w:pPr>
            <w:r>
              <w:rPr>
                <w:b/>
              </w:rPr>
              <w:t xml:space="preserve">Minimální stupeň účinnosti v %</w:t>
            </w:r>
          </w:p>
        </w:tc>
      </w:tr>
      <w:tr w:rsidR="00703C97" w:rsidRPr="000736A5" w:rsidTr="00E97CAD">
        <w:tc>
          <w:tcPr>
            <w:tcW w:w="5348" w:type="dxa"/>
            <w:hideMark/>
          </w:tcPr>
          <w:p w:rsidR="00703C97" w:rsidRPr="000736A5" w:rsidRDefault="00703C97" w:rsidP="00761B3B">
            <w:pPr>
              <w:pStyle w:val="61TabText"/>
              <w:ind w:left="239" w:hanging="239"/>
            </w:pPr>
            <w:r>
              <w:t xml:space="preserve">a)</w:t>
              <w:tab/>
              <w:t xml:space="preserve">s manuálním doplňováním</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do 10 kW</w:t>
            </w:r>
          </w:p>
        </w:tc>
        <w:tc>
          <w:tcPr>
            <w:tcW w:w="3748" w:type="dxa"/>
            <w:hideMark/>
          </w:tcPr>
          <w:p w:rsidR="00703C97" w:rsidRPr="000736A5" w:rsidRDefault="00703C97" w:rsidP="00E97CAD">
            <w:pPr>
              <w:pStyle w:val="61bTabTextZentriert"/>
            </w:pPr>
            <w:r>
              <w:t xml:space="preserve">79</w:t>
            </w:r>
          </w:p>
        </w:tc>
      </w:tr>
      <w:tr w:rsidR="00703C97" w:rsidRPr="000736A5" w:rsidTr="00E97CAD">
        <w:tc>
          <w:tcPr>
            <w:tcW w:w="5348" w:type="dxa"/>
            <w:hideMark/>
          </w:tcPr>
          <w:p w:rsidR="00703C97" w:rsidRPr="000736A5" w:rsidRDefault="00703C97" w:rsidP="00761B3B">
            <w:pPr>
              <w:pStyle w:val="61TabText"/>
              <w:ind w:left="239"/>
            </w:pPr>
            <w:r>
              <w:t xml:space="preserve">nad 10 a do 200 kW</w:t>
            </w:r>
          </w:p>
        </w:tc>
        <w:tc>
          <w:tcPr>
            <w:tcW w:w="3748" w:type="dxa"/>
            <w:hideMark/>
          </w:tcPr>
          <w:p w:rsidR="00703C97" w:rsidRPr="000736A5" w:rsidRDefault="00703C97" w:rsidP="00E97CAD">
            <w:pPr>
              <w:pStyle w:val="61bTabTextZentriert"/>
            </w:pPr>
            <w:r>
              <w:t xml:space="preserve">(71,3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nad 200 kW</w:t>
            </w:r>
          </w:p>
        </w:tc>
        <w:tc>
          <w:tcPr>
            <w:tcW w:w="3748" w:type="dxa"/>
            <w:hideMark/>
          </w:tcPr>
          <w:p w:rsidR="00703C97" w:rsidRPr="000736A5" w:rsidRDefault="00703C97" w:rsidP="00E97CAD">
            <w:pPr>
              <w:pStyle w:val="61bTabTextZentriert"/>
            </w:pPr>
            <w:r>
              <w:t xml:space="preserve">89</w:t>
            </w:r>
          </w:p>
        </w:tc>
      </w:tr>
      <w:tr w:rsidR="00703C97" w:rsidRPr="000736A5" w:rsidTr="00E97CAD">
        <w:tc>
          <w:tcPr>
            <w:tcW w:w="5348" w:type="dxa"/>
            <w:hideMark/>
          </w:tcPr>
          <w:p w:rsidR="00703C97" w:rsidRPr="000736A5" w:rsidRDefault="00703C97" w:rsidP="00761B3B">
            <w:pPr>
              <w:pStyle w:val="61TabText"/>
              <w:ind w:left="239" w:hanging="239"/>
            </w:pPr>
            <w:r>
              <w:t xml:space="preserve">b)</w:t>
              <w:tab/>
              <w:t xml:space="preserve">s automatickým doplňováním</w:t>
            </w:r>
            <w:r>
              <w:t xml:space="preserve"> </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do 10 kW</w:t>
            </w:r>
          </w:p>
        </w:tc>
        <w:tc>
          <w:tcPr>
            <w:tcW w:w="3748" w:type="dxa"/>
            <w:hideMark/>
          </w:tcPr>
          <w:p w:rsidR="00703C97" w:rsidRPr="000736A5" w:rsidRDefault="00703C97" w:rsidP="00761B3B">
            <w:pPr>
              <w:pStyle w:val="61TabText"/>
              <w:ind w:left="239"/>
            </w:pPr>
            <w:r>
              <w:t xml:space="preserve">80</w:t>
            </w:r>
          </w:p>
        </w:tc>
      </w:tr>
      <w:tr w:rsidR="00703C97" w:rsidRPr="000736A5" w:rsidTr="00E97CAD">
        <w:tc>
          <w:tcPr>
            <w:tcW w:w="5348" w:type="dxa"/>
            <w:hideMark/>
          </w:tcPr>
          <w:p w:rsidR="00703C97" w:rsidRPr="000736A5" w:rsidRDefault="00703C97" w:rsidP="00761B3B">
            <w:pPr>
              <w:pStyle w:val="61TabText"/>
              <w:ind w:left="239"/>
            </w:pPr>
            <w:r>
              <w:t xml:space="preserve">nad 10 a do 200 kW</w:t>
            </w:r>
          </w:p>
        </w:tc>
        <w:tc>
          <w:tcPr>
            <w:tcW w:w="3748" w:type="dxa"/>
            <w:hideMark/>
          </w:tcPr>
          <w:p w:rsidR="00703C97" w:rsidRPr="000736A5" w:rsidRDefault="00703C97" w:rsidP="00E97CAD">
            <w:pPr>
              <w:pStyle w:val="61bTabTextZentriert"/>
            </w:pPr>
            <w:r>
              <w:t xml:space="preserve">(72,3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nad 200 kW</w:t>
            </w:r>
          </w:p>
        </w:tc>
        <w:tc>
          <w:tcPr>
            <w:tcW w:w="3748" w:type="dxa"/>
            <w:hideMark/>
          </w:tcPr>
          <w:p w:rsidR="00703C97" w:rsidRPr="000736A5" w:rsidRDefault="00703C97" w:rsidP="00E97CAD">
            <w:pPr>
              <w:pStyle w:val="61bTabTextZentriert"/>
            </w:pPr>
            <w:r>
              <w:t xml:space="preserve">90</w:t>
            </w:r>
          </w:p>
        </w:tc>
      </w:tr>
    </w:tbl>
    <w:p w:rsidR="00703C97" w:rsidRPr="000736A5" w:rsidRDefault="00703C97" w:rsidP="00703C97">
      <w:pPr>
        <w:pStyle w:val="58Schlussteile05"/>
      </w:pPr>
      <w:r>
        <w:t xml:space="preserve">* Uvedené hodnoty platí do 31. 12. 2019“</w:t>
      </w:r>
    </w:p>
    <w:p w:rsidR="00703C97" w:rsidRPr="000736A5" w:rsidRDefault="00703C97" w:rsidP="00703C97">
      <w:pPr>
        <w:pStyle w:val="09Abstand"/>
      </w:pPr>
    </w:p>
    <w:p w:rsidR="00703C97" w:rsidRPr="000736A5" w:rsidRDefault="00703C97" w:rsidP="00703C97">
      <w:pPr>
        <w:pStyle w:val="21NovAo1"/>
      </w:pPr>
      <w:r>
        <w:t xml:space="preserve">6.</w:t>
      </w:r>
      <w:r>
        <w:t xml:space="preserve"> </w:t>
      </w:r>
      <w:r>
        <w:t xml:space="preserve">§ 4 zní:</w:t>
      </w:r>
    </w:p>
    <w:p w:rsidR="00703C97" w:rsidRPr="000736A5" w:rsidRDefault="00703C97" w:rsidP="00703C97">
      <w:pPr>
        <w:pStyle w:val="45UeberschrPara"/>
      </w:pPr>
      <w:r>
        <w:t xml:space="preserve">„§ 4</w:t>
        <w:br/>
        <w:t xml:space="preserve">Zkušební podmínky</w:t>
      </w:r>
    </w:p>
    <w:p w:rsidR="00703C97" w:rsidRPr="000736A5" w:rsidRDefault="00703C97" w:rsidP="00703C97">
      <w:pPr>
        <w:pStyle w:val="51Abs"/>
      </w:pPr>
      <w:r>
        <w:t xml:space="preserve">(1) Kontrola emisního chování a stupně účinnosti topných zařízení se jmenovitým tepelným výkonem do 400 kW musí probíhat, pokud jde o zkušební proces a podmínky, podle technických pravidel.</w:t>
      </w:r>
      <w:r>
        <w:t xml:space="preserve"> </w:t>
      </w:r>
      <w:r>
        <w:t xml:space="preserve">Přitom je nutné brát ohled na odpovídající normy ÖNORM, normy EN nebo ostatní rovnocenné technické směrnice členského státu EU nebo smluvní strany Dohody o Evropském hospodářském prostoru.</w:t>
      </w:r>
    </w:p>
    <w:p w:rsidR="00703C97" w:rsidRPr="000736A5" w:rsidRDefault="00703C97" w:rsidP="00703C97">
      <w:pPr>
        <w:pStyle w:val="51Abs"/>
      </w:pPr>
      <w:r>
        <w:t xml:space="preserve">(2) Musí být doloženo dodržování mezních hodnot emisí pro tuhá a kapalná paliva při jmenovitém zatížení a při nejmenším dílčím zatížení rozsahu tepelného výkonu udávaném výrobcem.</w:t>
      </w:r>
      <w:r>
        <w:t xml:space="preserve"> </w:t>
      </w:r>
      <w:r>
        <w:t xml:space="preserve">U lokálních kamen a sporáků se jmenovitým výkonem pod 8 kW musí být předložen doklad pouze o jmenovitém zatížení.“</w:t>
      </w:r>
    </w:p>
    <w:p w:rsidR="00703C97" w:rsidRPr="000736A5" w:rsidRDefault="00703C97" w:rsidP="00703C97">
      <w:pPr>
        <w:pStyle w:val="82ErlUeberschrL"/>
      </w:pPr>
      <w:r>
        <w:rPr>
          <w:b w:val="0"/>
          <w:i/>
        </w:rPr>
        <w:t xml:space="preserve">7.</w:t>
      </w:r>
      <w:r>
        <w:rPr>
          <w:b w:val="0"/>
          <w:i/>
        </w:rPr>
        <w:t xml:space="preserve"> </w:t>
      </w:r>
      <w:r>
        <w:rPr>
          <w:b w:val="0"/>
          <w:i/>
        </w:rPr>
        <w:t xml:space="preserve">Označení oddílu 2 odpadá včetně nadpisu.</w:t>
      </w:r>
    </w:p>
    <w:p w:rsidR="00703C97" w:rsidRPr="000736A5" w:rsidRDefault="00703C97" w:rsidP="00703C97">
      <w:pPr>
        <w:pStyle w:val="22NovAo2"/>
      </w:pPr>
      <w:r>
        <w:t xml:space="preserve">8.</w:t>
      </w:r>
      <w:r>
        <w:t xml:space="preserve"> </w:t>
      </w:r>
      <w:r>
        <w:t xml:space="preserve">Dosavadní oddíl 3 obdrží označení oddílu </w:t>
      </w:r>
      <w:r>
        <w:rPr>
          <w:i w:val="0"/>
        </w:rPr>
        <w:t xml:space="preserve">„2“</w:t>
      </w:r>
      <w:r>
        <w:t xml:space="preserve">.</w:t>
      </w:r>
    </w:p>
    <w:p w:rsidR="00703C97" w:rsidRPr="000736A5" w:rsidRDefault="00703C97" w:rsidP="00703C97">
      <w:pPr>
        <w:pStyle w:val="21NovAo1"/>
      </w:pPr>
      <w:r>
        <w:t xml:space="preserve">9.</w:t>
      </w:r>
      <w:r>
        <w:t xml:space="preserve"> </w:t>
      </w:r>
      <w:r>
        <w:t xml:space="preserve">Před § 6 se doplní následující § 5a:</w:t>
      </w:r>
    </w:p>
    <w:p w:rsidR="00703C97" w:rsidRPr="000736A5" w:rsidRDefault="00703C97" w:rsidP="00703C97">
      <w:pPr>
        <w:pStyle w:val="45UeberschrPara"/>
      </w:pPr>
      <w:r>
        <w:t xml:space="preserve">„§ 5a</w:t>
        <w:br/>
        <w:t xml:space="preserve">Oblast platnosti</w:t>
      </w:r>
    </w:p>
    <w:p w:rsidR="00703C97" w:rsidRPr="000736A5" w:rsidRDefault="00703C97" w:rsidP="00703C97">
      <w:pPr>
        <w:pStyle w:val="51Abs"/>
      </w:pPr>
      <w:r>
        <w:t xml:space="preserve">Oddíly 2 až 5 s výjimkou § 6 ř. 1 této vyhlášky neplatí pro topná zařízení, pokud podléhají provozním předpisům dle úprav spolku pro živnosti a/nebo nakládání s odpady a/nebo předpisům týkajícím se elektrické energie.“</w:t>
      </w:r>
    </w:p>
    <w:p w:rsidR="00703C97" w:rsidRPr="000736A5" w:rsidRDefault="00703C97" w:rsidP="00703C97">
      <w:pPr>
        <w:pStyle w:val="21NovAo1"/>
      </w:pPr>
      <w:r>
        <w:t xml:space="preserve">10.</w:t>
      </w:r>
      <w:r>
        <w:t xml:space="preserve"> </w:t>
      </w:r>
      <w:r>
        <w:t xml:space="preserve">§ 6 zní:</w:t>
      </w:r>
    </w:p>
    <w:p w:rsidR="00703C97" w:rsidRPr="000736A5" w:rsidRDefault="00703C97" w:rsidP="00703C97">
      <w:pPr>
        <w:pStyle w:val="45UeberschrPara"/>
      </w:pPr>
      <w:r>
        <w:t xml:space="preserve">„§ 6</w:t>
        <w:br/>
        <w:t xml:space="preserve">Zřízení a vybavení</w:t>
      </w:r>
    </w:p>
    <w:p w:rsidR="00703C97" w:rsidRPr="000736A5" w:rsidRDefault="00703C97" w:rsidP="004C7EAB">
      <w:pPr>
        <w:pStyle w:val="51Abs"/>
        <w:keepNext/>
      </w:pPr>
      <w:r>
        <w:t xml:space="preserve">Pro zřízení a instalaci spalovacích zařízení a blokových tepláren platí následující:</w:t>
      </w:r>
    </w:p>
    <w:p w:rsidR="00703C97" w:rsidRPr="000736A5" w:rsidRDefault="00703C97" w:rsidP="00703C97">
      <w:pPr>
        <w:pStyle w:val="52Aufzaehle1Ziffer"/>
      </w:pPr>
      <w:r>
        <w:tab/>
      </w:r>
      <w:r>
        <w:t xml:space="preserve">1.</w:t>
      </w:r>
      <w:r>
        <w:tab/>
      </w:r>
      <w:r>
        <w:t xml:space="preserve">U nových zařízení:</w:t>
      </w:r>
      <w:r>
        <w:t xml:space="preserve"> </w:t>
      </w:r>
      <w:r>
        <w:t xml:space="preserve">Topná zařízení do jmenovitého tepelného výkonu 400 kW smí být zřizována nebo vestavována pouze tehdy, pokud splňují předpoklady oddílu 1, podstatné konstrukční části smí být kombinovány pouze tehdy, pokud pro toto existuje odpovídající doklad (typová zkouška).</w:t>
      </w:r>
    </w:p>
    <w:p w:rsidR="00703C97" w:rsidRPr="000736A5" w:rsidRDefault="00703C97" w:rsidP="00703C97">
      <w:pPr>
        <w:pStyle w:val="52Aufzaehle1Ziffer"/>
      </w:pPr>
      <w:r>
        <w:tab/>
      </w:r>
      <w:r>
        <w:t xml:space="preserve">2.</w:t>
      </w:r>
      <w:r>
        <w:tab/>
      </w:r>
      <w:r>
        <w:t xml:space="preserve">Při výměně podstatné konstrukční části topného zařízení je nutno zajistit dodržení vždy daných příslušných požadavků oddílu 3.</w:t>
      </w:r>
    </w:p>
    <w:p w:rsidR="00703C97" w:rsidRPr="000736A5" w:rsidRDefault="00703C97" w:rsidP="00703C97">
      <w:pPr>
        <w:pStyle w:val="52Aufzaehle1Ziffer"/>
      </w:pPr>
      <w:r>
        <w:tab/>
      </w:r>
      <w:r>
        <w:t xml:space="preserve">3.</w:t>
      </w:r>
      <w:r>
        <w:tab/>
      </w:r>
      <w:r>
        <w:t xml:space="preserve">Dimenzace spalovacího zařízení musí proběhnout podle technických pravidel.</w:t>
      </w:r>
    </w:p>
    <w:p w:rsidR="00703C97" w:rsidRPr="000736A5" w:rsidRDefault="00703C97" w:rsidP="00703C97">
      <w:pPr>
        <w:pStyle w:val="52Aufzaehle1Ziffer"/>
      </w:pPr>
      <w:r>
        <w:tab/>
      </w:r>
      <w:r>
        <w:t xml:space="preserve">4.</w:t>
      </w:r>
      <w:r>
        <w:tab/>
      </w:r>
      <w:r>
        <w:t xml:space="preserve">Je nutno prověřit potřebu vyrovnávacího zásobníku za zohlednění chování zařízení pří dílčím zatížení.</w:t>
      </w:r>
    </w:p>
    <w:p w:rsidR="00703C97" w:rsidRPr="000736A5" w:rsidRDefault="00703C97" w:rsidP="00703C97">
      <w:pPr>
        <w:pStyle w:val="52Aufzaehle1Ziffer"/>
      </w:pPr>
      <w:r>
        <w:tab/>
      </w:r>
      <w:r>
        <w:t xml:space="preserve">5.</w:t>
      </w:r>
      <w:r>
        <w:tab/>
      </w:r>
      <w:r>
        <w:t xml:space="preserve">Pokud musí být topná zařízení s ručním přikládáním vybavena pro dodržení emisních hodnot vyrovnávacím zásobníkem (§ 8 odst. 1 ř. 10 K-HeizG), musí stejně tak dimenzace vyrovnávacího zásobníku nastat způsobem odpovídajícím technickým pravidlům.</w:t>
      </w:r>
    </w:p>
    <w:p w:rsidR="00703C97" w:rsidRPr="000736A5" w:rsidRDefault="00703C97" w:rsidP="00703C97">
      <w:pPr>
        <w:pStyle w:val="52Aufzaehle1Ziffer"/>
      </w:pPr>
      <w:r>
        <w:tab/>
      </w:r>
      <w:r>
        <w:t xml:space="preserve">6.</w:t>
      </w:r>
      <w:r>
        <w:tab/>
      </w:r>
      <w:r>
        <w:t xml:space="preserve">Pro spalovací zařízení a blokové teplárny, vyjma topných zařízení pro jednotlivé místnosti, je nutno vystavit datový list zařízení podle </w:t>
      </w:r>
      <w:r>
        <w:rPr>
          <w:b/>
        </w:rPr>
        <w:t xml:space="preserve">přílohy 1</w:t>
      </w:r>
      <w:r>
        <w:t xml:space="preserve"> až do příští kontroly, který je nutno po dobu trvání existence zařízení u tohoto uschovat.</w:t>
      </w:r>
      <w:r>
        <w:t xml:space="preserve"> </w:t>
      </w:r>
      <w:r>
        <w:t xml:space="preserve">Změny na zařízení, které mají význam pro kvalitu spalování, musí být zaznamenány v datovém listu.“</w:t>
      </w:r>
    </w:p>
    <w:p w:rsidR="00703C97" w:rsidRPr="000736A5" w:rsidRDefault="00703C97" w:rsidP="00703C97">
      <w:pPr>
        <w:pStyle w:val="52Aufzaehle1Ziffer"/>
      </w:pPr>
      <w:r>
        <w:tab/>
      </w:r>
    </w:p>
    <w:p w:rsidR="00703C97" w:rsidRPr="000736A5" w:rsidRDefault="00703C97" w:rsidP="00703C97">
      <w:pPr>
        <w:pStyle w:val="21NovAo1"/>
      </w:pPr>
      <w:r>
        <w:t xml:space="preserve">11.</w:t>
      </w:r>
      <w:r>
        <w:t xml:space="preserve"> </w:t>
      </w:r>
      <w:r>
        <w:t xml:space="preserve">Za § 6 se vkládá následující § 6a:</w:t>
      </w:r>
    </w:p>
    <w:p w:rsidR="00703C97" w:rsidRPr="000736A5" w:rsidRDefault="00703C97" w:rsidP="00703C97">
      <w:pPr>
        <w:pStyle w:val="45UeberschrPara"/>
      </w:pPr>
      <w:r>
        <w:t xml:space="preserve">„§ 6a</w:t>
        <w:br/>
        <w:t xml:space="preserve">Registrace středně velkých spalovacích zařízení</w:t>
      </w:r>
    </w:p>
    <w:p w:rsidR="00703C97" w:rsidRPr="000736A5" w:rsidRDefault="00703C97" w:rsidP="00703C97">
      <w:pPr>
        <w:pStyle w:val="51Abs"/>
      </w:pPr>
      <w:r>
        <w:t xml:space="preserve">(1) Provozovatel středně velkého spalovacího zařízení musí zapsat kmenová data podle </w:t>
      </w:r>
      <w:r>
        <w:rPr>
          <w:b/>
        </w:rPr>
        <w:t xml:space="preserve">přílohy 5</w:t>
      </w:r>
      <w:r>
        <w:t xml:space="preserve"> před prvním, určení odpovídajícím uvedení do provozu a před prvním, určení odpovídajícím uvedení do provozu po podstatných změnách do online registru na </w:t>
      </w:r>
      <w:r>
        <w:rPr>
          <w:u w:val="single"/>
        </w:rPr>
        <w:t xml:space="preserve">www.edm.gv.at</w:t>
      </w:r>
      <w:r>
        <w:t xml:space="preserve">.</w:t>
      </w:r>
    </w:p>
    <w:p w:rsidR="00703C97" w:rsidRPr="000736A5" w:rsidRDefault="00703C97" w:rsidP="00703C97">
      <w:pPr>
        <w:pStyle w:val="51Abs"/>
      </w:pPr>
      <w:r>
        <w:t xml:space="preserve">(2) Zastavení činnosti musí být jasně uvedeno provozovatelem podle odst. 1 v online registru v průběhu čtyř týdnů od uvedení spalovacího zařízení mimo provoz.“</w:t>
      </w:r>
    </w:p>
    <w:p w:rsidR="00703C97" w:rsidRPr="000736A5" w:rsidRDefault="00703C97" w:rsidP="00703C97">
      <w:pPr>
        <w:pStyle w:val="21NovAo1"/>
      </w:pPr>
      <w:r>
        <w:t xml:space="preserve">12.</w:t>
      </w:r>
      <w:r>
        <w:t xml:space="preserve"> </w:t>
      </w:r>
      <w:r>
        <w:t xml:space="preserve">§ 7 zní:</w:t>
      </w:r>
    </w:p>
    <w:p w:rsidR="00703C97" w:rsidRPr="000736A5" w:rsidRDefault="00703C97" w:rsidP="00703C97">
      <w:pPr>
        <w:pStyle w:val="45UeberschrPara"/>
      </w:pPr>
      <w:r>
        <w:t xml:space="preserve">„§ 7</w:t>
        <w:br/>
        <w:t xml:space="preserve">Měřicí otvory</w:t>
      </w:r>
    </w:p>
    <w:p w:rsidR="00703C97" w:rsidRPr="000736A5" w:rsidRDefault="00703C97" w:rsidP="00703C97">
      <w:pPr>
        <w:pStyle w:val="51Abs"/>
      </w:pPr>
      <w:r>
        <w:t xml:space="preserve">(1) Pokud spalovací zařízení nevykazuje žádný, výrobcem naplánovaný měřicí otvor, je nutno za účelem provádění jednoduché kontroly (§ 15) vestavět do přímého dílu spojovacího kusu mezi ústím topeniště a spojovacím kusem, příp. zařízení pro vedlejší vzduch ve vzdálenosti dvojnásobku průměru potrubí topného kotle nebo spalinového oblouku uzavíratelný, utěsnění spojovacího kusu odpovídající měřicí otvor o průměru min. 12 mm a to na lehce a bezpečně přístupném místě.</w:t>
      </w:r>
      <w:r>
        <w:t xml:space="preserve"> </w:t>
      </w:r>
      <w:r>
        <w:t xml:space="preserve">Po místě měření je v přímém úseku potrubí před dalšími vestavěnými součástmi nutný výstupní úsek o průměru jednonásobku průměru potrubí.</w:t>
      </w:r>
      <w:r>
        <w:t xml:space="preserve"> </w:t>
      </w:r>
      <w:r>
        <w:t xml:space="preserve">U topných zařízení pro jednotlivé místnosti je nutno vyrobit měřicí otvor pouze v případě mimořádné kontroly (§ 18).</w:t>
      </w:r>
    </w:p>
    <w:p w:rsidR="00703C97" w:rsidRPr="000736A5" w:rsidRDefault="00703C97" w:rsidP="00703C97">
      <w:pPr>
        <w:pStyle w:val="51Abs"/>
      </w:pPr>
      <w:r>
        <w:t xml:space="preserve">(2) Pokud topné zařízení nevykazuje výrobcem naplánovaný měřicí otvor, je nutno za účelem provádění rozsáhlé kontroly (§ 16) zabudovat měřicí otvor podle příslušných technických pravidel a to na lehce a bezpečně přístupném místě.</w:t>
      </w:r>
      <w:r>
        <w:t xml:space="preserve"> </w:t>
      </w:r>
      <w:r>
        <w:t xml:space="preserve">Ve vzdálenosti minimálně pětinásobku vnitřního průměru komínové trubky před a dvojnásobného vnitřního průměru za otvory pro měření se nesmí vyskytovat žádné zúžení, oblouk, rozšíření nebo jiné vestavby ovlivňující proudění.</w:t>
      </w:r>
    </w:p>
    <w:p w:rsidR="00703C97" w:rsidRPr="000736A5" w:rsidRDefault="00703C97" w:rsidP="00703C97">
      <w:pPr>
        <w:pStyle w:val="51Abs"/>
      </w:pPr>
      <w:r>
        <w:t xml:space="preserve">(3) Pokud bloková teplárna nevykazuje žádný, výrobcem naplánovaný měřicí otvor, je nutno v rovné části spalinového vedení zřídit měřicí otvor, který dovolí zjišťování reprodukovatelných výsledků.</w:t>
      </w:r>
    </w:p>
    <w:p w:rsidR="00703C97" w:rsidRPr="000736A5" w:rsidRDefault="00703C97" w:rsidP="00703C97">
      <w:pPr>
        <w:pStyle w:val="51Abs"/>
      </w:pPr>
      <w:r>
        <w:t xml:space="preserve">(4) Odlišnosti od daných měřicích otvorů jsou přípustné pouze v případě, že by jejich provedení bylo nepřiměřeně nákladné.</w:t>
      </w:r>
      <w:r>
        <w:t xml:space="preserve"> </w:t>
      </w:r>
      <w:r>
        <w:t xml:space="preserve">Tyto je nutno zadokumentovat v příslušné kontrolní zprávě a je nutno zhodnotit vliv na výsledek měření.“</w:t>
      </w:r>
    </w:p>
    <w:p w:rsidR="00703C97" w:rsidRPr="000736A5" w:rsidRDefault="00703C97" w:rsidP="00703C97">
      <w:pPr>
        <w:pStyle w:val="22NovAo2"/>
      </w:pPr>
      <w:r>
        <w:t xml:space="preserve">13.</w:t>
      </w:r>
      <w:r>
        <w:t xml:space="preserve"> </w:t>
      </w:r>
      <w:r>
        <w:t xml:space="preserve">Dosavadní oddíl 4 obdrží označení oddílu </w:t>
      </w:r>
      <w:r>
        <w:rPr>
          <w:i w:val="0"/>
        </w:rPr>
        <w:t xml:space="preserve">„3“</w:t>
      </w:r>
      <w:r>
        <w:t xml:space="preserve">.</w:t>
      </w:r>
    </w:p>
    <w:p w:rsidR="00703C97" w:rsidRPr="000736A5" w:rsidRDefault="00703C97" w:rsidP="00703C97">
      <w:pPr>
        <w:pStyle w:val="21NovAo1"/>
      </w:pPr>
      <w:r>
        <w:t xml:space="preserve">14.</w:t>
      </w:r>
      <w:r>
        <w:t xml:space="preserve"> </w:t>
      </w:r>
      <w:r>
        <w:t xml:space="preserve">§ 9 zní:</w:t>
      </w:r>
    </w:p>
    <w:p w:rsidR="00703C97" w:rsidRPr="000736A5" w:rsidRDefault="00703C97" w:rsidP="00703C97">
      <w:pPr>
        <w:pStyle w:val="45UeberschrPara"/>
      </w:pPr>
      <w:r>
        <w:t xml:space="preserve">„§ 9</w:t>
        <w:br/>
        <w:t xml:space="preserve">Topná zařízení se tepelným výkonem paliva pod 100 kW</w:t>
      </w:r>
    </w:p>
    <w:p w:rsidR="00703C97" w:rsidRPr="000736A5" w:rsidRDefault="00703C97" w:rsidP="004C7EAB">
      <w:pPr>
        <w:pStyle w:val="51Abs"/>
        <w:keepNext/>
      </w:pPr>
      <w:r>
        <w:t xml:space="preserve">(1) Spalovací zařízení s tepelným výkonem paliva pod 100 kW nesmí, podle druhu paliva, překračovat následující emisní mezní hodnoty a spalinové ztráty:</w:t>
      </w:r>
    </w:p>
    <w:p w:rsidR="00703C97" w:rsidRPr="000736A5" w:rsidRDefault="00703C97" w:rsidP="00703C97">
      <w:pPr>
        <w:pStyle w:val="82ErlUeberschrL"/>
      </w:pPr>
      <w:bookmarkStart w:id="1" w:name="_Toc103744681"/>
      <w:r>
        <w:t xml:space="preserve">1.</w:t>
      </w:r>
      <w:r>
        <w:t xml:space="preserve"> </w:t>
      </w:r>
      <w:r>
        <w:t xml:space="preserve">Spalovací zařízení na pevná paliva</w:t>
      </w:r>
      <w:bookmarkEnd w:id="1"/>
      <w:r>
        <w:t xml:space="preserve">:</w:t>
      </w:r>
    </w:p>
    <w:tbl>
      <w:tblPr>
        <w:tblW w:w="8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1456"/>
        <w:gridCol w:w="1456"/>
        <w:gridCol w:w="1455"/>
        <w:gridCol w:w="1455"/>
      </w:tblGrid>
      <w:tr w:rsidR="00703C97" w:rsidRPr="000736A5" w:rsidTr="00E97CAD">
        <w:tc>
          <w:tcPr>
            <w:tcW w:w="2964" w:type="dxa"/>
            <w:vMerge w:val="restart"/>
          </w:tcPr>
          <w:p w:rsidR="00703C97" w:rsidRPr="000736A5" w:rsidRDefault="00703C97" w:rsidP="004C7EAB">
            <w:pPr>
              <w:pStyle w:val="61TabText"/>
              <w:keepNext/>
              <w:rPr>
                <w:b/>
              </w:rPr>
            </w:pPr>
            <w:r>
              <w:rPr>
                <w:b/>
              </w:rPr>
              <w:t xml:space="preserve">Parametr</w:t>
            </w:r>
          </w:p>
        </w:tc>
        <w:tc>
          <w:tcPr>
            <w:tcW w:w="2912" w:type="dxa"/>
            <w:gridSpan w:val="2"/>
          </w:tcPr>
          <w:p w:rsidR="00703C97" w:rsidRPr="000736A5" w:rsidRDefault="00703C97" w:rsidP="004C7EAB">
            <w:pPr>
              <w:pStyle w:val="61bTabTextZentriert"/>
              <w:keepNext/>
              <w:rPr>
                <w:b/>
              </w:rPr>
            </w:pPr>
            <w:r>
              <w:rPr>
                <w:b/>
              </w:rPr>
              <w:t xml:space="preserve">ruční přikládání</w:t>
            </w:r>
          </w:p>
        </w:tc>
        <w:tc>
          <w:tcPr>
            <w:tcW w:w="2910" w:type="dxa"/>
            <w:gridSpan w:val="2"/>
          </w:tcPr>
          <w:p w:rsidR="00703C97" w:rsidRPr="000736A5" w:rsidRDefault="00703C97" w:rsidP="004C7EAB">
            <w:pPr>
              <w:pStyle w:val="61bTabTextZentriert"/>
              <w:keepNext/>
              <w:rPr>
                <w:b/>
              </w:rPr>
            </w:pPr>
            <w:r>
              <w:rPr>
                <w:b/>
              </w:rPr>
              <w:t xml:space="preserve">automatické přikládání</w:t>
            </w:r>
          </w:p>
        </w:tc>
      </w:tr>
      <w:tr w:rsidR="00703C97" w:rsidRPr="000736A5" w:rsidTr="00E97CAD">
        <w:tc>
          <w:tcPr>
            <w:tcW w:w="2964" w:type="dxa"/>
            <w:vMerge/>
          </w:tcPr>
          <w:p w:rsidR="00703C97" w:rsidRPr="000736A5" w:rsidRDefault="00703C97" w:rsidP="004C7EAB">
            <w:pPr>
              <w:keepNext/>
              <w:spacing w:line="220" w:lineRule="exact"/>
              <w:rPr>
                <w:rFonts w:ascii="Times New Roman" w:hAnsi="Times New Roman"/>
                <w:color w:val="000000"/>
                <w:sz w:val="20"/>
              </w:rPr>
            </w:pPr>
          </w:p>
        </w:tc>
        <w:tc>
          <w:tcPr>
            <w:tcW w:w="1456" w:type="dxa"/>
          </w:tcPr>
          <w:p w:rsidR="00703C97" w:rsidRPr="000736A5" w:rsidRDefault="00703C97" w:rsidP="004C7EAB">
            <w:pPr>
              <w:pStyle w:val="61bTabTextZentriert"/>
              <w:keepNext/>
            </w:pPr>
            <w:r>
              <w:t xml:space="preserve">pevná biogenní</w:t>
            </w:r>
          </w:p>
        </w:tc>
        <w:tc>
          <w:tcPr>
            <w:tcW w:w="1456" w:type="dxa"/>
          </w:tcPr>
          <w:p w:rsidR="00703C97" w:rsidRPr="000736A5" w:rsidRDefault="00703C97" w:rsidP="004C7EAB">
            <w:pPr>
              <w:pStyle w:val="61bTabTextZentriert"/>
              <w:keepNext/>
            </w:pPr>
            <w:r>
              <w:t xml:space="preserve">pevná fosilní</w:t>
            </w:r>
          </w:p>
        </w:tc>
        <w:tc>
          <w:tcPr>
            <w:tcW w:w="1455" w:type="dxa"/>
          </w:tcPr>
          <w:p w:rsidR="00703C97" w:rsidRPr="000736A5" w:rsidRDefault="00703C97" w:rsidP="004C7EAB">
            <w:pPr>
              <w:pStyle w:val="61bTabTextZentriert"/>
              <w:keepNext/>
            </w:pPr>
            <w:r>
              <w:t xml:space="preserve">pevná biogenní</w:t>
            </w:r>
          </w:p>
        </w:tc>
        <w:tc>
          <w:tcPr>
            <w:tcW w:w="1455" w:type="dxa"/>
          </w:tcPr>
          <w:p w:rsidR="00703C97" w:rsidRPr="000736A5" w:rsidRDefault="00703C97" w:rsidP="004C7EAB">
            <w:pPr>
              <w:pStyle w:val="61bTabTextZentriert"/>
              <w:keepNext/>
            </w:pPr>
            <w:r>
              <w:t xml:space="preserve">pevná fosilní</w:t>
            </w:r>
          </w:p>
        </w:tc>
      </w:tr>
      <w:tr w:rsidR="00703C97" w:rsidRPr="000736A5" w:rsidTr="00E97CAD">
        <w:tc>
          <w:tcPr>
            <w:tcW w:w="2964" w:type="dxa"/>
          </w:tcPr>
          <w:p w:rsidR="00703C97" w:rsidRPr="000736A5" w:rsidRDefault="00703C97" w:rsidP="00E97CAD">
            <w:pPr>
              <w:pStyle w:val="61TabText"/>
            </w:pPr>
            <w:r>
              <w:t xml:space="preserve">Spalinová ztráta (%)</w:t>
            </w:r>
          </w:p>
        </w:tc>
        <w:tc>
          <w:tcPr>
            <w:tcW w:w="1456" w:type="dxa"/>
          </w:tcPr>
          <w:p w:rsidR="00703C97" w:rsidRPr="000736A5" w:rsidRDefault="00703C97" w:rsidP="00E97CAD">
            <w:pPr>
              <w:pStyle w:val="61bTabTextZentriert"/>
            </w:pPr>
            <w:r>
              <w:t xml:space="preserve">20</w:t>
            </w:r>
          </w:p>
        </w:tc>
        <w:tc>
          <w:tcPr>
            <w:tcW w:w="1456" w:type="dxa"/>
          </w:tcPr>
          <w:p w:rsidR="00703C97" w:rsidRPr="000736A5" w:rsidRDefault="00703C97" w:rsidP="00E97CAD">
            <w:pPr>
              <w:pStyle w:val="61bTabTextZentriert"/>
            </w:pPr>
            <w:r>
              <w:t xml:space="preserve">20</w:t>
            </w:r>
          </w:p>
        </w:tc>
        <w:tc>
          <w:tcPr>
            <w:tcW w:w="1455" w:type="dxa"/>
          </w:tcPr>
          <w:p w:rsidR="00703C97" w:rsidRPr="000736A5" w:rsidRDefault="00703C97" w:rsidP="00E97CAD">
            <w:pPr>
              <w:pStyle w:val="61bTabTextZentriert"/>
            </w:pPr>
            <w:r>
              <w:t xml:space="preserve">19</w:t>
            </w:r>
          </w:p>
        </w:tc>
        <w:tc>
          <w:tcPr>
            <w:tcW w:w="1455" w:type="dxa"/>
          </w:tcPr>
          <w:p w:rsidR="00703C97" w:rsidRPr="000736A5" w:rsidRDefault="00703C97" w:rsidP="00E97CAD">
            <w:pPr>
              <w:pStyle w:val="61bTabTextZentriert"/>
            </w:pPr>
            <w:r>
              <w:t xml:space="preserve">19</w:t>
            </w:r>
          </w:p>
        </w:tc>
      </w:tr>
      <w:tr w:rsidR="00703C97" w:rsidRPr="000736A5" w:rsidTr="00E97CAD">
        <w:tc>
          <w:tcPr>
            <w:tcW w:w="2964" w:type="dxa"/>
          </w:tcPr>
          <w:p w:rsidR="00703C97" w:rsidRPr="000736A5" w:rsidRDefault="00703C97" w:rsidP="00E97CAD">
            <w:pPr>
              <w:pStyle w:val="61TabText"/>
            </w:pPr>
            <w:r>
              <w:t xml:space="preserve">CO (mg/m³)</w:t>
            </w:r>
          </w:p>
        </w:tc>
        <w:tc>
          <w:tcPr>
            <w:tcW w:w="1456" w:type="dxa"/>
          </w:tcPr>
          <w:p w:rsidR="00703C97" w:rsidRPr="000736A5" w:rsidRDefault="00703C97" w:rsidP="00E97CAD">
            <w:pPr>
              <w:pStyle w:val="61bTabTextZentriert"/>
            </w:pPr>
            <w:r>
              <w:t xml:space="preserve">4 500</w:t>
            </w:r>
          </w:p>
        </w:tc>
        <w:tc>
          <w:tcPr>
            <w:tcW w:w="1456" w:type="dxa"/>
          </w:tcPr>
          <w:p w:rsidR="00703C97" w:rsidRPr="000736A5" w:rsidRDefault="00703C97" w:rsidP="00E97CAD">
            <w:pPr>
              <w:pStyle w:val="61bTabTextZentriert"/>
            </w:pPr>
            <w:r>
              <w:t xml:space="preserve">3 500</w:t>
            </w:r>
            <w:r>
              <w:t xml:space="preserve"> </w:t>
            </w:r>
          </w:p>
        </w:tc>
        <w:tc>
          <w:tcPr>
            <w:tcW w:w="1455" w:type="dxa"/>
          </w:tcPr>
          <w:p w:rsidR="00703C97" w:rsidRPr="000736A5" w:rsidRDefault="00703C97" w:rsidP="00E97CAD">
            <w:pPr>
              <w:pStyle w:val="61bTabTextZentriert"/>
            </w:pPr>
            <w:r>
              <w:t xml:space="preserve">1 800</w:t>
            </w:r>
          </w:p>
        </w:tc>
        <w:tc>
          <w:tcPr>
            <w:tcW w:w="1455" w:type="dxa"/>
          </w:tcPr>
          <w:p w:rsidR="00703C97" w:rsidRPr="000736A5" w:rsidRDefault="00703C97" w:rsidP="00E97CAD">
            <w:pPr>
              <w:pStyle w:val="61bTabTextZentriert"/>
            </w:pPr>
            <w:r>
              <w:t xml:space="preserve">1 500</w:t>
            </w:r>
            <w:r>
              <w:t xml:space="preserve"> </w:t>
            </w:r>
          </w:p>
        </w:tc>
      </w:tr>
    </w:tbl>
    <w:p w:rsidR="00703C97" w:rsidRPr="000736A5" w:rsidRDefault="00703C97" w:rsidP="00703C97">
      <w:pPr>
        <w:pStyle w:val="58Schlussteile05"/>
      </w:pPr>
      <w:r>
        <w:t xml:space="preserve">Mezní hodnota CO je vztažena na obsah kyslíku 6 %.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Spalovací zařízení na kapalná paliva:</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4366"/>
      </w:tblGrid>
      <w:tr w:rsidR="00703C97" w:rsidRPr="000736A5" w:rsidTr="00E97CAD">
        <w:trPr>
          <w:tblHeader/>
        </w:trPr>
        <w:tc>
          <w:tcPr>
            <w:tcW w:w="4446" w:type="dxa"/>
          </w:tcPr>
          <w:p w:rsidR="00703C97" w:rsidRPr="000736A5" w:rsidRDefault="00703C97" w:rsidP="004C7EAB">
            <w:pPr>
              <w:pStyle w:val="61TabText"/>
              <w:keepNext/>
              <w:rPr>
                <w:b/>
              </w:rPr>
            </w:pPr>
            <w:r>
              <w:rPr>
                <w:b/>
              </w:rPr>
              <w:t xml:space="preserve">Parametr</w:t>
            </w:r>
            <w:r>
              <w:rPr>
                <w:b/>
              </w:rPr>
              <w:t xml:space="preserve"> </w:t>
            </w:r>
          </w:p>
        </w:tc>
        <w:tc>
          <w:tcPr>
            <w:tcW w:w="4366" w:type="dxa"/>
          </w:tcPr>
          <w:p w:rsidR="00703C97" w:rsidRPr="000736A5" w:rsidRDefault="00703C97" w:rsidP="004C7EAB">
            <w:pPr>
              <w:pStyle w:val="61bTabTextZentriert"/>
              <w:keepNext/>
              <w:rPr>
                <w:b/>
              </w:rPr>
            </w:pPr>
            <w:r>
              <w:rPr>
                <w:b/>
              </w:rPr>
              <w:t xml:space="preserve">Mezní hodnota</w:t>
            </w:r>
          </w:p>
        </w:tc>
      </w:tr>
      <w:tr w:rsidR="00703C97" w:rsidRPr="000736A5" w:rsidTr="00E97CAD">
        <w:tc>
          <w:tcPr>
            <w:tcW w:w="4446" w:type="dxa"/>
          </w:tcPr>
          <w:p w:rsidR="00703C97" w:rsidRPr="000736A5" w:rsidRDefault="00703C97" w:rsidP="00E97CAD">
            <w:pPr>
              <w:pStyle w:val="61TabText"/>
            </w:pPr>
            <w:r>
              <w:t xml:space="preserve">Spalinová ztráta (%)</w:t>
            </w:r>
          </w:p>
        </w:tc>
        <w:tc>
          <w:tcPr>
            <w:tcW w:w="4366" w:type="dxa"/>
          </w:tcPr>
          <w:p w:rsidR="00703C97" w:rsidRPr="000736A5" w:rsidRDefault="00703C97" w:rsidP="00E97CAD">
            <w:pPr>
              <w:pStyle w:val="61bTabTextZentriert"/>
            </w:pPr>
            <w:r>
              <w:t xml:space="preserve">10</w:t>
            </w:r>
          </w:p>
        </w:tc>
      </w:tr>
      <w:tr w:rsidR="00703C97" w:rsidRPr="000736A5" w:rsidTr="00E97CAD">
        <w:tc>
          <w:tcPr>
            <w:tcW w:w="4446" w:type="dxa"/>
          </w:tcPr>
          <w:p w:rsidR="00703C97" w:rsidRPr="000736A5" w:rsidRDefault="00703C97" w:rsidP="00E97CAD">
            <w:pPr>
              <w:pStyle w:val="61TabText"/>
            </w:pPr>
            <w:r>
              <w:t xml:space="preserve">Koeficient sazí*</w:t>
            </w:r>
          </w:p>
        </w:tc>
        <w:tc>
          <w:tcPr>
            <w:tcW w:w="4366" w:type="dxa"/>
          </w:tcPr>
          <w:p w:rsidR="00703C97" w:rsidRPr="000736A5" w:rsidRDefault="00703C97" w:rsidP="00E97CAD">
            <w:pPr>
              <w:pStyle w:val="61bTabTextZentriert"/>
            </w:pPr>
            <w:r>
              <w:t xml:space="preserve">1</w:t>
            </w:r>
          </w:p>
        </w:tc>
      </w:tr>
      <w:tr w:rsidR="00703C97" w:rsidRPr="000736A5" w:rsidTr="00E97CAD">
        <w:tc>
          <w:tcPr>
            <w:tcW w:w="4446" w:type="dxa"/>
          </w:tcPr>
          <w:p w:rsidR="00703C97" w:rsidRPr="000736A5" w:rsidRDefault="00703C97" w:rsidP="00E97CAD">
            <w:pPr>
              <w:pStyle w:val="61TabText"/>
            </w:pPr>
            <w:r>
              <w:t xml:space="preserve">CO (mg/m³)</w:t>
            </w:r>
          </w:p>
        </w:tc>
        <w:tc>
          <w:tcPr>
            <w:tcW w:w="4366" w:type="dxa"/>
          </w:tcPr>
          <w:p w:rsidR="00703C97" w:rsidRPr="000736A5" w:rsidRDefault="00703C97" w:rsidP="00E97CAD">
            <w:pPr>
              <w:pStyle w:val="61bTabTextZentriert"/>
            </w:pPr>
            <w:r>
              <w:t xml:space="preserve">100</w:t>
            </w:r>
          </w:p>
        </w:tc>
      </w:tr>
    </w:tbl>
    <w:p w:rsidR="00703C97" w:rsidRPr="000736A5" w:rsidRDefault="00703C97" w:rsidP="00703C97">
      <w:pPr>
        <w:pStyle w:val="58Schlussteile05"/>
      </w:pPr>
      <w:r>
        <w:t xml:space="preserve">Mezní hodnota CO je vztažena na obsah kyslíku 3 %.</w:t>
      </w:r>
    </w:p>
    <w:p w:rsidR="00703C97" w:rsidRPr="000736A5" w:rsidRDefault="00703C97" w:rsidP="00703C97">
      <w:pPr>
        <w:pStyle w:val="58Schlussteile05"/>
      </w:pPr>
      <w:r>
        <w:t xml:space="preserve">* Neplatí pro hodnoty zařízení spalující olej</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Spalovací zařízení na plynná paliva:</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2964"/>
        <w:gridCol w:w="3248"/>
      </w:tblGrid>
      <w:tr w:rsidR="00703C97" w:rsidRPr="000736A5" w:rsidTr="00E97CAD">
        <w:tc>
          <w:tcPr>
            <w:tcW w:w="2600" w:type="dxa"/>
          </w:tcPr>
          <w:p w:rsidR="00703C97" w:rsidRPr="000736A5" w:rsidRDefault="00703C97" w:rsidP="004C7EAB">
            <w:pPr>
              <w:pStyle w:val="61TabText"/>
              <w:keepNext/>
              <w:rPr>
                <w:b/>
              </w:rPr>
            </w:pPr>
            <w:r>
              <w:rPr>
                <w:b/>
              </w:rPr>
              <w:t xml:space="preserve">Parametr</w:t>
            </w:r>
          </w:p>
        </w:tc>
        <w:tc>
          <w:tcPr>
            <w:tcW w:w="2964" w:type="dxa"/>
          </w:tcPr>
          <w:p w:rsidR="00703C97" w:rsidRPr="000736A5" w:rsidRDefault="00703C97" w:rsidP="004C7EAB">
            <w:pPr>
              <w:pStyle w:val="61bTabTextZentriert"/>
              <w:keepNext/>
              <w:rPr>
                <w:b/>
              </w:rPr>
            </w:pPr>
            <w:r>
              <w:rPr>
                <w:b/>
              </w:rPr>
              <w:t xml:space="preserve">Spalovací zařízení</w:t>
            </w:r>
          </w:p>
        </w:tc>
        <w:tc>
          <w:tcPr>
            <w:tcW w:w="3248" w:type="dxa"/>
          </w:tcPr>
          <w:p w:rsidR="00703C97" w:rsidRPr="000736A5" w:rsidRDefault="00703C97" w:rsidP="004C7EAB">
            <w:pPr>
              <w:pStyle w:val="61bTabTextZentriert"/>
              <w:keepNext/>
              <w:rPr>
                <w:b/>
              </w:rPr>
            </w:pPr>
            <w:r>
              <w:rPr>
                <w:b/>
              </w:rPr>
              <w:t xml:space="preserve">Zařízení na přípravu teplé vody od 26 kW jmenovitého tepelného výkonu</w:t>
            </w:r>
            <w:r>
              <w:rPr>
                <w:b/>
              </w:rPr>
              <w:t xml:space="preserve"> </w:t>
            </w:r>
          </w:p>
        </w:tc>
      </w:tr>
      <w:tr w:rsidR="00703C97" w:rsidRPr="000736A5" w:rsidTr="00E97CAD">
        <w:tc>
          <w:tcPr>
            <w:tcW w:w="2600" w:type="dxa"/>
          </w:tcPr>
          <w:p w:rsidR="00703C97" w:rsidRPr="000736A5" w:rsidRDefault="00703C97" w:rsidP="00E97CAD">
            <w:pPr>
              <w:pStyle w:val="61TabText"/>
            </w:pPr>
            <w:r>
              <w:t xml:space="preserve">Spalinová ztráta (%)</w:t>
            </w:r>
          </w:p>
        </w:tc>
        <w:tc>
          <w:tcPr>
            <w:tcW w:w="2964" w:type="dxa"/>
          </w:tcPr>
          <w:p w:rsidR="00703C97" w:rsidRPr="000736A5" w:rsidRDefault="00703C97" w:rsidP="00E97CAD">
            <w:pPr>
              <w:pStyle w:val="61bTabTextZentriert"/>
            </w:pPr>
            <w:r>
              <w:t xml:space="preserve">10</w:t>
            </w:r>
          </w:p>
        </w:tc>
        <w:tc>
          <w:tcPr>
            <w:tcW w:w="3248" w:type="dxa"/>
          </w:tcPr>
          <w:p w:rsidR="00703C97" w:rsidRPr="000736A5" w:rsidRDefault="00703C97" w:rsidP="00E97CAD">
            <w:pPr>
              <w:pStyle w:val="61bTabTextZentriert"/>
            </w:pPr>
            <w:r>
              <w:t xml:space="preserve">14</w:t>
            </w:r>
          </w:p>
        </w:tc>
      </w:tr>
      <w:tr w:rsidR="00703C97" w:rsidRPr="000736A5" w:rsidTr="00E97CAD">
        <w:tc>
          <w:tcPr>
            <w:tcW w:w="2600" w:type="dxa"/>
          </w:tcPr>
          <w:p w:rsidR="00703C97" w:rsidRPr="000736A5" w:rsidRDefault="00703C97" w:rsidP="00E97CAD">
            <w:pPr>
              <w:pStyle w:val="61TabText"/>
            </w:pPr>
            <w:r>
              <w:t xml:space="preserve">CO (mg/m³)</w:t>
            </w:r>
          </w:p>
        </w:tc>
        <w:tc>
          <w:tcPr>
            <w:tcW w:w="2964" w:type="dxa"/>
          </w:tcPr>
          <w:p w:rsidR="00703C97" w:rsidRPr="000736A5" w:rsidRDefault="00703C97" w:rsidP="00E97CAD">
            <w:pPr>
              <w:pStyle w:val="61bTabTextZentriert"/>
            </w:pPr>
            <w:r>
              <w:t xml:space="preserve">100</w:t>
            </w:r>
          </w:p>
        </w:tc>
        <w:tc>
          <w:tcPr>
            <w:tcW w:w="3248" w:type="dxa"/>
          </w:tcPr>
          <w:p w:rsidR="00703C97" w:rsidRPr="000736A5" w:rsidRDefault="00703C97" w:rsidP="00E97CAD">
            <w:pPr>
              <w:pStyle w:val="61bTabTextZentriert"/>
            </w:pPr>
            <w:r>
              <w:t xml:space="preserve">200</w:t>
            </w:r>
          </w:p>
        </w:tc>
      </w:tr>
    </w:tbl>
    <w:p w:rsidR="00703C97" w:rsidRPr="000736A5" w:rsidRDefault="00703C97" w:rsidP="00703C97">
      <w:pPr>
        <w:pStyle w:val="58Schlussteile05"/>
      </w:pPr>
      <w:r>
        <w:t xml:space="preserve">Mezní hodnota CO je vztažena na obsah kyslíku 3 %.</w:t>
      </w:r>
    </w:p>
    <w:p w:rsidR="00703C97" w:rsidRPr="000736A5" w:rsidRDefault="00703C97" w:rsidP="004C7EAB">
      <w:pPr>
        <w:pStyle w:val="51Abs"/>
        <w:keepNext/>
      </w:pPr>
      <w:r>
        <w:t xml:space="preserve">2) </w:t>
      </w:r>
      <w:bookmarkStart w:id="2" w:name="_Toc103744682"/>
      <w:r>
        <w:t xml:space="preserve">Pro spalovací zařízení provozovaná nestandardizovanými biogenními palivy platí pro první kontrolu následující mezní hodnoty:</w:t>
      </w:r>
    </w:p>
    <w:p w:rsidR="00703C97" w:rsidRPr="000736A5" w:rsidRDefault="00703C97" w:rsidP="004C7EAB">
      <w:pPr>
        <w:pStyle w:val="09Abstand"/>
        <w:keepNext/>
      </w:pPr>
    </w:p>
    <w:bookmarkEnd w:id="2"/>
    <w:p w:rsidR="00703C97" w:rsidRPr="000736A5" w:rsidRDefault="00703C97" w:rsidP="00703C97">
      <w:pPr>
        <w:pStyle w:val="82ErlUeberschrL"/>
      </w:pPr>
      <w:r>
        <w:t xml:space="preserve">1.</w:t>
      </w:r>
      <w:r>
        <w:t xml:space="preserve"> </w:t>
      </w:r>
      <w:r>
        <w:t xml:space="preserve">Pevná biogenní paliva:</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0"/>
        <w:gridCol w:w="4394"/>
      </w:tblGrid>
      <w:tr w:rsidR="00703C97" w:rsidRPr="000736A5" w:rsidTr="00E97CAD">
        <w:trPr>
          <w:tblHeader/>
        </w:trPr>
        <w:tc>
          <w:tcPr>
            <w:tcW w:w="4420" w:type="dxa"/>
          </w:tcPr>
          <w:p w:rsidR="00703C97" w:rsidRPr="000736A5" w:rsidRDefault="00703C97" w:rsidP="004C7EAB">
            <w:pPr>
              <w:pStyle w:val="61TabText"/>
              <w:keepNext/>
              <w:rPr>
                <w:b/>
              </w:rPr>
            </w:pPr>
            <w:r>
              <w:rPr>
                <w:b/>
              </w:rPr>
              <w:t xml:space="preserve">Parametry:</w:t>
            </w:r>
          </w:p>
        </w:tc>
        <w:tc>
          <w:tcPr>
            <w:tcW w:w="4394" w:type="dxa"/>
          </w:tcPr>
          <w:p w:rsidR="00703C97" w:rsidRPr="000736A5" w:rsidRDefault="00703C97" w:rsidP="004C7EAB">
            <w:pPr>
              <w:pStyle w:val="61bTabTextZentriert"/>
              <w:keepNext/>
              <w:rPr>
                <w:b/>
              </w:rPr>
            </w:pPr>
            <w:r>
              <w:rPr>
                <w:b/>
              </w:rPr>
              <w:t xml:space="preserve">Mezní hodnoty:</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Spalinová ztráta (%)</w:t>
            </w:r>
          </w:p>
        </w:tc>
        <w:tc>
          <w:tcPr>
            <w:tcW w:w="4394" w:type="dxa"/>
          </w:tcPr>
          <w:p w:rsidR="00703C97" w:rsidRPr="000736A5" w:rsidRDefault="00703C97" w:rsidP="00E97CAD">
            <w:pPr>
              <w:pStyle w:val="61bTabTextZentriert"/>
            </w:pPr>
            <w:r>
              <w:t xml:space="preserve">19</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prach (mg/m³)</w:t>
            </w:r>
            <w:r>
              <w:t xml:space="preserve"> </w:t>
            </w:r>
          </w:p>
        </w:tc>
        <w:tc>
          <w:tcPr>
            <w:tcW w:w="4394" w:type="dxa"/>
          </w:tcPr>
          <w:p w:rsidR="00703C97" w:rsidRPr="000736A5" w:rsidRDefault="00703C97" w:rsidP="00E97CAD">
            <w:pPr>
              <w:pStyle w:val="61bTabTextZentriert"/>
            </w:pPr>
            <w:r>
              <w:t xml:space="preserve">150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CO (mg/m³)</w:t>
            </w:r>
          </w:p>
        </w:tc>
        <w:tc>
          <w:tcPr>
            <w:tcW w:w="4394" w:type="dxa"/>
          </w:tcPr>
          <w:p w:rsidR="00703C97" w:rsidRPr="000736A5" w:rsidRDefault="00703C97" w:rsidP="00E97CAD">
            <w:pPr>
              <w:pStyle w:val="61bTabTextZentriert"/>
            </w:pPr>
            <w:r>
              <w:t xml:space="preserve">800*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OGC (mg/m³)</w:t>
            </w:r>
          </w:p>
        </w:tc>
        <w:tc>
          <w:tcPr>
            <w:tcW w:w="4394" w:type="dxa"/>
          </w:tcPr>
          <w:p w:rsidR="00703C97" w:rsidRPr="000736A5" w:rsidRDefault="00703C97" w:rsidP="00E97CAD">
            <w:pPr>
              <w:pStyle w:val="61bTabTextZentriert"/>
            </w:pPr>
            <w:r>
              <w:t xml:space="preserve">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4394" w:type="dxa"/>
          </w:tcPr>
          <w:p w:rsidR="00703C97" w:rsidRPr="000736A5" w:rsidRDefault="00703C97" w:rsidP="00E97CAD">
            <w:pPr>
              <w:pStyle w:val="61bTabTextZentriert"/>
            </w:pPr>
            <w:r>
              <w:t xml:space="preserve">500</w:t>
            </w:r>
          </w:p>
        </w:tc>
      </w:tr>
    </w:tbl>
    <w:p w:rsidR="00703C97" w:rsidRPr="000736A5" w:rsidRDefault="00703C97" w:rsidP="00703C97">
      <w:pPr>
        <w:pStyle w:val="58Schlussteile05"/>
      </w:pPr>
      <w:r>
        <w:t xml:space="preserve">Mezní hodnoty pro CO, NO</w:t>
      </w:r>
      <w:r>
        <w:rPr>
          <w:vertAlign w:val="subscript"/>
        </w:rPr>
        <w:t xml:space="preserve">x</w:t>
      </w:r>
      <w:r>
        <w:t xml:space="preserve">, OGC a prach jsou vztaženy na obsah kyslíku 11 %.</w:t>
      </w:r>
    </w:p>
    <w:p w:rsidR="00703C97" w:rsidRPr="000736A5" w:rsidRDefault="00703C97" w:rsidP="00703C97">
      <w:pPr>
        <w:pStyle w:val="58Schlussteile05"/>
      </w:pPr>
      <w:r>
        <w:t xml:space="preserve">* Při provozu s dílčí zátěží menší než 50 % jmenovitého tepelného výkonu lze překročit mezní hodnotu o 50 %.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Kapalná biogenní paliva:</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133150">
        <w:trPr>
          <w:tblHeader/>
        </w:trPr>
        <w:tc>
          <w:tcPr>
            <w:tcW w:w="2886" w:type="dxa"/>
          </w:tcPr>
          <w:p w:rsidR="00703C97" w:rsidRPr="000736A5" w:rsidRDefault="00703C97" w:rsidP="004C7EAB">
            <w:pPr>
              <w:pStyle w:val="61TabText"/>
              <w:keepNext/>
              <w:rPr>
                <w:b/>
              </w:rPr>
            </w:pPr>
            <w:r>
              <w:rPr>
                <w:b/>
              </w:rPr>
              <w:t xml:space="preserve">Parametry:</w:t>
            </w:r>
          </w:p>
        </w:tc>
        <w:tc>
          <w:tcPr>
            <w:tcW w:w="5926" w:type="dxa"/>
          </w:tcPr>
          <w:p w:rsidR="00703C97" w:rsidRPr="000736A5" w:rsidRDefault="00703C97" w:rsidP="004C7EAB">
            <w:pPr>
              <w:pStyle w:val="61bTabTextZentriert"/>
              <w:keepNext/>
              <w:rPr>
                <w:b/>
              </w:rPr>
            </w:pPr>
            <w:r>
              <w:rPr>
                <w:b/>
              </w:rPr>
              <w:t xml:space="preserve">Mezní hodnoty:</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Spalinová ztráta (%)</w:t>
            </w:r>
          </w:p>
        </w:tc>
        <w:tc>
          <w:tcPr>
            <w:tcW w:w="5926" w:type="dxa"/>
          </w:tcPr>
          <w:p w:rsidR="00703C97" w:rsidRPr="000736A5" w:rsidRDefault="00703C97" w:rsidP="00E97CAD">
            <w:pPr>
              <w:pStyle w:val="61bTabTextZentriert"/>
            </w:pPr>
            <w:r>
              <w:t xml:space="preserve">10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Koeficient sazí</w:t>
            </w:r>
            <w:r>
              <w:t xml:space="preserve"> </w:t>
            </w:r>
          </w:p>
        </w:tc>
        <w:tc>
          <w:tcPr>
            <w:tcW w:w="5926" w:type="dxa"/>
          </w:tcPr>
          <w:p w:rsidR="00703C97" w:rsidRPr="000736A5" w:rsidRDefault="00703C97" w:rsidP="00E97CAD">
            <w:pPr>
              <w:pStyle w:val="61bTabTextZentriert"/>
            </w:pPr>
            <w:r>
              <w:t xml:space="preserve">1</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5926" w:type="dxa"/>
          </w:tcPr>
          <w:p w:rsidR="00703C97" w:rsidRPr="000736A5" w:rsidRDefault="00703C97" w:rsidP="00E97CAD">
            <w:pPr>
              <w:pStyle w:val="61bTabTextZentriert"/>
            </w:pPr>
            <w:r>
              <w:t xml:space="preserve">450</w:t>
            </w:r>
          </w:p>
        </w:tc>
      </w:tr>
      <w:tr w:rsidR="00703C97" w:rsidRPr="000736A5" w:rsidTr="00133150">
        <w:tblPrEx>
          <w:tblCellMar>
            <w:left w:w="71" w:type="dxa"/>
            <w:right w:w="71" w:type="dxa"/>
          </w:tblCellMar>
        </w:tblPrEx>
        <w:trPr>
          <w:tblHeader/>
        </w:trPr>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170</w:t>
            </w:r>
          </w:p>
        </w:tc>
      </w:tr>
    </w:tbl>
    <w:p w:rsidR="00703C97" w:rsidRPr="000736A5" w:rsidRDefault="00703C97" w:rsidP="00703C97">
      <w:pPr>
        <w:pStyle w:val="58Schlussteile05"/>
      </w:pPr>
      <w:r>
        <w:t xml:space="preserve">Mezní hodnoty pro CO, NO</w:t>
      </w:r>
      <w:r>
        <w:rPr>
          <w:vertAlign w:val="subscript"/>
        </w:rPr>
        <w:t xml:space="preserve">x</w:t>
      </w:r>
      <w:r>
        <w:t xml:space="preserve"> a SO</w:t>
      </w:r>
      <w:r>
        <w:rPr>
          <w:vertAlign w:val="subscript"/>
        </w:rPr>
        <w:t xml:space="preserve">2</w:t>
      </w:r>
      <w:r>
        <w:t xml:space="preserve"> jsou vztaženy vždy na obsah kyslíku 3 %.</w:t>
      </w:r>
      <w:r>
        <w:t xml:space="preserve"> </w:t>
      </w:r>
      <w:r>
        <w:t xml:space="preserve">Koncentraci SO</w:t>
      </w:r>
      <w:r>
        <w:rPr>
          <w:vertAlign w:val="subscript"/>
        </w:rPr>
        <w:t xml:space="preserve">2</w:t>
      </w:r>
      <w:r>
        <w:t xml:space="preserve"> ve spalinách lze stanovit také početně, pokud jsou k dispozici vhodné důkazy o obsahu síry v palivu.</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Plynná biogenní paliva:</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E97CAD">
        <w:trPr>
          <w:tblHeader/>
        </w:trPr>
        <w:tc>
          <w:tcPr>
            <w:tcW w:w="2886" w:type="dxa"/>
          </w:tcPr>
          <w:p w:rsidR="00703C97" w:rsidRPr="000736A5" w:rsidRDefault="00703C97" w:rsidP="004C7EAB">
            <w:pPr>
              <w:pStyle w:val="61TabText"/>
              <w:keepNext/>
              <w:rPr>
                <w:b/>
              </w:rPr>
            </w:pPr>
            <w:r>
              <w:rPr>
                <w:b/>
              </w:rPr>
              <w:t xml:space="preserve">Parametry:</w:t>
            </w:r>
          </w:p>
        </w:tc>
        <w:tc>
          <w:tcPr>
            <w:tcW w:w="5926" w:type="dxa"/>
          </w:tcPr>
          <w:p w:rsidR="00703C97" w:rsidRPr="000736A5" w:rsidRDefault="00703C97" w:rsidP="004C7EAB">
            <w:pPr>
              <w:pStyle w:val="61bTabTextZentriert"/>
              <w:keepNext/>
              <w:rPr>
                <w:b/>
              </w:rPr>
            </w:pPr>
            <w:r>
              <w:rPr>
                <w:b/>
              </w:rPr>
              <w:t xml:space="preserve">Mezní hodnoty:</w:t>
            </w:r>
          </w:p>
        </w:tc>
      </w:tr>
      <w:tr w:rsidR="00703C97" w:rsidRPr="000736A5" w:rsidTr="00E97CAD">
        <w:tc>
          <w:tcPr>
            <w:tcW w:w="2886" w:type="dxa"/>
          </w:tcPr>
          <w:p w:rsidR="00703C97" w:rsidRPr="000736A5" w:rsidRDefault="00703C97" w:rsidP="00E97CAD">
            <w:pPr>
              <w:pStyle w:val="61TabText"/>
            </w:pPr>
            <w:r>
              <w:t xml:space="preserve">Spalinová ztráta (%)</w:t>
            </w:r>
          </w:p>
        </w:tc>
        <w:tc>
          <w:tcPr>
            <w:tcW w:w="5926" w:type="dxa"/>
          </w:tcPr>
          <w:p w:rsidR="00703C97" w:rsidRPr="000736A5" w:rsidRDefault="00703C97" w:rsidP="00E97CAD">
            <w:pPr>
              <w:pStyle w:val="61bTabTextZentriert"/>
            </w:pPr>
            <w:r>
              <w:t xml:space="preserve">10</w:t>
            </w:r>
          </w:p>
        </w:tc>
      </w:tr>
      <w:tr w:rsidR="00703C97" w:rsidRPr="000736A5" w:rsidTr="00E97CAD">
        <w:tc>
          <w:tcPr>
            <w:tcW w:w="2886" w:type="dxa"/>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E97CAD">
        <w:tc>
          <w:tcPr>
            <w:tcW w:w="2886" w:type="dxa"/>
          </w:tcPr>
          <w:p w:rsidR="00703C97" w:rsidRPr="000736A5" w:rsidRDefault="00703C97" w:rsidP="00E97CAD">
            <w:pPr>
              <w:pStyle w:val="61TabText"/>
            </w:pPr>
            <w:r>
              <w:t xml:space="preserve">NO</w:t>
            </w:r>
            <w:r>
              <w:rPr>
                <w:vertAlign w:val="subscript"/>
              </w:rPr>
              <w:t xml:space="preserve">x</w:t>
            </w:r>
            <w:r>
              <w:t xml:space="preserve"> (mg/m³)</w:t>
            </w:r>
          </w:p>
        </w:tc>
        <w:tc>
          <w:tcPr>
            <w:tcW w:w="5926" w:type="dxa"/>
          </w:tcPr>
          <w:p w:rsidR="00703C97" w:rsidRPr="000736A5" w:rsidRDefault="00703C97" w:rsidP="00E97CAD">
            <w:pPr>
              <w:pStyle w:val="61bTabTextZentriert"/>
            </w:pPr>
            <w:r>
              <w:t xml:space="preserve">200</w:t>
            </w:r>
          </w:p>
        </w:tc>
      </w:tr>
      <w:tr w:rsidR="00703C97" w:rsidRPr="000736A5" w:rsidTr="00E97CAD">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350</w:t>
            </w:r>
          </w:p>
        </w:tc>
      </w:tr>
    </w:tbl>
    <w:p w:rsidR="00703C97" w:rsidRPr="000736A5" w:rsidRDefault="00703C97" w:rsidP="00703C97">
      <w:pPr>
        <w:pStyle w:val="58Schlussteile05"/>
      </w:pPr>
      <w:r>
        <w:t xml:space="preserve">Mezní hodnoty pro CO, NO</w:t>
      </w:r>
      <w:r>
        <w:rPr>
          <w:vertAlign w:val="subscript"/>
        </w:rPr>
        <w:t xml:space="preserve">x</w:t>
      </w:r>
      <w:r>
        <w:t xml:space="preserve"> a SO</w:t>
      </w:r>
      <w:r>
        <w:rPr>
          <w:vertAlign w:val="subscript"/>
        </w:rPr>
        <w:t xml:space="preserve">2</w:t>
      </w:r>
      <w:r>
        <w:t xml:space="preserve"> jsou vždy vztaženy na obsah kyslíku 3 %.“</w:t>
      </w:r>
    </w:p>
    <w:p w:rsidR="00703C97" w:rsidRPr="000736A5" w:rsidRDefault="00703C97" w:rsidP="00703C97">
      <w:pPr>
        <w:pStyle w:val="21NovAo1"/>
      </w:pPr>
      <w:r>
        <w:t xml:space="preserve">15.</w:t>
      </w:r>
      <w:r>
        <w:t xml:space="preserve"> </w:t>
      </w:r>
      <w:r>
        <w:t xml:space="preserve">§ 10 zní:</w:t>
      </w:r>
    </w:p>
    <w:p w:rsidR="00703C97" w:rsidRPr="000736A5" w:rsidRDefault="00703C97" w:rsidP="00703C97">
      <w:pPr>
        <w:pStyle w:val="45UeberschrPara"/>
      </w:pPr>
      <w:r>
        <w:t xml:space="preserve">„§ 10</w:t>
        <w:br/>
        <w:t xml:space="preserve">Spalovací zařízení s tepelným výkonem paliva od 100 kW</w:t>
      </w:r>
    </w:p>
    <w:p w:rsidR="00703C97" w:rsidRPr="000736A5" w:rsidRDefault="00703C97" w:rsidP="00703C97">
      <w:pPr>
        <w:pStyle w:val="51Abs"/>
      </w:pPr>
      <w:r>
        <w:t xml:space="preserve">(1) Spalovací zařízení s tepelným výkonem paliva od 100 kW nesmí překračovat emisní mezní hodnoty vyhlášky o spalovacích zařízeních (orig. Feuerungsanlagen-Verordnung – FAV).</w:t>
      </w:r>
    </w:p>
    <w:p w:rsidR="00703C97" w:rsidRPr="000736A5" w:rsidRDefault="00703C97" w:rsidP="00703C97">
      <w:pPr>
        <w:pStyle w:val="51Abs"/>
      </w:pPr>
      <w:r>
        <w:t xml:space="preserve">(2) Jsou-li spalovací zařízení provozována střídavě s různými palivy, pak platí vždy mezní emisní hodnoty pro použitý druh paliva, naplánované vyhláškou o spalovacích zařízeních – FAV pro tento daný druh paliva.</w:t>
      </w:r>
      <w:r>
        <w:t xml:space="preserve"> </w:t>
      </w:r>
    </w:p>
    <w:p w:rsidR="00703C97" w:rsidRPr="000736A5" w:rsidRDefault="00703C97" w:rsidP="00703C97">
      <w:pPr>
        <w:pStyle w:val="21NovAo1"/>
      </w:pPr>
      <w:r>
        <w:t xml:space="preserve">16.</w:t>
      </w:r>
      <w:r>
        <w:t xml:space="preserve"> </w:t>
      </w:r>
      <w:r>
        <w:t xml:space="preserve">§ 11 zní:</w:t>
      </w:r>
    </w:p>
    <w:p w:rsidR="00703C97" w:rsidRPr="000736A5" w:rsidRDefault="00703C97" w:rsidP="00703C97">
      <w:pPr>
        <w:pStyle w:val="45UeberschrPara"/>
      </w:pPr>
      <w:r>
        <w:t xml:space="preserve">„§ 11</w:t>
        <w:br/>
        <w:t xml:space="preserve">Blokové teplárny (včetně motorových a plynových turbín)</w:t>
      </w:r>
    </w:p>
    <w:p w:rsidR="00703C97" w:rsidRPr="000736A5" w:rsidRDefault="00703C97" w:rsidP="004C7EAB">
      <w:pPr>
        <w:pStyle w:val="51Abs"/>
        <w:keepNext/>
      </w:pPr>
      <w:r>
        <w:t xml:space="preserve">(1) Blokové teplárny s tepelným výkonem paliva pod 1 MW nesmí, podle druhu paliva, překračovat následující emisní mezní hodnoty:</w:t>
      </w:r>
    </w:p>
    <w:p w:rsidR="00703C97" w:rsidRPr="000736A5" w:rsidRDefault="00703C97" w:rsidP="00703C97">
      <w:pPr>
        <w:pStyle w:val="82ErlUeberschrL"/>
      </w:pPr>
      <w:r>
        <w:t xml:space="preserve">1.</w:t>
      </w:r>
      <w:r>
        <w:t xml:space="preserve"> </w:t>
      </w:r>
      <w:r>
        <w:t xml:space="preserve">Kapalná paliva:</w:t>
      </w:r>
      <w:r>
        <w:t xml:space="preserve"> </w:t>
      </w:r>
    </w:p>
    <w:tbl>
      <w:tblPr>
        <w:tblW w:w="6686" w:type="dxa"/>
        <w:tblInd w:w="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00"/>
        <w:gridCol w:w="2148"/>
        <w:gridCol w:w="1938"/>
      </w:tblGrid>
      <w:tr w:rsidR="00703C97" w:rsidRPr="000736A5" w:rsidTr="00E97CAD">
        <w:trPr>
          <w:tblHeader/>
        </w:trPr>
        <w:tc>
          <w:tcPr>
            <w:tcW w:w="2600" w:type="dxa"/>
            <w:tcBorders>
              <w:top w:val="single" w:sz="4" w:space="0" w:color="auto"/>
              <w:bottom w:val="nil"/>
            </w:tcBorders>
          </w:tcPr>
          <w:p w:rsidR="00703C97" w:rsidRPr="000736A5" w:rsidRDefault="00703C97" w:rsidP="004C7EAB">
            <w:pPr>
              <w:pStyle w:val="61TabText"/>
              <w:keepNext/>
              <w:rPr>
                <w:b/>
              </w:rPr>
            </w:pPr>
            <w:r>
              <w:rPr>
                <w:b/>
              </w:rPr>
              <w:t xml:space="preserve">Parametr</w:t>
            </w:r>
          </w:p>
        </w:tc>
        <w:tc>
          <w:tcPr>
            <w:tcW w:w="4086" w:type="dxa"/>
            <w:gridSpan w:val="2"/>
            <w:tcBorders>
              <w:top w:val="single" w:sz="4" w:space="0" w:color="auto"/>
            </w:tcBorders>
          </w:tcPr>
          <w:p w:rsidR="00703C97" w:rsidRPr="000736A5" w:rsidRDefault="00703C97" w:rsidP="004C7EAB">
            <w:pPr>
              <w:pStyle w:val="61bTabTextZentriert"/>
              <w:keepNext/>
              <w:rPr>
                <w:b/>
              </w:rPr>
            </w:pPr>
            <w:r>
              <w:rPr>
                <w:b/>
              </w:rPr>
              <w:t xml:space="preserve">Mezní hodnoty*</w:t>
            </w:r>
            <w:r>
              <w:rPr>
                <w:b/>
              </w:rPr>
              <w:t xml:space="preserve"> </w:t>
            </w:r>
          </w:p>
        </w:tc>
      </w:tr>
      <w:tr w:rsidR="00703C97" w:rsidRPr="000736A5" w:rsidTr="00E97CAD">
        <w:trPr>
          <w:tblHeader/>
        </w:trPr>
        <w:tc>
          <w:tcPr>
            <w:tcW w:w="2600" w:type="dxa"/>
            <w:tcBorders>
              <w:top w:val="nil"/>
              <w:bottom w:val="single" w:sz="4" w:space="0" w:color="auto"/>
            </w:tcBorders>
          </w:tcPr>
          <w:p w:rsidR="00703C97" w:rsidRPr="000736A5" w:rsidRDefault="00703C97" w:rsidP="004C7EAB">
            <w:pPr>
              <w:pStyle w:val="09Abstand"/>
              <w:keepNext/>
            </w:pPr>
          </w:p>
        </w:tc>
        <w:tc>
          <w:tcPr>
            <w:tcW w:w="2148" w:type="dxa"/>
            <w:tcBorders>
              <w:bottom w:val="single" w:sz="4" w:space="0" w:color="auto"/>
            </w:tcBorders>
          </w:tcPr>
          <w:p w:rsidR="00703C97" w:rsidRPr="000736A5" w:rsidRDefault="00703C97" w:rsidP="004C7EAB">
            <w:pPr>
              <w:pStyle w:val="61bTabTextZentriert"/>
              <w:keepNext/>
              <w:rPr>
                <w:b/>
              </w:rPr>
            </w:pPr>
            <w:r>
              <w:rPr>
                <w:b/>
              </w:rPr>
              <w:t xml:space="preserve">TVB &lt; 0,25</w:t>
            </w:r>
          </w:p>
        </w:tc>
        <w:tc>
          <w:tcPr>
            <w:tcW w:w="1938" w:type="dxa"/>
            <w:tcBorders>
              <w:bottom w:val="single" w:sz="4" w:space="0" w:color="auto"/>
            </w:tcBorders>
          </w:tcPr>
          <w:p w:rsidR="00703C97" w:rsidRPr="000736A5" w:rsidRDefault="00703C97" w:rsidP="004C7EAB">
            <w:pPr>
              <w:pStyle w:val="61bTabTextZentriert"/>
              <w:keepNext/>
              <w:rPr>
                <w:b/>
              </w:rPr>
            </w:pPr>
            <w:r>
              <w:rPr>
                <w:b/>
              </w:rPr>
              <w:t xml:space="preserve">TVB 0,25 až &lt; 1</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Bosch číslo</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3</w:t>
            </w:r>
          </w:p>
        </w:tc>
        <w:tc>
          <w:tcPr>
            <w:tcW w:w="1938" w:type="dxa"/>
            <w:tcBorders>
              <w:top w:val="single" w:sz="4" w:space="0" w:color="auto"/>
              <w:bottom w:val="single" w:sz="4" w:space="0" w:color="auto"/>
            </w:tcBorders>
          </w:tcPr>
          <w:p w:rsidR="00703C97" w:rsidRPr="000736A5" w:rsidRDefault="00703C97" w:rsidP="00E97CAD">
            <w:pPr>
              <w:pStyle w:val="61bTabTextZentriert"/>
              <w:rPr>
                <w:strike/>
              </w:rPr>
            </w:pPr>
            <w:r>
              <w:t xml:space="preserve">–</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prach (mg/m³)</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20</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CO (mg/m³)</w:t>
            </w:r>
          </w:p>
        </w:tc>
        <w:tc>
          <w:tcPr>
            <w:tcW w:w="2148" w:type="dxa"/>
            <w:tcBorders>
              <w:top w:val="single" w:sz="4" w:space="0" w:color="auto"/>
              <w:bottom w:val="single" w:sz="4" w:space="0" w:color="auto"/>
            </w:tcBorders>
          </w:tcPr>
          <w:p w:rsidR="00703C97" w:rsidRPr="000736A5" w:rsidRDefault="00703C97" w:rsidP="00E97CAD">
            <w:pPr>
              <w:pStyle w:val="61bTabTextZentriert"/>
              <w:rPr>
                <w:strike/>
              </w:rPr>
            </w:pPr>
            <w:r>
              <w:t xml:space="preserve">245</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95</w:t>
            </w:r>
          </w:p>
        </w:tc>
      </w:tr>
      <w:tr w:rsidR="00703C97" w:rsidRPr="000736A5" w:rsidTr="00E97CAD">
        <w:tc>
          <w:tcPr>
            <w:tcW w:w="2600" w:type="dxa"/>
            <w:tcBorders>
              <w:top w:val="single" w:sz="4" w:space="0" w:color="auto"/>
            </w:tcBorders>
          </w:tcPr>
          <w:p w:rsidR="00703C97" w:rsidRPr="000736A5" w:rsidRDefault="00703C97" w:rsidP="00E97CAD">
            <w:pPr>
              <w:pStyle w:val="61TabText"/>
            </w:pPr>
            <w:r>
              <w:t xml:space="preserve">NO</w:t>
            </w:r>
            <w:r>
              <w:rPr>
                <w:vertAlign w:val="subscript"/>
              </w:rPr>
              <w:t xml:space="preserve">x</w:t>
            </w:r>
            <w:r>
              <w:t xml:space="preserve"> (mg/m³)</w:t>
            </w:r>
          </w:p>
        </w:tc>
        <w:tc>
          <w:tcPr>
            <w:tcW w:w="2148" w:type="dxa"/>
            <w:tcBorders>
              <w:top w:val="single" w:sz="4" w:space="0" w:color="auto"/>
            </w:tcBorders>
          </w:tcPr>
          <w:p w:rsidR="00703C97" w:rsidRPr="000736A5" w:rsidRDefault="00703C97" w:rsidP="00E97CAD">
            <w:pPr>
              <w:pStyle w:val="61bTabTextZentriert"/>
              <w:rPr>
                <w:strike/>
              </w:rPr>
            </w:pPr>
            <w:r>
              <w:t xml:space="preserve">450</w:t>
            </w:r>
          </w:p>
        </w:tc>
        <w:tc>
          <w:tcPr>
            <w:tcW w:w="1938" w:type="dxa"/>
            <w:tcBorders>
              <w:top w:val="single" w:sz="4" w:space="0" w:color="auto"/>
            </w:tcBorders>
          </w:tcPr>
          <w:p w:rsidR="00703C97" w:rsidRPr="000736A5" w:rsidRDefault="00703C97" w:rsidP="00E97CAD">
            <w:pPr>
              <w:pStyle w:val="61bTabTextZentriert"/>
            </w:pPr>
            <w:r>
              <w:t xml:space="preserve">150</w:t>
            </w:r>
          </w:p>
        </w:tc>
      </w:tr>
    </w:tbl>
    <w:p w:rsidR="00703C97" w:rsidRPr="000736A5" w:rsidRDefault="00703C97" w:rsidP="00703C97">
      <w:pPr>
        <w:pStyle w:val="58Schlussteile05"/>
      </w:pPr>
      <w:r>
        <w:t xml:space="preserve">* Mezní hodnoty jsou vztaženy vždy na obsah kyslíku 15 %.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Plynná paliva:</w:t>
      </w:r>
      <w:r>
        <w:t xml:space="preserve"> </w:t>
      </w:r>
    </w:p>
    <w:tbl>
      <w:tblPr>
        <w:tblW w:w="836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49"/>
        <w:gridCol w:w="1843"/>
        <w:gridCol w:w="1701"/>
        <w:gridCol w:w="2268"/>
      </w:tblGrid>
      <w:tr w:rsidR="00703C97" w:rsidRPr="000736A5" w:rsidTr="00E97CAD">
        <w:trPr>
          <w:tblHeader/>
        </w:trPr>
        <w:tc>
          <w:tcPr>
            <w:tcW w:w="2549" w:type="dxa"/>
            <w:tcBorders>
              <w:top w:val="single" w:sz="4" w:space="0" w:color="auto"/>
              <w:bottom w:val="nil"/>
            </w:tcBorders>
          </w:tcPr>
          <w:p w:rsidR="00703C97" w:rsidRPr="000736A5" w:rsidRDefault="00703C97" w:rsidP="004C7EAB">
            <w:pPr>
              <w:pStyle w:val="61TabText"/>
              <w:keepNext/>
              <w:rPr>
                <w:b/>
              </w:rPr>
            </w:pPr>
            <w:r>
              <w:rPr>
                <w:b/>
              </w:rPr>
              <w:t xml:space="preserve">Parametr</w:t>
            </w:r>
          </w:p>
        </w:tc>
        <w:tc>
          <w:tcPr>
            <w:tcW w:w="5812" w:type="dxa"/>
            <w:gridSpan w:val="3"/>
            <w:tcBorders>
              <w:top w:val="single" w:sz="4" w:space="0" w:color="auto"/>
            </w:tcBorders>
          </w:tcPr>
          <w:p w:rsidR="00703C97" w:rsidRPr="000736A5" w:rsidRDefault="00703C97" w:rsidP="004C7EAB">
            <w:pPr>
              <w:pStyle w:val="61bTabTextZentriert"/>
              <w:keepNext/>
              <w:rPr>
                <w:b/>
                <w:color w:val="auto"/>
              </w:rPr>
            </w:pPr>
            <w:r>
              <w:rPr>
                <w:b/>
              </w:rPr>
              <w:t xml:space="preserve">Mezní hodnoty*</w:t>
            </w:r>
          </w:p>
        </w:tc>
      </w:tr>
      <w:tr w:rsidR="00703C97" w:rsidRPr="000736A5" w:rsidTr="00E97CAD">
        <w:trPr>
          <w:tblHeader/>
        </w:trPr>
        <w:tc>
          <w:tcPr>
            <w:tcW w:w="2549" w:type="dxa"/>
            <w:tcBorders>
              <w:top w:val="nil"/>
            </w:tcBorders>
          </w:tcPr>
          <w:p w:rsidR="00703C97" w:rsidRPr="000736A5" w:rsidRDefault="00703C97" w:rsidP="004C7EAB">
            <w:pPr>
              <w:pStyle w:val="09Abstand"/>
              <w:keepNext/>
              <w:rPr>
                <w:b/>
              </w:rPr>
            </w:pPr>
          </w:p>
        </w:tc>
        <w:tc>
          <w:tcPr>
            <w:tcW w:w="1843" w:type="dxa"/>
          </w:tcPr>
          <w:p w:rsidR="00703C97" w:rsidRPr="000736A5" w:rsidRDefault="00703C97" w:rsidP="004C7EAB">
            <w:pPr>
              <w:pStyle w:val="61bTabTextZentriert"/>
              <w:keepNext/>
              <w:rPr>
                <w:b/>
              </w:rPr>
            </w:pPr>
            <w:r>
              <w:rPr>
                <w:b/>
              </w:rPr>
              <w:t xml:space="preserve">Zemní plyn, zkapalněný plyn</w:t>
            </w:r>
          </w:p>
        </w:tc>
        <w:tc>
          <w:tcPr>
            <w:tcW w:w="3969" w:type="dxa"/>
            <w:gridSpan w:val="2"/>
          </w:tcPr>
          <w:p w:rsidR="00703C97" w:rsidRPr="000736A5" w:rsidRDefault="00703C97" w:rsidP="004C7EAB">
            <w:pPr>
              <w:pStyle w:val="61bTabTextZentriert"/>
              <w:keepNext/>
              <w:rPr>
                <w:b/>
                <w:color w:val="auto"/>
              </w:rPr>
            </w:pPr>
            <w:r>
              <w:rPr>
                <w:b/>
              </w:rPr>
              <w:t xml:space="preserve">Bioplyn, dřevoplyn***</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4C7EAB">
            <w:pPr>
              <w:pStyle w:val="61TabText"/>
              <w:keepNext/>
            </w:pPr>
          </w:p>
        </w:tc>
        <w:tc>
          <w:tcPr>
            <w:tcW w:w="1843" w:type="dxa"/>
          </w:tcPr>
          <w:p w:rsidR="00703C97" w:rsidRPr="000736A5" w:rsidRDefault="00703C97" w:rsidP="004C7EAB">
            <w:pPr>
              <w:pStyle w:val="61bTabTextZentriert"/>
              <w:keepNext/>
            </w:pPr>
          </w:p>
        </w:tc>
        <w:tc>
          <w:tcPr>
            <w:tcW w:w="1701" w:type="dxa"/>
          </w:tcPr>
          <w:p w:rsidR="00703C97" w:rsidRPr="000736A5" w:rsidRDefault="00703C97" w:rsidP="004C7EAB">
            <w:pPr>
              <w:pStyle w:val="61bTabTextZentriert"/>
              <w:keepNext/>
              <w:rPr>
                <w:b/>
              </w:rPr>
            </w:pPr>
            <w:r>
              <w:rPr>
                <w:b/>
              </w:rPr>
              <w:t xml:space="preserve">TVB &lt; 0,25</w:t>
            </w:r>
            <w:r>
              <w:rPr>
                <w:b/>
              </w:rPr>
              <w:t xml:space="preserve"> </w:t>
            </w:r>
          </w:p>
        </w:tc>
        <w:tc>
          <w:tcPr>
            <w:tcW w:w="2268" w:type="dxa"/>
          </w:tcPr>
          <w:p w:rsidR="00703C97" w:rsidRPr="000736A5" w:rsidRDefault="00703C97" w:rsidP="004C7EAB">
            <w:pPr>
              <w:pStyle w:val="61bTabTextZentriert"/>
              <w:keepNext/>
            </w:pPr>
            <w:r>
              <w:rPr>
                <w:b/>
              </w:rPr>
              <w:t xml:space="preserve">TVB 0,25 až &lt; 1</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CO (mg/m³)</w:t>
            </w:r>
          </w:p>
        </w:tc>
        <w:tc>
          <w:tcPr>
            <w:tcW w:w="1843" w:type="dxa"/>
          </w:tcPr>
          <w:p w:rsidR="00703C97" w:rsidRPr="000736A5" w:rsidRDefault="00703C97" w:rsidP="00E97CAD">
            <w:pPr>
              <w:pStyle w:val="61bTabTextZentriert"/>
            </w:pPr>
            <w:r>
              <w:t xml:space="preserve">75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NO</w:t>
            </w:r>
            <w:r>
              <w:rPr>
                <w:vertAlign w:val="subscript"/>
              </w:rPr>
              <w:t xml:space="preserve">x</w:t>
            </w:r>
            <w:r>
              <w:t xml:space="preserve"> (mg/m³)</w:t>
            </w:r>
          </w:p>
        </w:tc>
        <w:tc>
          <w:tcPr>
            <w:tcW w:w="1843" w:type="dxa"/>
          </w:tcPr>
          <w:p w:rsidR="00703C97" w:rsidRPr="000736A5" w:rsidRDefault="00703C97" w:rsidP="00E97CAD">
            <w:pPr>
              <w:pStyle w:val="61bTabTextZentriert"/>
            </w:pPr>
            <w:r>
              <w:t xml:space="preserve">95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200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NMHC (mg/m³)</w:t>
            </w:r>
          </w:p>
        </w:tc>
        <w:tc>
          <w:tcPr>
            <w:tcW w:w="1843" w:type="dxa"/>
          </w:tcPr>
          <w:p w:rsidR="00703C97" w:rsidRPr="000736A5" w:rsidRDefault="00703C97" w:rsidP="00E97CAD">
            <w:pPr>
              <w:pStyle w:val="61bTabTextZentriert"/>
            </w:pPr>
            <w:r>
              <w:t xml:space="preserve">60</w:t>
            </w:r>
            <w:r>
              <w:t xml:space="preserve"> </w:t>
            </w:r>
          </w:p>
        </w:tc>
        <w:tc>
          <w:tcPr>
            <w:tcW w:w="1701" w:type="dxa"/>
          </w:tcPr>
          <w:p w:rsidR="00703C97" w:rsidRPr="000736A5" w:rsidRDefault="00703C97" w:rsidP="00E97CAD">
            <w:pPr>
              <w:pStyle w:val="61bTabTextZentriert"/>
            </w:pPr>
            <w:r>
              <w:t xml:space="preserve">-</w:t>
            </w:r>
          </w:p>
        </w:tc>
        <w:tc>
          <w:tcPr>
            <w:tcW w:w="2268" w:type="dxa"/>
          </w:tcPr>
          <w:p w:rsidR="00703C97" w:rsidRPr="000736A5" w:rsidRDefault="00703C97" w:rsidP="00E97CAD">
            <w:pPr>
              <w:pStyle w:val="61bTabTextZentriert"/>
            </w:pPr>
            <w:r>
              <w:t xml:space="preserve">56</w:t>
            </w:r>
          </w:p>
        </w:tc>
      </w:tr>
    </w:tbl>
    <w:p w:rsidR="006E3BB3" w:rsidRPr="000736A5" w:rsidRDefault="00703C97" w:rsidP="006E3BB3">
      <w:pPr>
        <w:pStyle w:val="51Abs"/>
      </w:pPr>
      <w:r>
        <w:t xml:space="preserve">* Mezní hodnoty jsou vztaženy vždy na obsah kyslíku 15 %.</w:t>
      </w:r>
    </w:p>
    <w:p w:rsidR="00703C97" w:rsidRPr="000736A5" w:rsidRDefault="00703C97" w:rsidP="006E3BB3">
      <w:pPr>
        <w:pStyle w:val="51Abs"/>
      </w:pPr>
      <w:r>
        <w:t xml:space="preserve">*** Pro blokové teplárny provozované na dřevoplyn platí hodnota CO 560 mg/m³.</w:t>
      </w:r>
    </w:p>
    <w:p w:rsidR="00703C97" w:rsidRPr="000736A5" w:rsidRDefault="00703C97" w:rsidP="00703C97">
      <w:pPr>
        <w:pStyle w:val="09Abstand"/>
      </w:pPr>
    </w:p>
    <w:p w:rsidR="00703C97" w:rsidRPr="000736A5" w:rsidRDefault="00703C97" w:rsidP="00703C97">
      <w:pPr>
        <w:pStyle w:val="58Schlussteile0Abs"/>
      </w:pPr>
      <w:r>
        <w:t xml:space="preserve">Je-li provozován stacionární spalovací motor se zařízením k odbourání dusíku, pak nesmí emise amoniaku a amonných sloučenin udávaných jako amoniak překročit 10 mg/m</w:t>
      </w:r>
      <w:r>
        <w:rPr>
          <w:vertAlign w:val="superscript"/>
        </w:rPr>
        <w:t xml:space="preserve">3</w:t>
      </w:r>
      <w:r>
        <w:t xml:space="preserve"> (vztaženo na 15 % O</w:t>
      </w:r>
      <w:r>
        <w:rPr>
          <w:vertAlign w:val="subscript"/>
        </w:rPr>
        <w:t xml:space="preserve">2</w:t>
      </w:r>
      <w:r>
        <w:t xml:space="preserve">).</w:t>
      </w:r>
    </w:p>
    <w:p w:rsidR="00703C97" w:rsidRPr="000736A5" w:rsidRDefault="00703C97" w:rsidP="004C7EAB">
      <w:pPr>
        <w:pStyle w:val="51Abs"/>
        <w:keepNext/>
      </w:pPr>
      <w:r>
        <w:t xml:space="preserve">(2) Blokové teplárny s tepelným výkonem paliva od 1 MW nesmí vedle emisních mezních hodnot pro motorové a plynové turbíny podle vyhlášky o spalovacích zařízeních – FAV překračovat následující emisní mezní hodnoty:</w:t>
      </w:r>
    </w:p>
    <w:p w:rsidR="00703C97" w:rsidRPr="000736A5" w:rsidRDefault="00703C97" w:rsidP="004C7EAB">
      <w:pPr>
        <w:pStyle w:val="09Abstand"/>
        <w:keepNext/>
      </w:pPr>
    </w:p>
    <w:tbl>
      <w:tblPr>
        <w:tblW w:w="878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2"/>
        <w:gridCol w:w="2127"/>
        <w:gridCol w:w="2409"/>
        <w:gridCol w:w="2268"/>
      </w:tblGrid>
      <w:tr w:rsidR="00703C97" w:rsidRPr="000736A5" w:rsidTr="00E97CAD">
        <w:trPr>
          <w:tblHeader/>
        </w:trPr>
        <w:tc>
          <w:tcPr>
            <w:tcW w:w="1982" w:type="dxa"/>
            <w:tcBorders>
              <w:top w:val="single" w:sz="4" w:space="0" w:color="auto"/>
              <w:bottom w:val="nil"/>
            </w:tcBorders>
          </w:tcPr>
          <w:p w:rsidR="00703C97" w:rsidRPr="000736A5" w:rsidRDefault="00703C97" w:rsidP="004C7EAB">
            <w:pPr>
              <w:pStyle w:val="61TabText"/>
              <w:keepNext/>
              <w:rPr>
                <w:b/>
              </w:rPr>
            </w:pPr>
            <w:r>
              <w:rPr>
                <w:b/>
              </w:rPr>
              <w:t xml:space="preserve">Parametr</w:t>
            </w:r>
          </w:p>
        </w:tc>
        <w:tc>
          <w:tcPr>
            <w:tcW w:w="6804" w:type="dxa"/>
            <w:gridSpan w:val="3"/>
            <w:tcBorders>
              <w:top w:val="single" w:sz="4" w:space="0" w:color="auto"/>
            </w:tcBorders>
          </w:tcPr>
          <w:p w:rsidR="00703C97" w:rsidRPr="000736A5" w:rsidRDefault="00703C97" w:rsidP="004C7EAB">
            <w:pPr>
              <w:pStyle w:val="61bTabTextZentriert"/>
              <w:keepNext/>
              <w:rPr>
                <w:b/>
              </w:rPr>
            </w:pPr>
            <w:r>
              <w:rPr>
                <w:b/>
              </w:rPr>
              <w:t xml:space="preserve">Mezní hodnoty*</w:t>
            </w:r>
          </w:p>
        </w:tc>
      </w:tr>
      <w:tr w:rsidR="00703C97" w:rsidRPr="000736A5" w:rsidTr="00E97CAD">
        <w:trPr>
          <w:tblHeader/>
        </w:trPr>
        <w:tc>
          <w:tcPr>
            <w:tcW w:w="1982" w:type="dxa"/>
            <w:tcBorders>
              <w:top w:val="nil"/>
            </w:tcBorders>
          </w:tcPr>
          <w:p w:rsidR="00703C97" w:rsidRPr="000736A5" w:rsidRDefault="00703C97" w:rsidP="004C7EAB">
            <w:pPr>
              <w:pStyle w:val="09Abstand"/>
              <w:keepNext/>
              <w:rPr>
                <w:b/>
              </w:rPr>
            </w:pPr>
          </w:p>
        </w:tc>
        <w:tc>
          <w:tcPr>
            <w:tcW w:w="2127" w:type="dxa"/>
          </w:tcPr>
          <w:p w:rsidR="00703C97" w:rsidRPr="000736A5" w:rsidRDefault="00703C97" w:rsidP="004C7EAB">
            <w:pPr>
              <w:pStyle w:val="61bTabTextZentriert"/>
              <w:keepNext/>
              <w:rPr>
                <w:b/>
              </w:rPr>
            </w:pPr>
            <w:r>
              <w:rPr>
                <w:b/>
              </w:rPr>
              <w:t xml:space="preserve">Kapalná paliva</w:t>
            </w:r>
          </w:p>
        </w:tc>
        <w:tc>
          <w:tcPr>
            <w:tcW w:w="2409" w:type="dxa"/>
          </w:tcPr>
          <w:p w:rsidR="00703C97" w:rsidRPr="000736A5" w:rsidRDefault="00703C97" w:rsidP="004C7EAB">
            <w:pPr>
              <w:pStyle w:val="61bTabTextZentriert"/>
              <w:keepNext/>
              <w:rPr>
                <w:b/>
              </w:rPr>
            </w:pPr>
            <w:r>
              <w:rPr>
                <w:b/>
              </w:rPr>
              <w:t xml:space="preserve">Zemní plyn, zkapalněný plyn</w:t>
            </w:r>
          </w:p>
        </w:tc>
        <w:tc>
          <w:tcPr>
            <w:tcW w:w="2268" w:type="dxa"/>
          </w:tcPr>
          <w:p w:rsidR="00703C97" w:rsidRPr="000736A5" w:rsidRDefault="00703C97" w:rsidP="004C7EAB">
            <w:pPr>
              <w:pStyle w:val="61bTabTextZentriert"/>
              <w:keepNext/>
              <w:rPr>
                <w:b/>
              </w:rPr>
            </w:pPr>
            <w:r>
              <w:rPr>
                <w:b/>
              </w:rPr>
              <w:t xml:space="preserve">Bioplyn, dřevoplyn</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CO (mg/m³)</w:t>
            </w:r>
          </w:p>
        </w:tc>
        <w:tc>
          <w:tcPr>
            <w:tcW w:w="2127" w:type="dxa"/>
          </w:tcPr>
          <w:p w:rsidR="00703C97" w:rsidRPr="000736A5" w:rsidRDefault="00703C97" w:rsidP="00E97CAD">
            <w:pPr>
              <w:pStyle w:val="61bTabTextZentriert"/>
            </w:pPr>
            <w:r>
              <w:t xml:space="preserve">100</w:t>
            </w:r>
          </w:p>
        </w:tc>
        <w:tc>
          <w:tcPr>
            <w:tcW w:w="2409" w:type="dxa"/>
          </w:tcPr>
          <w:p w:rsidR="00703C97" w:rsidRPr="000736A5" w:rsidRDefault="00703C97" w:rsidP="00E97CAD">
            <w:pPr>
              <w:pStyle w:val="61bTabTextZentriert"/>
            </w:pPr>
            <w:r>
              <w:t xml:space="preserve">120</w:t>
            </w:r>
          </w:p>
        </w:tc>
        <w:tc>
          <w:tcPr>
            <w:tcW w:w="2268" w:type="dxa"/>
          </w:tcPr>
          <w:p w:rsidR="00703C97" w:rsidRPr="000736A5" w:rsidRDefault="00703C97" w:rsidP="00E97CAD">
            <w:pPr>
              <w:pStyle w:val="61bTabTextZentriert"/>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NMHC (mg/m³)</w:t>
            </w:r>
          </w:p>
        </w:tc>
        <w:tc>
          <w:tcPr>
            <w:tcW w:w="2127" w:type="dxa"/>
          </w:tcPr>
          <w:p w:rsidR="00703C97" w:rsidRPr="000736A5" w:rsidRDefault="00703C97" w:rsidP="00E97CAD">
            <w:pPr>
              <w:pStyle w:val="61bTabTextZentriert"/>
            </w:pPr>
            <w:r>
              <w:t xml:space="preserve">-</w:t>
            </w:r>
          </w:p>
        </w:tc>
        <w:tc>
          <w:tcPr>
            <w:tcW w:w="2409" w:type="dxa"/>
          </w:tcPr>
          <w:p w:rsidR="00703C97" w:rsidRPr="000736A5" w:rsidRDefault="00703C97" w:rsidP="00E97CAD">
            <w:pPr>
              <w:pStyle w:val="61bTabTextZentriert"/>
            </w:pPr>
            <w:r>
              <w:t xml:space="preserve">20</w:t>
            </w:r>
          </w:p>
        </w:tc>
        <w:tc>
          <w:tcPr>
            <w:tcW w:w="2268" w:type="dxa"/>
          </w:tcPr>
          <w:p w:rsidR="00703C97" w:rsidRPr="000736A5" w:rsidRDefault="00703C97" w:rsidP="00E97CAD">
            <w:pPr>
              <w:pStyle w:val="61bTabTextZentriert"/>
            </w:pPr>
            <w:r>
              <w:t xml:space="preserve">20</w:t>
            </w:r>
          </w:p>
        </w:tc>
      </w:tr>
    </w:tbl>
    <w:p w:rsidR="00703C97" w:rsidRPr="000736A5" w:rsidRDefault="00703C97" w:rsidP="00703C97">
      <w:pPr>
        <w:pStyle w:val="58Schlussteile05"/>
      </w:pPr>
      <w:r>
        <w:t xml:space="preserve">* Mezní hodnoty jsou vztaženy vždy na obsah kyslíku 15 %.“</w:t>
      </w:r>
    </w:p>
    <w:p w:rsidR="00703C97" w:rsidRPr="000736A5" w:rsidRDefault="00703C97" w:rsidP="00703C97">
      <w:pPr>
        <w:pStyle w:val="21NovAo1"/>
      </w:pPr>
      <w:r>
        <w:t xml:space="preserve">17.</w:t>
      </w:r>
      <w:r>
        <w:t xml:space="preserve"> </w:t>
      </w:r>
      <w:r>
        <w:t xml:space="preserve">Za § 11 se vkládá následující § 11a:</w:t>
      </w:r>
    </w:p>
    <w:p w:rsidR="00703C97" w:rsidRPr="000736A5" w:rsidRDefault="00703C97" w:rsidP="00703C97">
      <w:pPr>
        <w:pStyle w:val="45UeberschrPara"/>
      </w:pPr>
      <w:r>
        <w:t xml:space="preserve">„§ 11a</w:t>
        <w:br/>
        <w:t xml:space="preserve">Středně velká spalovací zařízení</w:t>
      </w:r>
    </w:p>
    <w:p w:rsidR="00703C97" w:rsidRPr="000736A5" w:rsidRDefault="00703C97" w:rsidP="00703C97">
      <w:pPr>
        <w:pStyle w:val="51Abs"/>
      </w:pPr>
      <w:r>
        <w:t xml:space="preserve">(1) Jsou-li ve středně velkých spalovacích zařízeních současně používána dvě nebo více paliv, je nutno mezní emisní hodnotu vypočítat pro každé palivo podle kroků výpočtu uvedených v </w:t>
      </w:r>
      <w:r>
        <w:rPr>
          <w:b/>
        </w:rPr>
        <w:t xml:space="preserve">příloze 4</w:t>
      </w:r>
      <w:r>
        <w:t xml:space="preserve"> (směšovací pravidlo).</w:t>
      </w:r>
      <w:r>
        <w:t xml:space="preserve"> </w:t>
      </w:r>
    </w:p>
    <w:p w:rsidR="00703C97" w:rsidRPr="000736A5" w:rsidRDefault="00703C97" w:rsidP="00703C97">
      <w:pPr>
        <w:pStyle w:val="51Abs"/>
      </w:pPr>
      <w:r>
        <w:t xml:space="preserve">(2) U středně velkých spalovacích zařízeních, ve kterých je používáno střídavě více paliv, je nutno sledovat emise u paliva, u kterého lze očekávat to nejvyšší množství emisí.</w:t>
      </w:r>
    </w:p>
    <w:p w:rsidR="00703C97" w:rsidRPr="000736A5" w:rsidRDefault="00703C97" w:rsidP="00703C97">
      <w:pPr>
        <w:pStyle w:val="51Abs"/>
      </w:pPr>
      <w:r>
        <w:t xml:space="preserve">(3) Provozovatel středně velkého spalovacího zařízení musí udržovat v co nejkratší míře nabíhání a vypínání takového středně velkého spalovacího zařízení.</w:t>
      </w:r>
      <w:r>
        <w:t xml:space="preserve"> </w:t>
      </w:r>
      <w:r>
        <w:t xml:space="preserve">V případě nedodržování stanovených emisních mezních hodnot musí provozovatel učinit taková opatření, aby zajistil, aby tyto byly co možná nejrychleji zase dodržovány.</w:t>
      </w:r>
      <w:r>
        <w:t xml:space="preserve"> </w:t>
      </w:r>
      <w:r>
        <w:t xml:space="preserve">Úřad je nutno písemně bez prodlení informovat jak o nedodržení, tak i o učiněných opatřeních.</w:t>
      </w:r>
    </w:p>
    <w:p w:rsidR="00703C97" w:rsidRPr="000736A5" w:rsidRDefault="00703C97" w:rsidP="00703C97">
      <w:pPr>
        <w:pStyle w:val="51Abs"/>
      </w:pPr>
      <w:r>
        <w:t xml:space="preserve">(4) S ohledem na požadavky na měření pro středně velká spalovací zařízení je nutno navíc aplikovat ustanovení vyhlášky o spalovacích zařízeních – FAV.</w:t>
      </w:r>
    </w:p>
    <w:p w:rsidR="00703C97" w:rsidRPr="000736A5" w:rsidRDefault="00703C97" w:rsidP="00703C97">
      <w:pPr>
        <w:pStyle w:val="51Abs"/>
      </w:pPr>
      <w:r>
        <w:t xml:space="preserve">(5) Úřad může na žádost provozovatele stávající středně velká spalovací zařízení, která v průběžném průměru po dobu pěti let nejsou v provozu více než 500 provozních hodin ročně, osvobodit od dodržování zákonem stanovených emisních mezních hodnot.</w:t>
      </w:r>
      <w:r>
        <w:t xml:space="preserve"> </w:t>
      </w:r>
      <w:r>
        <w:t xml:space="preserve">U zařízení, ve kterých jsou spalována pevná paliva, je ovšem vždy nutné dodržet emisní mezní hodnotu pro prach 200 mg/Nm</w:t>
      </w:r>
      <w:r>
        <w:rPr>
          <w:vertAlign w:val="superscript"/>
        </w:rPr>
        <w:t xml:space="preserve">3</w:t>
      </w:r>
      <w:r>
        <w:t xml:space="preserve">.</w:t>
      </w:r>
      <w:r>
        <w:t xml:space="preserve"> </w:t>
      </w:r>
    </w:p>
    <w:p w:rsidR="00703C97" w:rsidRPr="000736A5" w:rsidRDefault="00703C97" w:rsidP="00703C97">
      <w:pPr>
        <w:pStyle w:val="51Abs"/>
      </w:pPr>
      <w:r>
        <w:t xml:space="preserve">(6) Úřad může na žádost provozovatele nová středně velká spalovací zařízení, která v průběžném průměru po dobu tří let nejsou v provozu více než 500 provozních hodin ročně, osvobodit od dodržování zákonem stanovených emisních mezních hodnot.</w:t>
      </w:r>
      <w:r>
        <w:t xml:space="preserve"> </w:t>
      </w:r>
      <w:r>
        <w:t xml:space="preserve">U zařízení, ve kterých jsou spalována pevná paliva, je ovšem vždy nutné dodržet emisní mezní hodnotu pro prach 100 mg/Nm</w:t>
      </w:r>
      <w:r>
        <w:rPr>
          <w:vertAlign w:val="superscript"/>
        </w:rPr>
        <w:t xml:space="preserve">3</w:t>
      </w:r>
      <w:r>
        <w:t xml:space="preserve">.“</w:t>
      </w:r>
    </w:p>
    <w:p w:rsidR="00703C97" w:rsidRPr="000736A5" w:rsidRDefault="00703C97" w:rsidP="00703C97">
      <w:pPr>
        <w:pStyle w:val="22NovAo2"/>
      </w:pPr>
      <w:r>
        <w:t xml:space="preserve">18.</w:t>
      </w:r>
      <w:r>
        <w:t xml:space="preserve"> </w:t>
      </w:r>
      <w:r>
        <w:t xml:space="preserve">Dosavadní oddíl 5 obdrží označení oddílu „4“.</w:t>
      </w:r>
    </w:p>
    <w:p w:rsidR="00703C97" w:rsidRPr="000736A5" w:rsidRDefault="00703C97" w:rsidP="00703C97">
      <w:pPr>
        <w:pStyle w:val="21NovAo1"/>
      </w:pPr>
      <w:r>
        <w:t xml:space="preserve">19.</w:t>
      </w:r>
      <w:r>
        <w:t xml:space="preserve"> </w:t>
      </w:r>
      <w:r>
        <w:t xml:space="preserve">§ 12 odst. 1 zní:</w:t>
      </w:r>
    </w:p>
    <w:p w:rsidR="00703C97" w:rsidRPr="000736A5" w:rsidRDefault="00703C97" w:rsidP="00703C97">
      <w:pPr>
        <w:pStyle w:val="51Abs"/>
      </w:pPr>
      <w:r>
        <w:t xml:space="preserve">„(1) Topiva, příp. paliva smí být spalována ve spalovacích zařízeních, příp. blokových teplárnách pouze tehdy, pokud splňují následující požadavky:</w:t>
      </w:r>
    </w:p>
    <w:p w:rsidR="00703C97" w:rsidRPr="000736A5" w:rsidRDefault="00703C97" w:rsidP="00703C97">
      <w:pPr>
        <w:pStyle w:val="09Abstand"/>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373"/>
        <w:gridCol w:w="14"/>
        <w:gridCol w:w="4809"/>
      </w:tblGrid>
      <w:tr w:rsidR="00703C97" w:rsidRPr="000736A5" w:rsidTr="00133150">
        <w:trPr>
          <w:tblHeader/>
        </w:trPr>
        <w:tc>
          <w:tcPr>
            <w:tcW w:w="1876" w:type="dxa"/>
            <w:hideMark/>
          </w:tcPr>
          <w:p w:rsidR="00703C97" w:rsidRPr="000736A5" w:rsidRDefault="00703C97" w:rsidP="004C7EAB">
            <w:pPr>
              <w:pStyle w:val="61bTabTextZentriert"/>
              <w:keepNext/>
              <w:rPr>
                <w:rStyle w:val="993Fett"/>
              </w:rPr>
            </w:pPr>
            <w:r>
              <w:rPr>
                <w:b/>
              </w:rPr>
              <w:t xml:space="preserve">Druh</w:t>
            </w:r>
          </w:p>
        </w:tc>
        <w:tc>
          <w:tcPr>
            <w:tcW w:w="2373" w:type="dxa"/>
            <w:hideMark/>
          </w:tcPr>
          <w:p w:rsidR="00703C97" w:rsidRPr="000736A5" w:rsidRDefault="00703C97" w:rsidP="004C7EAB">
            <w:pPr>
              <w:pStyle w:val="61bTabTextZentriert"/>
              <w:keepNext/>
              <w:rPr>
                <w:rStyle w:val="993Fett"/>
              </w:rPr>
            </w:pPr>
            <w:r>
              <w:rPr>
                <w:b/>
              </w:rPr>
              <w:t xml:space="preserve">Topivo, příp. palivo</w:t>
            </w:r>
          </w:p>
        </w:tc>
        <w:tc>
          <w:tcPr>
            <w:tcW w:w="4823" w:type="dxa"/>
            <w:gridSpan w:val="2"/>
            <w:hideMark/>
          </w:tcPr>
          <w:p w:rsidR="00703C97" w:rsidRPr="000736A5" w:rsidRDefault="00703C97" w:rsidP="004C7EAB">
            <w:pPr>
              <w:pStyle w:val="61bTabTextZentriert"/>
              <w:keepNext/>
              <w:rPr>
                <w:rStyle w:val="993Fett"/>
              </w:rPr>
            </w:pPr>
            <w:r>
              <w:rPr>
                <w:b/>
              </w:rPr>
              <w:t xml:space="preserve">Technické požadavky</w:t>
            </w:r>
          </w:p>
        </w:tc>
      </w:tr>
      <w:tr w:rsidR="00703C97" w:rsidRPr="000736A5" w:rsidTr="00133150">
        <w:tc>
          <w:tcPr>
            <w:tcW w:w="1876" w:type="dxa"/>
            <w:vMerge w:val="restart"/>
            <w:hideMark/>
          </w:tcPr>
          <w:p w:rsidR="00703C97" w:rsidRPr="000736A5" w:rsidRDefault="00703C97" w:rsidP="00E97CAD">
            <w:pPr>
              <w:pStyle w:val="61TabText"/>
            </w:pPr>
            <w:r>
              <w:t xml:space="preserve">Plynná topiva a paliva</w:t>
            </w:r>
          </w:p>
        </w:tc>
        <w:tc>
          <w:tcPr>
            <w:tcW w:w="2373" w:type="dxa"/>
            <w:hideMark/>
          </w:tcPr>
          <w:p w:rsidR="00703C97" w:rsidRPr="000736A5" w:rsidRDefault="00703C97" w:rsidP="00E97CAD">
            <w:pPr>
              <w:pStyle w:val="61TabText"/>
            </w:pPr>
            <w:r>
              <w:t xml:space="preserve">zemní plyn</w:t>
            </w:r>
          </w:p>
        </w:tc>
        <w:tc>
          <w:tcPr>
            <w:tcW w:w="4823" w:type="dxa"/>
            <w:gridSpan w:val="2"/>
            <w:hideMark/>
          </w:tcPr>
          <w:p w:rsidR="00703C97" w:rsidRPr="000736A5" w:rsidRDefault="00703C97" w:rsidP="00E97CAD">
            <w:pPr>
              <w:pStyle w:val="61TabText"/>
              <w:rPr>
                <w:highlight w:val="yellow"/>
              </w:rPr>
            </w:pPr>
            <w:r>
              <w:t xml:space="preserve">Směrnice ÖVGW G 31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zkapalněný plyn</w:t>
            </w:r>
          </w:p>
        </w:tc>
        <w:tc>
          <w:tcPr>
            <w:tcW w:w="4823" w:type="dxa"/>
            <w:gridSpan w:val="2"/>
            <w:hideMark/>
          </w:tcPr>
          <w:p w:rsidR="00703C97" w:rsidRPr="000736A5" w:rsidRDefault="00703C97" w:rsidP="00E97CAD">
            <w:pPr>
              <w:pStyle w:val="61TabText"/>
              <w:rPr>
                <w:highlight w:val="yellow"/>
              </w:rPr>
            </w:pPr>
            <w:r>
              <w:t xml:space="preserve">propan, propen, butan, buten a jejich směsi ÖNORM C 1301</w:t>
            </w:r>
          </w:p>
        </w:tc>
      </w:tr>
      <w:tr w:rsidR="00703C97" w:rsidRPr="000736A5" w:rsidTr="00133150">
        <w:tc>
          <w:tcPr>
            <w:tcW w:w="1876" w:type="dxa"/>
            <w:vMerge w:val="restart"/>
            <w:tcBorders>
              <w:bottom w:val="nil"/>
            </w:tcBorders>
          </w:tcPr>
          <w:p w:rsidR="00703C97" w:rsidRPr="000736A5" w:rsidRDefault="00703C97" w:rsidP="00133150">
            <w:pPr>
              <w:pStyle w:val="61TabText"/>
            </w:pPr>
            <w:r>
              <w:t xml:space="preserve">Kapalná topiva a paliva</w:t>
            </w:r>
          </w:p>
        </w:tc>
        <w:tc>
          <w:tcPr>
            <w:tcW w:w="2373" w:type="dxa"/>
            <w:hideMark/>
          </w:tcPr>
          <w:p w:rsidR="00703C97" w:rsidRPr="000736A5" w:rsidRDefault="00703C97" w:rsidP="00E97CAD">
            <w:pPr>
              <w:pStyle w:val="61TabText"/>
            </w:pPr>
            <w:r>
              <w:t xml:space="preserve">Extra lehký topný olej (ELTO) bez obsahu síry*</w:t>
            </w:r>
          </w:p>
        </w:tc>
        <w:tc>
          <w:tcPr>
            <w:tcW w:w="4823" w:type="dxa"/>
            <w:gridSpan w:val="2"/>
            <w:hideMark/>
          </w:tcPr>
          <w:p w:rsidR="00703C97" w:rsidRPr="000736A5" w:rsidRDefault="00703C97" w:rsidP="00E97CAD">
            <w:pPr>
              <w:pStyle w:val="61TabText"/>
            </w:pPr>
            <w:r>
              <w:t xml:space="preserve">ÖNORM C 1109</w:t>
            </w:r>
          </w:p>
          <w:p w:rsidR="00703C97" w:rsidRPr="000736A5" w:rsidRDefault="00703C97" w:rsidP="00E97CAD">
            <w:pPr>
              <w:pStyle w:val="61TabText"/>
            </w:pPr>
            <w:r>
              <w:t xml:space="preserve">Maximálně přípustný obsah síry:</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rPr>
                <w:highlight w:val="yellow"/>
              </w:rPr>
            </w:pPr>
            <w:r>
              <w:t xml:space="preserve">Extra lehký topný olej s biogenními složkami</w:t>
            </w:r>
          </w:p>
        </w:tc>
        <w:tc>
          <w:tcPr>
            <w:tcW w:w="4823" w:type="dxa"/>
            <w:gridSpan w:val="2"/>
            <w:hideMark/>
          </w:tcPr>
          <w:p w:rsidR="00703C97" w:rsidRPr="000736A5" w:rsidRDefault="00703C97" w:rsidP="00E97CAD">
            <w:pPr>
              <w:pStyle w:val="61TabText"/>
            </w:pPr>
            <w:r>
              <w:t xml:space="preserve">ONR 31115; 2009</w:t>
            </w:r>
          </w:p>
          <w:p w:rsidR="00703C97" w:rsidRPr="000736A5" w:rsidRDefault="00703C97" w:rsidP="00E97CAD">
            <w:pPr>
              <w:pStyle w:val="61TabText"/>
            </w:pPr>
            <w:r>
              <w:t xml:space="preserve">Maximálně přípustný obsah síry:</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Lehký topný olej (LTO)**</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Maximálně přípustný obsah síry:</w:t>
            </w:r>
            <w:r>
              <w:t xml:space="preserve"> </w:t>
            </w:r>
            <w:r>
              <w:t xml:space="preserve">0,20 %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Přípustný pouze v nově zřízených spalovacích zařízeních &gt;400 kW jmenovitého tepelného výkonu a do 1.</w:t>
            </w:r>
            <w:r>
              <w:t xml:space="preserve"> </w:t>
            </w:r>
            <w:r>
              <w:t xml:space="preserve">1.</w:t>
            </w:r>
            <w:r>
              <w:t xml:space="preserve"> </w:t>
            </w:r>
            <w:r>
              <w:t xml:space="preserve">2018 ve stávajících zařízeních &gt;70 kW jmenovitého tepelného výkonu.</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Střední topný olej**</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Maximálně přípustný obsah síry:</w:t>
            </w:r>
            <w:r>
              <w:t xml:space="preserve"> </w:t>
            </w:r>
            <w:r>
              <w:t xml:space="preserve">0,40 %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vMerge w:val="restart"/>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0" w:type="auto"/>
            <w:vMerge/>
            <w:tcBorders>
              <w:top w:val="nil"/>
            </w:tcBorders>
            <w:vAlign w:val="center"/>
            <w:hideMark/>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Přípustné pouze ve spalovacích zařízeních &gt;5 MW tepelného výkonu paliva</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Těžký topný olej**</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Maximálně přípustný obsah síry:</w:t>
            </w:r>
            <w:r>
              <w:t xml:space="preserve"> </w:t>
            </w:r>
            <w:r>
              <w:t xml:space="preserve">1,00 % M</w:t>
            </w:r>
          </w:p>
        </w:tc>
      </w:tr>
      <w:tr w:rsidR="00703C97" w:rsidRPr="000736A5" w:rsidTr="00133150">
        <w:tc>
          <w:tcPr>
            <w:tcW w:w="1876" w:type="dxa"/>
            <w:vMerge w:val="restart"/>
            <w:tcBorders>
              <w:top w:val="nil"/>
            </w:tcBorders>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Přípustné pouze ve spalovacích zařízeních &gt;10 MW tepelného výkonu paliva</w:t>
            </w:r>
            <w:r>
              <w:t xml:space="preserve"> </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Motorová nafta</w:t>
            </w:r>
          </w:p>
        </w:tc>
        <w:tc>
          <w:tcPr>
            <w:tcW w:w="4823" w:type="dxa"/>
            <w:gridSpan w:val="2"/>
          </w:tcPr>
          <w:p w:rsidR="00703C97" w:rsidRPr="000736A5" w:rsidRDefault="00703C97" w:rsidP="00E97CAD">
            <w:pPr>
              <w:pStyle w:val="61TabText"/>
            </w:pPr>
            <w:r>
              <w:t xml:space="preserve">ÖNORM EN 590</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Biogenní paliva</w:t>
            </w:r>
          </w:p>
        </w:tc>
        <w:tc>
          <w:tcPr>
            <w:tcW w:w="4823" w:type="dxa"/>
            <w:gridSpan w:val="2"/>
          </w:tcPr>
          <w:p w:rsidR="00703C97" w:rsidRPr="000736A5" w:rsidRDefault="00703C97" w:rsidP="00E97CAD">
            <w:pPr>
              <w:pStyle w:val="61TabText"/>
            </w:pPr>
            <w:r>
              <w:t xml:space="preserve">Vyrobená výhradně nebo převážně z přírodních obnovitelných zdrojů.</w:t>
            </w:r>
          </w:p>
          <w:p w:rsidR="00703C97" w:rsidRPr="000736A5" w:rsidRDefault="00703C97" w:rsidP="00E97CAD">
            <w:pPr>
              <w:pStyle w:val="61TabText"/>
            </w:pPr>
            <w:r>
              <w:t xml:space="preserve">ÖNORM EN 14214</w:t>
            </w:r>
          </w:p>
        </w:tc>
      </w:tr>
      <w:tr w:rsidR="00703C97" w:rsidRPr="000736A5" w:rsidTr="00133150">
        <w:tc>
          <w:tcPr>
            <w:tcW w:w="1876" w:type="dxa"/>
            <w:hideMark/>
          </w:tcPr>
          <w:p w:rsidR="00703C97" w:rsidRPr="000736A5" w:rsidRDefault="00703C97" w:rsidP="00E97CAD">
            <w:pPr>
              <w:pStyle w:val="61TabText"/>
            </w:pPr>
            <w:r>
              <w:t xml:space="preserve">Pevná fosilní paliva</w:t>
            </w:r>
          </w:p>
        </w:tc>
        <w:tc>
          <w:tcPr>
            <w:tcW w:w="2373" w:type="dxa"/>
            <w:hideMark/>
          </w:tcPr>
          <w:p w:rsidR="00703C97" w:rsidRPr="000736A5" w:rsidRDefault="00703C97" w:rsidP="00E97CAD">
            <w:pPr>
              <w:pStyle w:val="61TabText"/>
            </w:pPr>
            <w:r>
              <w:t xml:space="preserve">Hnědé a černé uhlí, brikety, rašelina a koks, vyjma ropného koksu</w:t>
            </w:r>
          </w:p>
        </w:tc>
        <w:tc>
          <w:tcPr>
            <w:tcW w:w="4823" w:type="dxa"/>
            <w:gridSpan w:val="2"/>
            <w:hideMark/>
          </w:tcPr>
          <w:p w:rsidR="00703C97" w:rsidRPr="000736A5" w:rsidRDefault="00703C97" w:rsidP="00E97CAD">
            <w:pPr>
              <w:pStyle w:val="61TabText"/>
            </w:pPr>
            <w:r>
              <w:t xml:space="preserve">Obsah síry nesmí překročit 0,30 g/MJ a u topných zařízení nad 400 kW jmenovitého tepelného výkonu 0,20 g/MJ (vždy vztaženo na výhřevnost paliva v odvodněném stavu a spalitelný podíl síry).</w:t>
            </w:r>
          </w:p>
        </w:tc>
      </w:tr>
      <w:tr w:rsidR="00703C97" w:rsidRPr="000736A5" w:rsidTr="00133150">
        <w:tc>
          <w:tcPr>
            <w:tcW w:w="1876" w:type="dxa"/>
            <w:vMerge w:val="restart"/>
            <w:hideMark/>
          </w:tcPr>
          <w:p w:rsidR="00703C97" w:rsidRPr="000736A5" w:rsidRDefault="00703C97" w:rsidP="00E97CAD">
            <w:pPr>
              <w:pStyle w:val="61TabText"/>
            </w:pPr>
            <w:r>
              <w:t xml:space="preserve">Standardizované biogeny</w:t>
            </w:r>
            <w:r>
              <w:t xml:space="preserve"> </w:t>
            </w:r>
          </w:p>
          <w:p w:rsidR="00703C97" w:rsidRPr="000736A5" w:rsidRDefault="00703C97" w:rsidP="00E97CAD">
            <w:pPr>
              <w:pStyle w:val="61TabText"/>
            </w:pPr>
            <w:r>
              <w:t xml:space="preserve">Paliva (dřevěná paliva)</w:t>
            </w:r>
          </w:p>
        </w:tc>
        <w:tc>
          <w:tcPr>
            <w:tcW w:w="2373" w:type="dxa"/>
            <w:hideMark/>
          </w:tcPr>
          <w:p w:rsidR="00703C97" w:rsidRPr="000736A5" w:rsidRDefault="00703C97" w:rsidP="00E97CAD">
            <w:pPr>
              <w:pStyle w:val="61TabText"/>
            </w:pPr>
            <w:r>
              <w:t xml:space="preserve">Kusové dřevo</w:t>
            </w:r>
          </w:p>
        </w:tc>
        <w:tc>
          <w:tcPr>
            <w:tcW w:w="4823" w:type="dxa"/>
            <w:gridSpan w:val="2"/>
          </w:tcPr>
          <w:p w:rsidR="00703C97" w:rsidRPr="000736A5" w:rsidRDefault="00703C97" w:rsidP="00E97CAD">
            <w:pPr>
              <w:pStyle w:val="61TabText"/>
            </w:pPr>
            <w:r>
              <w:t xml:space="preserve">Přírodní, neošetřené a sušené vzduchem</w:t>
            </w:r>
          </w:p>
          <w:p w:rsidR="00703C97" w:rsidRPr="005B43F2" w:rsidRDefault="00703C97" w:rsidP="00E97CAD">
            <w:pPr>
              <w:pStyle w:val="61TabText"/>
              <w:rPr>
                <w:highlight w:val="yellow"/>
              </w:rPr>
            </w:pPr>
            <w:r>
              <w:t xml:space="preserve">Dřevo (obsah vody max. 20 %), které splňuje požadavky podle ÖNORM EN ISO 17225-5, jakostní třída A1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dřevěná štěpka</w:t>
            </w:r>
          </w:p>
        </w:tc>
        <w:tc>
          <w:tcPr>
            <w:tcW w:w="4823" w:type="dxa"/>
            <w:gridSpan w:val="2"/>
          </w:tcPr>
          <w:p w:rsidR="00703C97" w:rsidRPr="000736A5" w:rsidRDefault="00703C97" w:rsidP="00E97CAD">
            <w:pPr>
              <w:pStyle w:val="61TabText"/>
            </w:pPr>
            <w:r>
              <w:t xml:space="preserve">Vyrobená výhradně z přírodního neošetřeného dřeva.</w:t>
            </w:r>
            <w:r>
              <w:t xml:space="preserve"> </w:t>
            </w:r>
          </w:p>
          <w:p w:rsidR="00703C97" w:rsidRPr="000736A5" w:rsidRDefault="00703C97" w:rsidP="00E97CAD">
            <w:pPr>
              <w:pStyle w:val="61TabText"/>
              <w:rPr>
                <w:highlight w:val="yellow"/>
              </w:rPr>
            </w:pPr>
            <w:r>
              <w:t xml:space="preserve">ÖNORM EN ISO 17225-4, jakostní třída A1 a A2</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pelety ze dřeva a kůry</w:t>
            </w:r>
          </w:p>
        </w:tc>
        <w:tc>
          <w:tcPr>
            <w:tcW w:w="4823" w:type="dxa"/>
            <w:gridSpan w:val="2"/>
          </w:tcPr>
          <w:p w:rsidR="00703C97" w:rsidRPr="000736A5" w:rsidRDefault="00703C97" w:rsidP="00E97CAD">
            <w:pPr>
              <w:pStyle w:val="61TabText"/>
            </w:pPr>
            <w:r>
              <w:t xml:space="preserve">Vyrobené výhradně z přírodního neošetřeného dřeva nebo kůry.</w:t>
            </w:r>
          </w:p>
          <w:p w:rsidR="00703C97" w:rsidRPr="000736A5" w:rsidRDefault="00703C97" w:rsidP="000736A5">
            <w:pPr>
              <w:pStyle w:val="61TabText"/>
              <w:rPr>
                <w:highlight w:val="yellow"/>
              </w:rPr>
            </w:pPr>
            <w:r>
              <w:t xml:space="preserve">ÖNORM EN ISO 17225-2 nebo ÖNORM EN ISO 17225-3, jakostní třída A1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Ostatní</w:t>
            </w:r>
          </w:p>
        </w:tc>
        <w:tc>
          <w:tcPr>
            <w:tcW w:w="4823" w:type="dxa"/>
            <w:gridSpan w:val="2"/>
            <w:hideMark/>
          </w:tcPr>
          <w:p w:rsidR="00703C97" w:rsidRPr="000736A5" w:rsidRDefault="00703C97" w:rsidP="00E97CAD">
            <w:pPr>
              <w:pStyle w:val="61TabText"/>
              <w:rPr>
                <w:highlight w:val="yellow"/>
              </w:rPr>
            </w:pPr>
            <w:r>
              <w:t xml:space="preserve">Pokud nejsou z materiálů, které vlivem zpracování pomocí ochranného prostředku na dřevo nebo potažením mohou obsahovat halogenorganické sloučeniny nebo těžké kovy.</w:t>
            </w:r>
            <w:r>
              <w:t xml:space="preserve"> </w:t>
            </w:r>
            <w:r>
              <w:t xml:space="preserve">Celkový obsah chlóru u těchto paliv nesmí překročit 1500 mg/kg suché substance.</w:t>
            </w:r>
            <w:r>
              <w:t xml:space="preserve"> </w:t>
            </w:r>
          </w:p>
        </w:tc>
      </w:tr>
      <w:tr w:rsidR="00703C97" w:rsidRPr="000736A5" w:rsidTr="00133150">
        <w:tc>
          <w:tcPr>
            <w:tcW w:w="1876" w:type="dxa"/>
            <w:hideMark/>
          </w:tcPr>
          <w:p w:rsidR="00703C97" w:rsidRPr="000736A5" w:rsidRDefault="00703C97" w:rsidP="00E97CAD">
            <w:pPr>
              <w:pStyle w:val="61TabText"/>
            </w:pPr>
            <w:r>
              <w:t xml:space="preserve">Nestandardizovaná biogenní paliva a topiva</w:t>
            </w:r>
          </w:p>
        </w:tc>
        <w:tc>
          <w:tcPr>
            <w:tcW w:w="2387" w:type="dxa"/>
            <w:gridSpan w:val="2"/>
            <w:hideMark/>
          </w:tcPr>
          <w:p w:rsidR="00703C97" w:rsidRPr="000736A5" w:rsidRDefault="00703C97" w:rsidP="00E97CAD">
            <w:pPr>
              <w:pStyle w:val="61TabText"/>
            </w:pPr>
            <w:r>
              <w:t xml:space="preserve">Sláma, olejnatá semena, zbytky dřevěných materiálů a pod,, rostlinné oleje,</w:t>
            </w:r>
          </w:p>
          <w:p w:rsidR="00703C97" w:rsidRPr="000736A5" w:rsidRDefault="00703C97" w:rsidP="00E97CAD">
            <w:pPr>
              <w:pStyle w:val="61TabText"/>
            </w:pPr>
            <w:r>
              <w:t xml:space="preserve">Bioplyn, kalový plyn, dřevoplyn </w:t>
              <w:br/>
              <w:t xml:space="preserve">skládkový plyn</w:t>
            </w:r>
            <w:r>
              <w:t xml:space="preserve"> </w:t>
            </w:r>
          </w:p>
        </w:tc>
        <w:tc>
          <w:tcPr>
            <w:tcW w:w="4809" w:type="dxa"/>
            <w:hideMark/>
          </w:tcPr>
          <w:p w:rsidR="00703C97" w:rsidRPr="000736A5" w:rsidRDefault="00703C97" w:rsidP="00E97CAD">
            <w:pPr>
              <w:pStyle w:val="61TabText"/>
            </w:pPr>
            <w:r>
              <w:t xml:space="preserve">Pokud nejsou z materiálů, které vlivem zpracování pomocí ochranného prostředku na dřevo nebo potažením mohou obsahovat halogenorganické sloučeniny nebo těžké kovy.</w:t>
            </w:r>
            <w:r>
              <w:t xml:space="preserve"> </w:t>
            </w:r>
            <w:r>
              <w:t xml:space="preserve">Celkový obsah chlóru u těchto paliv nesmí překročit 1500 mg/kg suché substance.</w:t>
            </w:r>
          </w:p>
        </w:tc>
      </w:tr>
    </w:tbl>
    <w:p w:rsidR="00703C97" w:rsidRPr="000736A5" w:rsidRDefault="00703C97" w:rsidP="00703C97">
      <w:pPr>
        <w:pStyle w:val="58Schlussteile05"/>
      </w:pPr>
      <w:r>
        <w:t xml:space="preserve">* Plynový olej podle směrnice (EU) 2016/802 Evropského parlamentu a Rady ze dne 11. května 2016 o snižování obsahu síry v určitých kapalných topivech a palivech</w:t>
      </w:r>
    </w:p>
    <w:p w:rsidR="00703C97" w:rsidRPr="000736A5" w:rsidRDefault="00703C97" w:rsidP="00703C97">
      <w:pPr>
        <w:pStyle w:val="58Schlussteile05"/>
      </w:pPr>
      <w:r>
        <w:t xml:space="preserve">* Těžký olej podle směrnice (EU) 2016/802 Evropského parlamentu a Rady ze dne 11. května 2016 o snižování obsahu síry v určitých kapalných topivech a palivech“</w:t>
      </w:r>
    </w:p>
    <w:p w:rsidR="00703C97" w:rsidRPr="000736A5" w:rsidRDefault="00703C97" w:rsidP="00703C97">
      <w:pPr>
        <w:pStyle w:val="21NovAo1"/>
      </w:pPr>
      <w:r>
        <w:t xml:space="preserve">20.</w:t>
      </w:r>
      <w:r>
        <w:t xml:space="preserve"> </w:t>
      </w:r>
      <w:r>
        <w:t xml:space="preserve">Dosavadní označení oddílu 6 se nahrazuje následujícím označením oddílu včetně nadpisu:</w:t>
      </w:r>
    </w:p>
    <w:p w:rsidR="00703C97" w:rsidRPr="000736A5" w:rsidRDefault="00703C97" w:rsidP="00703C97">
      <w:pPr>
        <w:pStyle w:val="44UeberschrArt"/>
      </w:pPr>
      <w:r>
        <w:t xml:space="preserve">„5. oddíl</w:t>
        <w:br/>
        <w:t xml:space="preserve">Kontroly spalovacích zařízení a tepláren v provozu“</w:t>
      </w:r>
    </w:p>
    <w:p w:rsidR="00703C97" w:rsidRPr="000736A5" w:rsidRDefault="00703C97" w:rsidP="00703C97">
      <w:pPr>
        <w:pStyle w:val="21NovAo1"/>
      </w:pPr>
      <w:r>
        <w:t xml:space="preserve">21.</w:t>
      </w:r>
      <w:r>
        <w:t xml:space="preserve"> </w:t>
      </w:r>
      <w:r>
        <w:t xml:space="preserve">§ 14 zní:</w:t>
      </w:r>
    </w:p>
    <w:p w:rsidR="00703C97" w:rsidRPr="000736A5" w:rsidRDefault="00703C97" w:rsidP="00703C97">
      <w:pPr>
        <w:pStyle w:val="45UeberschrPara"/>
      </w:pPr>
      <w:r>
        <w:t xml:space="preserve">„§ 14</w:t>
        <w:br/>
        <w:t xml:space="preserve">Kontrola spalovacích zařízení a blokových tepláren</w:t>
      </w:r>
    </w:p>
    <w:p w:rsidR="00703C97" w:rsidRPr="000736A5" w:rsidRDefault="00703C97" w:rsidP="004C7EAB">
      <w:pPr>
        <w:pStyle w:val="51Abs"/>
        <w:keepNext/>
      </w:pPr>
      <w:r>
        <w:t xml:space="preserve">(1) Topeniště a blokové teplárny je nutné po jejich zprovoznění a poté pravidelně podrobit kontrole, zda splňují požadavky stanovené v odd. 3 a 4.</w:t>
      </w:r>
      <w:r>
        <w:t xml:space="preserve"> </w:t>
      </w:r>
      <w:r>
        <w:t xml:space="preserve">Topeniště a blokové teplárny s tepelným výkonem paliva nad 10 MW musí být dále sledovány s ohledem na jejich koncentrace emisí.</w:t>
      </w:r>
      <w:r>
        <w:t xml:space="preserve"> </w:t>
      </w:r>
      <w:r>
        <w:t xml:space="preserve">Do povinnosti kontroly a sledování nespadají:</w:t>
      </w:r>
    </w:p>
    <w:p w:rsidR="00703C97" w:rsidRPr="000736A5" w:rsidRDefault="00703C97" w:rsidP="00703C97">
      <w:pPr>
        <w:pStyle w:val="52Aufzaehle1Ziffer"/>
      </w:pPr>
      <w:r>
        <w:tab/>
      </w:r>
      <w:r>
        <w:t xml:space="preserve">1.</w:t>
      </w:r>
      <w:r>
        <w:tab/>
      </w:r>
      <w:r>
        <w:t xml:space="preserve">Spalovací zařízení a blokové teplárny s tepelným výkonem paliva pod 1 MW, které jsou provozovány na kapalná nebo plynná paliva, které slouží pouze jako záložní rezerva při výpadku a nejsou v provozu ročně více než 250 hodin (provozní hodiny spalovacího zařízení); existenci tohoto předpokladu je nutno kontrolovat každé dva roky (odst. 2 ř. 2);</w:t>
      </w:r>
    </w:p>
    <w:p w:rsidR="00703C97" w:rsidRPr="000736A5" w:rsidRDefault="00703C97" w:rsidP="00703C97">
      <w:pPr>
        <w:pStyle w:val="52Aufzaehle1Ziffer"/>
      </w:pPr>
      <w:r>
        <w:tab/>
      </w:r>
      <w:r>
        <w:t xml:space="preserve">2.</w:t>
      </w:r>
      <w:r>
        <w:tab/>
      </w:r>
      <w:r>
        <w:t xml:space="preserve">Spalovací zařízení a blokové teplárny v objektech, které nejsou napojeny na veřejnou elektrickou síť, a na veřejnou elektrickou síť by mohly být připojeny pouze za nepřiměřeně vysokých nákladů (izolované polohy);</w:t>
      </w:r>
    </w:p>
    <w:p w:rsidR="00703C97" w:rsidRPr="000736A5" w:rsidRDefault="00703C97" w:rsidP="00703C97">
      <w:pPr>
        <w:pStyle w:val="52Aufzaehle1Ziffer"/>
      </w:pPr>
      <w:r>
        <w:tab/>
      </w:r>
      <w:r>
        <w:t xml:space="preserve">3.</w:t>
      </w:r>
      <w:r>
        <w:tab/>
      </w:r>
      <w:r>
        <w:t xml:space="preserve">Zařízení pro vytápění jednotlivých místnosti, to jsou topná zařízení k bezprostřednímu vytápění výstavních prostor (např. krbová kamna, kachlová kamna, olejové nebo plynové topné spotřebiče, kuchyňské sporáky);</w:t>
      </w:r>
    </w:p>
    <w:p w:rsidR="00703C97" w:rsidRPr="000736A5" w:rsidRDefault="00703C97" w:rsidP="00703C97">
      <w:pPr>
        <w:pStyle w:val="52Aufzaehle1Ziffer"/>
      </w:pPr>
      <w:r>
        <w:tab/>
      </w:r>
      <w:r>
        <w:t xml:space="preserve">4.</w:t>
        <w:tab/>
        <w:t xml:space="preserve">Stávající zařízení, u nichž je možné nainstalovat otvor na měření pouze při nepoměrně vysokých nákladech;</w:t>
      </w:r>
    </w:p>
    <w:p w:rsidR="00703C97" w:rsidRPr="000736A5" w:rsidRDefault="00703C97" w:rsidP="00703C97">
      <w:pPr>
        <w:pStyle w:val="52Aufzaehle1ZiffermitBetrag"/>
      </w:pPr>
      <w:r>
        <w:tab/>
      </w:r>
      <w:r>
        <w:t xml:space="preserve">5.</w:t>
      </w:r>
      <w:r>
        <w:tab/>
      </w:r>
      <w:r>
        <w:t xml:space="preserve">Zařízení na přípravu TUV pod 26 kW jmenovitého tepelného výkonu.</w:t>
      </w:r>
    </w:p>
    <w:p w:rsidR="00703C97" w:rsidRPr="000736A5" w:rsidRDefault="00703C97" w:rsidP="004C7EAB">
      <w:pPr>
        <w:pStyle w:val="51Abs"/>
        <w:keepNext/>
      </w:pPr>
      <w:r>
        <w:t xml:space="preserve">(2) Dodatečně ke kontrole dodržování požadavků podle oddílů 3 a 4 je nutno, pokud toto již není dáno jiným legislativních předpisem, kontrolovat:</w:t>
      </w:r>
    </w:p>
    <w:p w:rsidR="00703C97" w:rsidRPr="000736A5" w:rsidRDefault="00703C97" w:rsidP="004C7EAB">
      <w:pPr>
        <w:pStyle w:val="52Aufzaehle1Ziffer"/>
        <w:keepNext/>
      </w:pPr>
      <w:r>
        <w:tab/>
      </w:r>
      <w:r>
        <w:t xml:space="preserve">1.</w:t>
        <w:tab/>
        <w:t xml:space="preserve">Při první kontrole:</w:t>
      </w:r>
    </w:p>
    <w:p w:rsidR="00703C97" w:rsidRPr="000736A5" w:rsidRDefault="00703C97" w:rsidP="00703C97">
      <w:pPr>
        <w:pStyle w:val="52Aufzaehle3Sublit"/>
      </w:pPr>
      <w:r>
        <w:tab/>
      </w:r>
      <w:r>
        <w:t xml:space="preserve">–</w:t>
        <w:tab/>
        <w:t xml:space="preserve">zda jsou opatřena požadovaným typovým štítkem a potřebným označením CE,</w:t>
      </w:r>
    </w:p>
    <w:p w:rsidR="00703C97" w:rsidRPr="000736A5" w:rsidRDefault="00703C97" w:rsidP="00703C97">
      <w:pPr>
        <w:pStyle w:val="52Aufzaehle3Sublit"/>
      </w:pPr>
      <w:r>
        <w:tab/>
      </w:r>
      <w:r>
        <w:t xml:space="preserve">–</w:t>
        <w:tab/>
        <w:t xml:space="preserve">zda je přiložena technická dokumentace,</w:t>
      </w:r>
    </w:p>
    <w:p w:rsidR="00703C97" w:rsidRPr="000736A5" w:rsidRDefault="00703C97" w:rsidP="00703C97">
      <w:pPr>
        <w:pStyle w:val="52Aufzaehle3Sublit"/>
      </w:pPr>
      <w:r>
        <w:tab/>
      </w:r>
      <w:r>
        <w:t xml:space="preserve">–</w:t>
        <w:tab/>
        <w:t xml:space="preserve">zda je k dispozici datový list zařízení podle přílohy 1,</w:t>
      </w:r>
    </w:p>
    <w:p w:rsidR="00703C97" w:rsidRPr="000736A5" w:rsidRDefault="00703C97" w:rsidP="00703C97">
      <w:pPr>
        <w:pStyle w:val="52Aufzaehle3Sublit"/>
      </w:pPr>
      <w:r>
        <w:tab/>
      </w:r>
      <w:r>
        <w:t xml:space="preserve">–</w:t>
        <w:tab/>
        <w:t xml:space="preserve">zda je používáno přípustné palivo (pohledová zkouška, v případě potřeby odběr vzorků)</w:t>
      </w:r>
    </w:p>
    <w:p w:rsidR="00703C97" w:rsidRPr="000736A5" w:rsidRDefault="00703C97" w:rsidP="00703C97">
      <w:pPr>
        <w:pStyle w:val="52Aufzaehle3Sublit"/>
      </w:pPr>
      <w:r>
        <w:tab/>
      </w:r>
      <w:r>
        <w:t xml:space="preserve">–</w:t>
        <w:tab/>
        <w:t xml:space="preserve">zda existuje dostatečný přívod spalovacího vzduchu,</w:t>
      </w:r>
    </w:p>
    <w:p w:rsidR="00703C97" w:rsidRPr="000736A5" w:rsidRDefault="00703C97" w:rsidP="00703C97">
      <w:pPr>
        <w:pStyle w:val="52Aufzaehle3Sublit"/>
      </w:pPr>
      <w:r>
        <w:tab/>
        <w:t xml:space="preserve"> </w:t>
      </w:r>
      <w:r>
        <w:t xml:space="preserve">–</w:t>
        <w:tab/>
        <w:t xml:space="preserve">dopravní tlak ve spalinovém zařízení a</w:t>
      </w:r>
    </w:p>
    <w:p w:rsidR="00703C97" w:rsidRPr="000736A5" w:rsidRDefault="00703C97" w:rsidP="00703C97">
      <w:pPr>
        <w:pStyle w:val="52Aufzaehle3Sublit"/>
      </w:pPr>
      <w:r>
        <w:tab/>
      </w:r>
      <w:r>
        <w:t xml:space="preserve">–</w:t>
        <w:tab/>
        <w:t xml:space="preserve">u spalovacích zařízení na pevná paliva, zda je v případě potřeby vyžadovaný vyrovnávací zásobník (§ 8 odst. 1 ř. 10 K-HeizG) dostatečně dimenzován.</w:t>
      </w:r>
    </w:p>
    <w:p w:rsidR="00703C97" w:rsidRPr="000736A5" w:rsidRDefault="00703C97" w:rsidP="004C7EAB">
      <w:pPr>
        <w:pStyle w:val="52Aufzaehle1Ziffer"/>
        <w:keepNext/>
      </w:pPr>
      <w:r>
        <w:tab/>
      </w:r>
      <w:r>
        <w:t xml:space="preserve">2.</w:t>
        <w:tab/>
        <w:t xml:space="preserve">U opakované kontroly (pokud se to v případě zařízení hodí):</w:t>
      </w:r>
    </w:p>
    <w:p w:rsidR="00703C97" w:rsidRPr="000736A5" w:rsidRDefault="00703C97" w:rsidP="00703C97">
      <w:pPr>
        <w:pStyle w:val="52Aufzaehle3Sublit"/>
      </w:pPr>
      <w:r>
        <w:tab/>
      </w:r>
      <w:r>
        <w:t xml:space="preserve">–</w:t>
        <w:tab/>
        <w:t xml:space="preserve">funkce kouřového hradítka,</w:t>
      </w:r>
    </w:p>
    <w:p w:rsidR="00703C97" w:rsidRPr="000736A5" w:rsidRDefault="00703C97" w:rsidP="00703C97">
      <w:pPr>
        <w:pStyle w:val="52Aufzaehle3Sublit"/>
      </w:pPr>
      <w:r>
        <w:tab/>
      </w:r>
      <w:r>
        <w:t xml:space="preserve">–</w:t>
        <w:tab/>
        <w:t xml:space="preserve">těsnost topného kotle včetně uzávěrů,</w:t>
      </w:r>
    </w:p>
    <w:p w:rsidR="00703C97" w:rsidRPr="000736A5" w:rsidRDefault="00703C97" w:rsidP="00703C97">
      <w:pPr>
        <w:pStyle w:val="52Aufzaehle3Sublit"/>
      </w:pPr>
      <w:r>
        <w:tab/>
      </w:r>
      <w:r>
        <w:t xml:space="preserve">–</w:t>
        <w:tab/>
        <w:t xml:space="preserve">spalovací vzduch (dostatečný přívod vzduchu, větrák ve spalovacím prostoru atd.),</w:t>
      </w:r>
    </w:p>
    <w:p w:rsidR="00703C97" w:rsidRPr="000736A5" w:rsidRDefault="00703C97" w:rsidP="00703C97">
      <w:pPr>
        <w:pStyle w:val="52Aufzaehle3Sublit"/>
      </w:pPr>
      <w:r>
        <w:tab/>
      </w:r>
      <w:r>
        <w:t xml:space="preserve">–</w:t>
        <w:tab/>
        <w:t xml:space="preserve">funkce regulátoru tahu či protiexplozní klapky,</w:t>
      </w:r>
    </w:p>
    <w:p w:rsidR="00703C97" w:rsidRPr="000736A5" w:rsidRDefault="00703C97" w:rsidP="00703C97">
      <w:pPr>
        <w:pStyle w:val="52Aufzaehle3Sublit"/>
      </w:pPr>
      <w:r>
        <w:tab/>
      </w:r>
      <w:r>
        <w:t xml:space="preserve">–</w:t>
        <w:tab/>
        <w:t xml:space="preserve">dopravní tlak ve spalinovém zařízení,</w:t>
      </w:r>
    </w:p>
    <w:p w:rsidR="00703C97" w:rsidRPr="000736A5" w:rsidRDefault="00703C97" w:rsidP="00703C97">
      <w:pPr>
        <w:pStyle w:val="52Aufzaehle3Sublit"/>
      </w:pPr>
      <w:r>
        <w:tab/>
      </w:r>
      <w:r>
        <w:t xml:space="preserve">–</w:t>
        <w:tab/>
        <w:t xml:space="preserve">topné plochy/obraz plamenů (u topení na pevná paliva),</w:t>
      </w:r>
    </w:p>
    <w:p w:rsidR="00703C97" w:rsidRPr="000736A5" w:rsidRDefault="00703C97" w:rsidP="00703C97">
      <w:pPr>
        <w:pStyle w:val="52Aufzaehle3Sublit"/>
      </w:pPr>
      <w:r>
        <w:tab/>
      </w:r>
      <w:r>
        <w:t xml:space="preserve">–</w:t>
        <w:tab/>
        <w:t xml:space="preserve">paliva (vizuální zkouška, popřípadě odběr vzorku),</w:t>
      </w:r>
    </w:p>
    <w:p w:rsidR="00703C97" w:rsidRPr="000736A5" w:rsidRDefault="00703C97" w:rsidP="00703C97">
      <w:pPr>
        <w:pStyle w:val="52Aufzaehle3Sublit"/>
      </w:pPr>
      <w:r>
        <w:tab/>
      </w:r>
      <w:r>
        <w:t xml:space="preserve">–</w:t>
        <w:tab/>
        <w:t xml:space="preserve">zda došlo k technickým změnám na topným zařízení,</w:t>
      </w:r>
    </w:p>
    <w:p w:rsidR="00703C97" w:rsidRPr="000736A5" w:rsidRDefault="00703C97" w:rsidP="00703C97">
      <w:pPr>
        <w:pStyle w:val="52Aufzaehle3Sublit"/>
      </w:pPr>
      <w:r>
        <w:tab/>
      </w:r>
      <w:r>
        <w:t xml:space="preserve">–</w:t>
        <w:tab/>
        <w:t xml:space="preserve">spalovací zařízení a blokové teplárny, které nejsou provozovány více než 250 hodin ročně, je nutno každé dva roky zkontrolovat s ohledem na skutečné využívání, technický stav a možné změny.</w:t>
      </w:r>
    </w:p>
    <w:p w:rsidR="00703C97" w:rsidRPr="000736A5" w:rsidRDefault="00703C97" w:rsidP="00703C97">
      <w:pPr>
        <w:pStyle w:val="51Abs"/>
      </w:pPr>
      <w:r>
        <w:t xml:space="preserve">(3) První a opakované kontroly, a rovněž pravidelnou inspekci musí vyžadovat provozovatel od odborného podniku nebo osob, které jsou vyjmenovány v § 24 odst. 1 a 2 K-HeizG, které jsou oprávněny podle § 25 K-HeizG.</w:t>
      </w:r>
    </w:p>
    <w:p w:rsidR="00703C97" w:rsidRPr="000736A5" w:rsidRDefault="00703C97" w:rsidP="00703C97">
      <w:pPr>
        <w:pStyle w:val="51Abs"/>
      </w:pPr>
      <w:r>
        <w:t xml:space="preserve">(4) Zkušební zprávy podle §§ 15 až 19, a rovněž datový list zařízení podle přílohy 1 je nutno předat provozovateli topného zařízení.“</w:t>
      </w:r>
      <w:r>
        <w:t xml:space="preserve"> </w:t>
      </w:r>
    </w:p>
    <w:p w:rsidR="00703C97" w:rsidRPr="000736A5" w:rsidRDefault="00703C97" w:rsidP="00703C97">
      <w:pPr>
        <w:pStyle w:val="21NovAo1"/>
      </w:pPr>
      <w:r>
        <w:t xml:space="preserve">22.</w:t>
      </w:r>
      <w:r>
        <w:t xml:space="preserve"> </w:t>
      </w:r>
      <w:r>
        <w:t xml:space="preserve">§ 15 odst. 2 a odst. 3 zní:</w:t>
      </w:r>
    </w:p>
    <w:p w:rsidR="00703C97" w:rsidRPr="000736A5" w:rsidRDefault="00703C97" w:rsidP="00703C97">
      <w:pPr>
        <w:pStyle w:val="51Abs"/>
      </w:pPr>
      <w:r>
        <w:t xml:space="preserve">„(2) Měření je při jednoduché kontrole provádět v provozním stavu, ve kterém je zařízení převážně provozováno, u dvoustupňových hořáků v rámci obou stupňů zatížení.</w:t>
      </w:r>
      <w:r>
        <w:t xml:space="preserve"> </w:t>
      </w:r>
      <w:r>
        <w:t xml:space="preserve">Zařízení smí vykazovat jen nízký stupeň znečištění v oblasti topeniště.</w:t>
      </w:r>
      <w:r>
        <w:t xml:space="preserve"> </w:t>
      </w:r>
      <w:r>
        <w:t xml:space="preserve">Měření musí být provedeno dle technických pravidel pro jednoduchou kontrolu, přičemž je nutné uplatnit primárně dané normy ÖNORM.</w:t>
      </w:r>
      <w:r>
        <w:t xml:space="preserve"> </w:t>
      </w:r>
      <w:r>
        <w:t xml:space="preserve">Při stanovení obsahu CO je přípustné momentální měření (bodové měření) ve stabilním provozním stavu.</w:t>
      </w:r>
      <w:r>
        <w:t xml:space="preserve"> </w:t>
      </w:r>
      <w:r>
        <w:t xml:space="preserve">Je nutno určit obsah CO, obsah CO</w:t>
      </w:r>
      <w:r>
        <w:rPr>
          <w:vertAlign w:val="subscript"/>
        </w:rPr>
        <w:t xml:space="preserve">2 </w:t>
      </w:r>
      <w:r>
        <w:t xml:space="preserve">nebo O</w:t>
      </w:r>
      <w:r>
        <w:rPr>
          <w:vertAlign w:val="subscript"/>
        </w:rPr>
        <w:t xml:space="preserve">2</w:t>
      </w:r>
      <w:r>
        <w:t xml:space="preserve">, teploty spalovacího vzduchu a spalin, teplotu kotle, dopravní tlak v odvodu spalin a spalinovou ztrátu.</w:t>
      </w:r>
      <w:r>
        <w:t xml:space="preserve"> </w:t>
      </w:r>
      <w:r>
        <w:t xml:space="preserve">U spalovacích zařízení pro kapalná paliva (kromě zařízení splujících olej) je navíc nutno určit koeficient sazí a u blokových tepláren obsah NO</w:t>
      </w:r>
      <w:r>
        <w:rPr>
          <w:vertAlign w:val="subscript"/>
        </w:rPr>
        <w:t xml:space="preserve">x</w:t>
      </w:r>
      <w:r>
        <w:t xml:space="preserve">.</w:t>
      </w:r>
    </w:p>
    <w:p w:rsidR="00703C97" w:rsidRPr="000736A5" w:rsidRDefault="00703C97" w:rsidP="00703C97">
      <w:pPr>
        <w:pStyle w:val="51Abs"/>
      </w:pPr>
      <w:r>
        <w:t xml:space="preserve">(3) S ohledem na hodnotu spalinové ztráty je zařízení shledáno za vhodné k dalšímu provozu, pokud zaokrouhlený výsledek měření nepřekračuje mezní hodnotu.</w:t>
      </w:r>
      <w:r>
        <w:t xml:space="preserve"> </w:t>
      </w:r>
      <w:r>
        <w:t xml:space="preserve">Mezní emisní hodnoty CO a No</w:t>
      </w:r>
      <w:r>
        <w:rPr>
          <w:vertAlign w:val="subscript"/>
        </w:rPr>
        <w:t xml:space="preserve">x</w:t>
      </w:r>
      <w:r>
        <w:t xml:space="preserve"> jsou dodrženy, pokud posuzovaná hodnota nepřekračuje emisní mezní hodnotu.“</w:t>
      </w:r>
    </w:p>
    <w:p w:rsidR="00703C97" w:rsidRPr="000736A5" w:rsidRDefault="00703C97" w:rsidP="00703C97">
      <w:pPr>
        <w:pStyle w:val="22NovAo2"/>
      </w:pPr>
      <w:r>
        <w:t xml:space="preserve">23.</w:t>
      </w:r>
      <w:r>
        <w:t xml:space="preserve"> </w:t>
      </w:r>
      <w:r>
        <w:t xml:space="preserve">V § 15 odst. 4 je sled slov </w:t>
      </w:r>
      <w:r>
        <w:rPr>
          <w:i w:val="0"/>
        </w:rPr>
        <w:t xml:space="preserve">„vlastník nebo osoba oprávněná disponováním“</w:t>
      </w:r>
      <w:r>
        <w:t xml:space="preserve"> nahrazena slovem </w:t>
      </w:r>
      <w:r>
        <w:rPr>
          <w:i w:val="0"/>
        </w:rPr>
        <w:t xml:space="preserve">„provozovatel“</w:t>
      </w:r>
      <w:r>
        <w:t xml:space="preserve">.</w:t>
      </w:r>
      <w:r>
        <w:t xml:space="preserve"> </w:t>
      </w:r>
      <w:r>
        <w:t xml:space="preserve">Dále je doplněna předposlední věta, aby zněla následovně:</w:t>
      </w:r>
      <w:r>
        <w:t xml:space="preserve"> </w:t>
      </w:r>
      <w:r>
        <w:t xml:space="preserve">„</w:t>
      </w:r>
      <w:r>
        <w:rPr>
          <w:i w:val="0"/>
        </w:rPr>
        <w:t xml:space="preserve">Tento musí uschovávat zkušební zprávu minimálně až do příští kontroly, pokud se jedná o středně velké spalovací zařízení, pak minimálně po dobu šesti let.</w:t>
      </w:r>
      <w:r>
        <w:t xml:space="preserve">“</w:t>
      </w:r>
    </w:p>
    <w:p w:rsidR="00703C97" w:rsidRPr="000736A5" w:rsidRDefault="00703C97" w:rsidP="00703C97">
      <w:pPr>
        <w:pStyle w:val="22NovAo2"/>
      </w:pPr>
      <w:r>
        <w:t xml:space="preserve">24.</w:t>
      </w:r>
      <w:r>
        <w:t xml:space="preserve"> </w:t>
      </w:r>
      <w:r>
        <w:t xml:space="preserve">§ 15 odst. 5 se vypouští.</w:t>
      </w:r>
    </w:p>
    <w:p w:rsidR="00703C97" w:rsidRPr="000736A5" w:rsidRDefault="00703C97" w:rsidP="00703C97">
      <w:pPr>
        <w:pStyle w:val="21NovAo1"/>
      </w:pPr>
      <w:r>
        <w:t xml:space="preserve">25.</w:t>
      </w:r>
      <w:r>
        <w:t xml:space="preserve"> </w:t>
      </w:r>
      <w:r>
        <w:t xml:space="preserve">§ 16 zní:</w:t>
      </w:r>
    </w:p>
    <w:p w:rsidR="00703C97" w:rsidRPr="000736A5" w:rsidRDefault="00703C97" w:rsidP="00703C97">
      <w:pPr>
        <w:pStyle w:val="45UeberschrPara"/>
      </w:pPr>
      <w:r>
        <w:t xml:space="preserve">„§ 16</w:t>
        <w:br/>
        <w:t xml:space="preserve">Rozsáhlá kontrola</w:t>
      </w:r>
    </w:p>
    <w:p w:rsidR="00703C97" w:rsidRPr="000736A5" w:rsidRDefault="00703C97" w:rsidP="004C7EAB">
      <w:pPr>
        <w:pStyle w:val="51Abs"/>
        <w:keepNext/>
      </w:pPr>
      <w:r>
        <w:t xml:space="preserve">(1) Rozsáhlá kontrola je nutná:</w:t>
      </w:r>
    </w:p>
    <w:p w:rsidR="00703C97" w:rsidRPr="000736A5" w:rsidRDefault="00703C97" w:rsidP="004C7EAB">
      <w:pPr>
        <w:pStyle w:val="52Aufzaehle1Ziffer"/>
        <w:keepNext/>
      </w:pPr>
      <w:r>
        <w:tab/>
      </w:r>
      <w:r>
        <w:t xml:space="preserve">1.</w:t>
        <w:tab/>
        <w:t xml:space="preserve">nejpozději do čtyř týdnů po zprovoznění pro:</w:t>
      </w:r>
    </w:p>
    <w:p w:rsidR="00703C97" w:rsidRPr="000736A5" w:rsidRDefault="00703C97" w:rsidP="00703C97">
      <w:pPr>
        <w:pStyle w:val="52Aufzaehle3Sublit"/>
      </w:pPr>
      <w:r>
        <w:tab/>
      </w:r>
      <w:r>
        <w:t xml:space="preserve">–</w:t>
        <w:tab/>
        <w:t xml:space="preserve">malá topeniště provozovaná s nestandardizovaným biogenním palivem,</w:t>
      </w:r>
      <w:r>
        <w:t xml:space="preserve"> </w:t>
      </w:r>
    </w:p>
    <w:p w:rsidR="00703C97" w:rsidRPr="000736A5" w:rsidRDefault="00703C97" w:rsidP="00703C97">
      <w:pPr>
        <w:pStyle w:val="52Aufzaehle3Sublit"/>
      </w:pPr>
      <w:r>
        <w:tab/>
      </w:r>
      <w:r>
        <w:t xml:space="preserve">–</w:t>
        <w:tab/>
        <w:t xml:space="preserve">topeniště s jmenovitým tepelným výkonem nad 400 kW a</w:t>
      </w:r>
    </w:p>
    <w:p w:rsidR="00703C97" w:rsidRPr="000736A5" w:rsidRDefault="00703C97" w:rsidP="00703C97">
      <w:pPr>
        <w:pStyle w:val="52Aufzaehle3Sublit"/>
      </w:pPr>
      <w:r>
        <w:tab/>
      </w:r>
      <w:r>
        <w:t xml:space="preserve">–</w:t>
        <w:tab/>
        <w:t xml:space="preserve">blokové teplárny (včetně motorů a plynových turbín);</w:t>
      </w:r>
    </w:p>
    <w:p w:rsidR="00703C97" w:rsidRPr="000736A5" w:rsidRDefault="00703C97" w:rsidP="00703C97">
      <w:pPr>
        <w:pStyle w:val="52Aufzaehle1Ziffer"/>
      </w:pPr>
      <w:r>
        <w:tab/>
      </w:r>
      <w:r>
        <w:t xml:space="preserve">2.</w:t>
        <w:tab/>
        <w:t xml:space="preserve">každé tři roky: pro spalovací zařízení a blokové teplárny s tepelným výkonem paliva od 1 MW do 20 MW;</w:t>
      </w:r>
    </w:p>
    <w:p w:rsidR="00703C97" w:rsidRPr="000736A5" w:rsidRDefault="00703C97" w:rsidP="00703C97">
      <w:pPr>
        <w:pStyle w:val="52Aufzaehle1Ziffer"/>
      </w:pPr>
      <w:r>
        <w:tab/>
      </w:r>
      <w:r>
        <w:t xml:space="preserve">3.</w:t>
        <w:tab/>
        <w:t xml:space="preserve">každý rok: pro spalovací zařízení a blokové teplárny s tepelným výkonem paliva více než 20 MW.</w:t>
      </w:r>
    </w:p>
    <w:p w:rsidR="00703C97" w:rsidRPr="000736A5" w:rsidRDefault="00703C97" w:rsidP="00703C97">
      <w:pPr>
        <w:pStyle w:val="58Schlussteile0Abs"/>
      </w:pPr>
      <w:r>
        <w:t xml:space="preserve">V letech, kdy je provedena rozsáhlá kontrola, není jednoduchá kontrola dle § 15 nutná.</w:t>
      </w:r>
    </w:p>
    <w:p w:rsidR="00703C97" w:rsidRPr="000736A5" w:rsidRDefault="00703C97" w:rsidP="00703C97">
      <w:pPr>
        <w:pStyle w:val="51Abs"/>
      </w:pPr>
      <w:r>
        <w:t xml:space="preserve">(2) Emisní měření v rámci rozsáhlé kontroly musí být provedena podle technických pravidel, přičemž je nutné zkontrolovat všechny parametry, které připadají v úvahu nebo jsou omezené.</w:t>
      </w:r>
      <w:r>
        <w:t xml:space="preserve"> </w:t>
      </w:r>
      <w:r>
        <w:t xml:space="preserve">Při první kontrole musí být měření provedeno ve dvou stupních zatížení, a to v oblasti nejnižšího výkonu a v oblasti jmenovitého tepelného výkonu.</w:t>
      </w:r>
      <w:r>
        <w:t xml:space="preserve"> </w:t>
      </w:r>
      <w:r>
        <w:t xml:space="preserve">V případě opakované kontroly je nutné měření provést v provozním stavu, v němž je zařízení převážně provozováno.</w:t>
      </w:r>
      <w:r>
        <w:t xml:space="preserve"> </w:t>
      </w:r>
      <w:r>
        <w:t xml:space="preserve">Ve lhůtě tří hodin musí být vytvořeny tři hodnoty měření jako půlhodinové střední hodnoty.</w:t>
      </w:r>
      <w:r>
        <w:t xml:space="preserve"> </w:t>
      </w:r>
      <w:r>
        <w:t xml:space="preserve">U středně velkých spalovacích zařízení je nutno navíc zohlednit zadání v § 11a odst. 1 a 2.</w:t>
      </w:r>
    </w:p>
    <w:p w:rsidR="00703C97" w:rsidRPr="000736A5" w:rsidRDefault="00703C97" w:rsidP="00703C97">
      <w:pPr>
        <w:pStyle w:val="51Abs"/>
      </w:pPr>
      <w:r>
        <w:t xml:space="preserve">(3) Mezní hodnota emisí platí za dodrženou, pokud při zohlednění nepřesnosti měření žádná z půlhodinových středních hodnot nepřekračuje směrodatnou mezní hodnotu emisí.</w:t>
      </w:r>
      <w:r>
        <w:t xml:space="preserve"> </w:t>
      </w:r>
      <w:r>
        <w:t xml:space="preserve">S ohledem na hodnotu spalinové ztráty je zařízení shledáno za vhodné k dalšímu provozu, pokud zaokrouhlený výsledek měření nepřekračuje mezní hodnotu.</w:t>
      </w:r>
    </w:p>
    <w:p w:rsidR="00703C97" w:rsidRPr="000736A5" w:rsidRDefault="00703C97" w:rsidP="00703C97">
      <w:pPr>
        <w:pStyle w:val="51Abs"/>
      </w:pPr>
      <w:r>
        <w:t xml:space="preserve">(4) O výsledku kontroly musí být vypracován protokol o zkoušce podle technických pravidel.</w:t>
      </w:r>
      <w:r>
        <w:t xml:space="preserve"> </w:t>
      </w:r>
      <w:r>
        <w:t xml:space="preserve">Zkušební zpráva musí být vydána provozovateli zařízení.</w:t>
      </w:r>
      <w:r>
        <w:t xml:space="preserve"> </w:t>
      </w:r>
      <w:r>
        <w:t xml:space="preserve">Tento musí uschovávat zkušební zprávu minimálně až do příští kontroly, pokud se jedná o středně velké spalovací zařízení, pak minimálně po dobu šesti let.</w:t>
      </w:r>
      <w:r>
        <w:t xml:space="preserve"> </w:t>
      </w:r>
      <w:r>
        <w:t xml:space="preserve">Na vyžádání je nutné předložit zkušební zprávu kominíkovi nebo příslušnému úřadu.“</w:t>
      </w:r>
    </w:p>
    <w:p w:rsidR="00703C97" w:rsidRPr="000736A5" w:rsidRDefault="00703C97" w:rsidP="00703C97">
      <w:pPr>
        <w:pStyle w:val="22NovAo2"/>
      </w:pPr>
      <w:r>
        <w:t xml:space="preserve">26.</w:t>
      </w:r>
      <w:r>
        <w:t xml:space="preserve"> </w:t>
      </w:r>
      <w:r>
        <w:t xml:space="preserve">V § 17 se sled slov </w:t>
      </w:r>
      <w:r>
        <w:rPr>
          <w:i w:val="0"/>
        </w:rPr>
        <w:t xml:space="preserve">„vyhláška o spalovacích zařízeních – FAV, Spolk. věst.</w:t>
      </w:r>
      <w:r>
        <w:rPr>
          <w:i w:val="0"/>
        </w:rPr>
        <w:t xml:space="preserve"> </w:t>
      </w:r>
      <w:r>
        <w:rPr>
          <w:i w:val="0"/>
        </w:rPr>
        <w:t xml:space="preserve">II čís. 331/1997, naposledy ve znění</w:t>
      </w:r>
      <w:r>
        <w:rPr>
          <w:i w:val="0"/>
        </w:rPr>
        <w:t xml:space="preserve"> </w:t>
      </w:r>
      <w:r>
        <w:rPr>
          <w:i w:val="0"/>
        </w:rPr>
        <w:t xml:space="preserve">312/2011,“</w:t>
      </w:r>
      <w:r>
        <w:t xml:space="preserve"> nahrazuje za sled slov </w:t>
      </w:r>
      <w:r>
        <w:rPr>
          <w:i w:val="0"/>
        </w:rPr>
        <w:t xml:space="preserve">„vyhláška o spalovacích zařízeních – FAV“</w:t>
      </w:r>
      <w:r>
        <w:t xml:space="preserve">.</w:t>
      </w:r>
    </w:p>
    <w:p w:rsidR="00703C97" w:rsidRPr="000736A5" w:rsidRDefault="00703C97" w:rsidP="00703C97">
      <w:pPr>
        <w:pStyle w:val="22NovAo2"/>
      </w:pPr>
      <w:r>
        <w:t xml:space="preserve">27.</w:t>
      </w:r>
      <w:r>
        <w:t xml:space="preserve"> </w:t>
      </w:r>
      <w:r>
        <w:t xml:space="preserve">V § 21 odst. 1 je označení </w:t>
      </w:r>
      <w:r>
        <w:rPr>
          <w:i w:val="0"/>
        </w:rPr>
        <w:t xml:space="preserve">„Oddíl 4“</w:t>
      </w:r>
      <w:r>
        <w:t xml:space="preserve"> nahrazeno označením </w:t>
      </w:r>
      <w:r>
        <w:rPr>
          <w:i w:val="0"/>
        </w:rPr>
        <w:t xml:space="preserve">„Oddíl 3“</w:t>
      </w:r>
      <w:r>
        <w:t xml:space="preserve">.</w:t>
      </w:r>
    </w:p>
    <w:p w:rsidR="00703C97" w:rsidRPr="000736A5" w:rsidRDefault="00703C97" w:rsidP="00703C97">
      <w:pPr>
        <w:pStyle w:val="21NovAo1"/>
      </w:pPr>
      <w:r>
        <w:t xml:space="preserve">28.</w:t>
      </w:r>
      <w:r>
        <w:t xml:space="preserve"> </w:t>
      </w:r>
      <w:r>
        <w:t xml:space="preserve">Po § 21 odst. 1 je přidán následující odst. 1a:</w:t>
      </w:r>
    </w:p>
    <w:p w:rsidR="00703C97" w:rsidRPr="000736A5" w:rsidRDefault="00703C97" w:rsidP="00703C97">
      <w:pPr>
        <w:pStyle w:val="51Abs"/>
      </w:pPr>
      <w:r>
        <w:t xml:space="preserve">„(1a) Odlišně od odst. 1 je nutno u středně velkých spalovacích zařízení provést požadovaná opatření tak rychle, aby byly opět dodržovány mezní hodnoty bez prodlev, kterým lze zabránit.“</w:t>
      </w:r>
      <w:r>
        <w:t xml:space="preserve"> </w:t>
      </w:r>
    </w:p>
    <w:p w:rsidR="00703C97" w:rsidRPr="000736A5" w:rsidRDefault="00703C97" w:rsidP="00703C97">
      <w:pPr>
        <w:pStyle w:val="22NovAo2"/>
      </w:pPr>
      <w:r>
        <w:t xml:space="preserve">29.</w:t>
      </w:r>
      <w:r>
        <w:t xml:space="preserve"> </w:t>
      </w:r>
      <w:r>
        <w:t xml:space="preserve">V § 21 odst. 2 je sled slov </w:t>
      </w:r>
      <w:r>
        <w:rPr>
          <w:i w:val="0"/>
        </w:rPr>
        <w:t xml:space="preserve">„Tato lhůta se prodlužuje“</w:t>
      </w:r>
      <w:r>
        <w:t xml:space="preserve"> nahrazen sledem slov </w:t>
      </w:r>
      <w:r>
        <w:rPr>
          <w:i w:val="0"/>
        </w:rPr>
        <w:t xml:space="preserve">„Pro spalovací zařízení a blokové teplárny s tepelným výkonem paliva pod 1 MW, se prodlužuje lhůta stanovená v odst. 1“</w:t>
      </w:r>
      <w:r>
        <w:t xml:space="preserve">.</w:t>
      </w:r>
    </w:p>
    <w:p w:rsidR="00703C97" w:rsidRPr="000736A5" w:rsidRDefault="00703C97" w:rsidP="00703C97">
      <w:pPr>
        <w:pStyle w:val="21NovAo1"/>
      </w:pPr>
      <w:r>
        <w:t xml:space="preserve">30.</w:t>
      </w:r>
      <w:r>
        <w:t xml:space="preserve"> </w:t>
      </w:r>
      <w:r>
        <w:t xml:space="preserve">§ 21 odst. 3 ř. 2 zní:</w:t>
      </w:r>
    </w:p>
    <w:p w:rsidR="00703C97" w:rsidRPr="000736A5" w:rsidRDefault="00703C97" w:rsidP="00703C97">
      <w:pPr>
        <w:pStyle w:val="52Aufzaehle1Ziffer"/>
      </w:pPr>
      <w:r>
        <w:tab/>
      </w:r>
      <w:r>
        <w:t xml:space="preserve">„2.</w:t>
        <w:tab/>
        <w:t xml:space="preserve">Na nejvýše pět let, pokud musí být pro sanaci zařízení zcela nebo z podstatné části vyměněno a emisní mezní hodnoty pro CO jsou překračovány o více než 100 % a ne více než o 400 % nebo spalinové ztráty o více než 20 % a ne více než o 100 %;“</w:t>
      </w:r>
    </w:p>
    <w:p w:rsidR="00703C97" w:rsidRPr="000736A5" w:rsidRDefault="00703C97" w:rsidP="00703C97">
      <w:pPr>
        <w:pStyle w:val="22NovAo2"/>
      </w:pPr>
      <w:r>
        <w:t xml:space="preserve">31.</w:t>
      </w:r>
      <w:r>
        <w:t xml:space="preserve"> </w:t>
      </w:r>
      <w:r>
        <w:t xml:space="preserve">Dosavadní oddíl 7 obdrží označení oddílu „6“.</w:t>
      </w:r>
    </w:p>
    <w:p w:rsidR="00703C97" w:rsidRPr="000736A5" w:rsidRDefault="00703C97" w:rsidP="00703C97">
      <w:pPr>
        <w:pStyle w:val="21NovAo1"/>
      </w:pPr>
      <w:r>
        <w:t xml:space="preserve">32.</w:t>
      </w:r>
      <w:r>
        <w:t xml:space="preserve"> </w:t>
      </w:r>
      <w:r>
        <w:t xml:space="preserve">Za § 23 se vkládá následující § 23a:</w:t>
      </w:r>
    </w:p>
    <w:p w:rsidR="00703C97" w:rsidRPr="000736A5" w:rsidRDefault="00703C97" w:rsidP="00703C97">
      <w:pPr>
        <w:pStyle w:val="45UeberschrPara"/>
      </w:pPr>
      <w:r>
        <w:t xml:space="preserve">„§ 23a</w:t>
        <w:br/>
        <w:t xml:space="preserve">Odkazy</w:t>
      </w:r>
      <w:r>
        <w:t xml:space="preserve"> </w:t>
      </w:r>
    </w:p>
    <w:p w:rsidR="00703C97" w:rsidRPr="000736A5" w:rsidRDefault="00703C97" w:rsidP="00703C97">
      <w:pPr>
        <w:pStyle w:val="51Abs"/>
      </w:pPr>
      <w:r>
        <w:t xml:space="preserve">Pokud je v této vyhlášce odkazováno na vyhlášku o spalovacích zařízeních – FAV, vztahují se tyto odkazy na Vyhlášku o spalovacích zařízeních (orig. Feuerungsanlagen-Verordnung – FAV 2019, Spolk. věst.</w:t>
      </w:r>
      <w:r>
        <w:t xml:space="preserve"> </w:t>
      </w:r>
      <w:r>
        <w:t xml:space="preserve">II č. 293/2019.“</w:t>
      </w:r>
    </w:p>
    <w:p w:rsidR="00703C97" w:rsidRPr="000736A5" w:rsidRDefault="00703C97" w:rsidP="00703C97">
      <w:pPr>
        <w:pStyle w:val="21NovAo1"/>
      </w:pPr>
      <w:r>
        <w:t xml:space="preserve">33.</w:t>
      </w:r>
      <w:r>
        <w:t xml:space="preserve"> </w:t>
      </w:r>
      <w:r>
        <w:t xml:space="preserve">Příloha č. 1, příloha č. 2a, příloha č. 2b, příloha č. 2c a příloha č. 3 nahrazují níže uvedená příloha č. 1, příloha č. 2a, příloha č. 2b, příloha č. 2c s příloha č. 3</w:t>
      </w:r>
    </w:p>
    <w:p w:rsidR="00703C97" w:rsidRPr="000736A5" w:rsidRDefault="00703C97" w:rsidP="00C81779">
      <w:pPr>
        <w:pStyle w:val="71Anlagenbez"/>
        <w:pageBreakBefore/>
      </w:pPr>
      <w:r>
        <w:t xml:space="preserve">Příloha č. 1</w:t>
      </w:r>
      <w:r>
        <w:t xml:space="preserve"> </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703C97" w:rsidRPr="000736A5" w:rsidTr="00133150">
        <w:tc>
          <w:tcPr>
            <w:tcW w:w="9567" w:type="dxa"/>
            <w:hideMark/>
          </w:tcPr>
          <w:p w:rsidR="00703C97" w:rsidRPr="000736A5" w:rsidRDefault="00703C97" w:rsidP="00E97CAD">
            <w:pPr>
              <w:pStyle w:val="41UeberschrG1"/>
            </w:pPr>
            <w:r>
              <w:t xml:space="preserve">DATOVÝ LIST ZAŘÍZENÍ podle § 6 čís.</w:t>
            </w:r>
            <w:r>
              <w:t xml:space="preserve"> </w:t>
            </w:r>
            <w:r>
              <w:t xml:space="preserve">6 K-HeizVO</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703C97" w:rsidRPr="000736A5" w:rsidTr="00133150">
        <w:tc>
          <w:tcPr>
            <w:tcW w:w="3380" w:type="dxa"/>
            <w:tcBorders>
              <w:bottom w:val="nil"/>
            </w:tcBorders>
            <w:shd w:val="pct10" w:color="auto" w:fill="auto"/>
            <w:hideMark/>
          </w:tcPr>
          <w:p w:rsidR="00703C97" w:rsidRPr="000736A5" w:rsidRDefault="000830C5" w:rsidP="000830C5">
            <w:pPr>
              <w:pStyle w:val="61TabText"/>
              <w:rPr>
                <w:rStyle w:val="993Fett"/>
              </w:rPr>
            </w:pPr>
            <w:r>
              <w:rPr>
                <w:b/>
              </w:rPr>
              <w:t xml:space="preserve">Topné zařízení / bloková teplárna (BHKW)</w:t>
            </w:r>
          </w:p>
        </w:tc>
        <w:tc>
          <w:tcPr>
            <w:tcW w:w="6187" w:type="dxa"/>
            <w:hideMark/>
          </w:tcPr>
          <w:p w:rsidR="00703C97" w:rsidRPr="000736A5" w:rsidRDefault="00703C97" w:rsidP="00E97CAD">
            <w:pPr>
              <w:pStyle w:val="61TabText"/>
              <w:rPr>
                <w:rStyle w:val="993Fett"/>
                <w:b w:val="0"/>
              </w:rPr>
            </w:pPr>
            <w:r>
              <w:rPr>
                <w:b/>
              </w:rPr>
              <w:t xml:space="preserve">Topný kotel/BT:</w:t>
            </w:r>
          </w:p>
        </w:tc>
      </w:tr>
      <w:tr w:rsidR="00703C97" w:rsidRPr="000736A5" w:rsidTr="00133150">
        <w:tc>
          <w:tcPr>
            <w:tcW w:w="3380" w:type="dxa"/>
            <w:tcBorders>
              <w:top w:val="nil"/>
              <w:bottom w:val="single" w:sz="4" w:space="0" w:color="auto"/>
            </w:tcBorders>
            <w:shd w:val="pct10" w:color="auto" w:fill="auto"/>
            <w:hideMark/>
          </w:tcPr>
          <w:p w:rsidR="00703C97" w:rsidRPr="000736A5" w:rsidRDefault="00703C97" w:rsidP="00E97CAD">
            <w:pPr>
              <w:pStyle w:val="61TabText"/>
              <w:rPr>
                <w:rStyle w:val="993Fett"/>
              </w:rPr>
            </w:pPr>
            <w:r>
              <w:rPr>
                <w:b/>
              </w:rPr>
              <w:t xml:space="preserve">(produkt/typ)</w:t>
            </w:r>
          </w:p>
        </w:tc>
        <w:tc>
          <w:tcPr>
            <w:tcW w:w="6187" w:type="dxa"/>
            <w:tcBorders>
              <w:bottom w:val="single" w:sz="4" w:space="0" w:color="auto"/>
            </w:tcBorders>
            <w:hideMark/>
          </w:tcPr>
          <w:p w:rsidR="00703C97" w:rsidRPr="000736A5" w:rsidRDefault="00703C97" w:rsidP="00E97CAD">
            <w:pPr>
              <w:pStyle w:val="61TabText"/>
              <w:rPr>
                <w:rStyle w:val="993Fett"/>
                <w:b w:val="0"/>
              </w:rPr>
            </w:pPr>
            <w:r>
              <w:rPr>
                <w:b/>
              </w:rPr>
              <w:t xml:space="preserve">Hořák:</w:t>
            </w:r>
          </w:p>
        </w:tc>
      </w:tr>
      <w:tr w:rsidR="00703C97" w:rsidRPr="000736A5" w:rsidTr="00133150">
        <w:tc>
          <w:tcPr>
            <w:tcW w:w="3380" w:type="dxa"/>
            <w:tcBorders>
              <w:top w:val="single" w:sz="4" w:space="0" w:color="auto"/>
            </w:tcBorders>
            <w:shd w:val="pct10" w:color="auto" w:fill="auto"/>
            <w:hideMark/>
          </w:tcPr>
          <w:p w:rsidR="00703C97" w:rsidRPr="000736A5" w:rsidRDefault="00703C97" w:rsidP="00E97CAD">
            <w:pPr>
              <w:pStyle w:val="61TabText"/>
              <w:rPr>
                <w:rStyle w:val="993Fett"/>
              </w:rPr>
            </w:pPr>
            <w:r>
              <w:rPr>
                <w:b/>
              </w:rPr>
              <w:t xml:space="preserve">Druh spalovacího zařízení</w:t>
            </w:r>
          </w:p>
        </w:tc>
        <w:tc>
          <w:tcPr>
            <w:tcW w:w="6187" w:type="dxa"/>
            <w:tcBorders>
              <w:top w:val="single" w:sz="4" w:space="0" w:color="auto"/>
            </w:tcBorders>
            <w:hideMark/>
          </w:tcPr>
          <w:p w:rsidR="00703C97" w:rsidRPr="000736A5" w:rsidRDefault="00703C97" w:rsidP="00E97CAD">
            <w:pPr>
              <w:pStyle w:val="61TabText"/>
            </w:pPr>
            <m:oMath>
              <m:r>
                <m:rPr>
                  <m:sty m:val="p"/>
                </m:rPr>
                <w:rPr>
                  <w:rFonts w:ascii="Cambria Math" w:hAnsi="Cambria Math"/>
                </w:rPr>
                <w:sym w:font="Wingdings" w:char="F06F"/>
              </m:r>
            </m:oMath>
            <w:r>
              <w:rPr>
                <w:b/>
                <w:b/>
              </w:rPr>
              <w:t xml:space="preserve"> Standardní kotel</w:t>
            </w:r>
            <m:oMath>
              <m:r>
                <w:rPr>
                  <w:rFonts w:ascii="Cambria Math" w:hAnsi="Cambria Math"/>
                </w:rPr>
                <m:t xml:space="preserve">   </m:t>
              </m:r>
              <m:r>
                <m:rPr>
                  <m:sty m:val="p"/>
                </m:rPr>
                <w:rPr>
                  <w:rFonts w:ascii="Cambria Math" w:hAnsi="Cambria Math"/>
                </w:rPr>
                <w:sym w:font="Wingdings" w:char="F06F"/>
              </m:r>
            </m:oMath>
            <w:r>
              <w:rPr>
                <w:b/>
                <w:b/>
              </w:rPr>
              <w:t xml:space="preserve">Nízká teplota </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b/>
              </w:rPr>
              <w:t xml:space="preserve"> Výhřevnost</w:t>
            </w:r>
            <w:r>
              <w:rPr>
                <w:b/>
              </w:rPr>
              <w:t xml:space="preserve"> </w:t>
            </w:r>
          </w:p>
          <w:p w:rsidR="00703C97" w:rsidRPr="000736A5" w:rsidRDefault="00703C97" w:rsidP="00E97CAD">
            <w:pPr>
              <w:pStyle w:val="61TabText"/>
            </w:pPr>
            <m:oMath>
              <m:r>
                <m:rPr>
                  <m:sty m:val="p"/>
                </m:rPr>
                <w:rPr>
                  <w:rFonts w:ascii="Cambria Math" w:hAnsi="Cambria Math"/>
                </w:rPr>
                <w:sym w:font="Wingdings" w:char="F06F"/>
              </m:r>
            </m:oMath>
            <w:r>
              <w:rPr>
                <w:b/>
              </w:rPr>
              <w:t xml:space="preserve"> Více druhů paliva</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Dvě komory </w:t>
            </w:r>
            <m:oMath>
              <m:r>
                <m:rPr>
                  <m:sty m:val="p"/>
                </m:rPr>
                <w:rPr>
                  <w:rFonts w:ascii="Cambria Math" w:hAnsi="Cambria Math"/>
                </w:rPr>
                <w:sym w:font="Wingdings" w:char="F06F"/>
              </m:r>
              <m:r>
                <m:rPr>
                  <m:sty m:val="p"/>
                </m:rPr>
                <w:rPr>
                  <w:rFonts w:ascii="Cambria Math" w:hAnsi="Cambria Math"/>
                </w:rPr>
                <m:t xml:space="preserve"> </m:t>
              </m:r>
            </m:oMath>
            <w:r>
              <w:rPr>
                <w:b/>
              </w:rPr>
              <w:t xml:space="preserve">ostatní</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Hořák</w:t>
            </w:r>
          </w:p>
        </w:tc>
        <w:tc>
          <w:tcPr>
            <w:tcW w:w="618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 xml:space="preserve"> </w:t>
            </w:r>
            <w:r>
              <w:rPr>
                <w:b/>
              </w:rPr>
              <w:t xml:space="preserve">atmosférických</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t xml:space="preserve"> </w:t>
            </w:r>
            <w:r>
              <w:rPr>
                <w:b/>
              </w:rPr>
              <w:t xml:space="preserve">dmychadlo</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Tepelný výkon paliva</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Jmenovitý tepelný výkon</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Rozsah tepelného výkonu</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Výrobní číslo a rok výroby</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Přípustná topiva/paliva</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Objem vyrov. zásobníku</w:t>
            </w:r>
            <w:r>
              <w:rPr>
                <w:b/>
              </w:rPr>
              <w:t xml:space="preserve"> </w:t>
            </w:r>
          </w:p>
        </w:tc>
        <w:tc>
          <w:tcPr>
            <w:tcW w:w="6187" w:type="dxa"/>
            <w:hideMark/>
          </w:tcPr>
          <w:p w:rsidR="00703C97" w:rsidRPr="000736A5" w:rsidRDefault="00703C97" w:rsidP="00E97CAD">
            <w:pPr>
              <w:pStyle w:val="61aTabTextRechtsb"/>
              <w:rPr>
                <w:rStyle w:val="993Fett"/>
              </w:rPr>
            </w:pPr>
            <w:r>
              <w:rPr>
                <w:b/>
              </w:rPr>
              <w:t xml:space="preserve">m³</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703C97" w:rsidRPr="000736A5" w:rsidTr="00133150">
        <w:tc>
          <w:tcPr>
            <w:tcW w:w="3381" w:type="dxa"/>
            <w:gridSpan w:val="2"/>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Provozovatel</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(jméno a adresa)</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tcBorders>
            <w:shd w:val="pct10" w:color="auto" w:fill="auto"/>
          </w:tcPr>
          <w:p w:rsidR="00703C97" w:rsidRPr="000736A5" w:rsidRDefault="00703C97" w:rsidP="00E97CAD">
            <w:pPr>
              <w:pStyle w:val="09Abstand"/>
              <w:rPr>
                <w:rStyle w:val="993Fett"/>
              </w:rPr>
            </w:pP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bottom w:val="nil"/>
            </w:tcBorders>
            <w:shd w:val="pct10" w:color="auto" w:fill="auto"/>
            <w:hideMark/>
          </w:tcPr>
          <w:p w:rsidR="00703C97" w:rsidRPr="000736A5" w:rsidRDefault="00703C97" w:rsidP="00E97CAD">
            <w:pPr>
              <w:pStyle w:val="61TabText"/>
              <w:rPr>
                <w:rStyle w:val="993Fett"/>
              </w:rPr>
            </w:pPr>
            <w:r>
              <w:rPr>
                <w:b/>
              </w:rPr>
              <w:t xml:space="preserve">Adresa</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místa instalace</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2185" w:type="dxa"/>
            <w:shd w:val="clear" w:color="auto" w:fill="D9D9D9" w:themeFill="background1" w:themeFillShade="D9"/>
            <w:hideMark/>
          </w:tcPr>
          <w:p w:rsidR="00703C97" w:rsidRPr="000736A5" w:rsidRDefault="00703C97" w:rsidP="00E97CAD">
            <w:pPr>
              <w:pStyle w:val="61TabText"/>
              <w:rPr>
                <w:rStyle w:val="993Fett"/>
              </w:rPr>
            </w:pPr>
            <w:r>
              <w:rPr>
                <w:b/>
              </w:rPr>
              <w:t xml:space="preserve">Číslo zařízení*</w:t>
            </w:r>
          </w:p>
        </w:tc>
        <w:tc>
          <w:tcPr>
            <w:tcW w:w="3202" w:type="dxa"/>
            <w:gridSpan w:val="2"/>
            <w:hideMark/>
          </w:tcPr>
          <w:p w:rsidR="00703C97" w:rsidRPr="000736A5" w:rsidRDefault="00703C97" w:rsidP="00E97CAD">
            <w:pPr>
              <w:rPr>
                <w:color w:val="000000"/>
              </w:rPr>
            </w:pPr>
          </w:p>
        </w:tc>
        <w:tc>
          <w:tcPr>
            <w:tcW w:w="2268" w:type="dxa"/>
            <w:shd w:val="clear" w:color="auto" w:fill="D9D9D9" w:themeFill="background1" w:themeFillShade="D9"/>
            <w:hideMark/>
          </w:tcPr>
          <w:p w:rsidR="00703C97" w:rsidRPr="000736A5" w:rsidRDefault="00703C97" w:rsidP="00E97CAD">
            <w:pPr>
              <w:pStyle w:val="61TabText"/>
              <w:rPr>
                <w:rStyle w:val="993Fett"/>
              </w:rPr>
            </w:pPr>
            <w:r>
              <w:rPr>
                <w:b/>
              </w:rPr>
              <w:t xml:space="preserve">Vytápěná užitná plocha</w:t>
            </w:r>
            <w:r>
              <w:rPr>
                <w:b/>
              </w:rPr>
              <w:t xml:space="preserve"> </w:t>
            </w:r>
          </w:p>
        </w:tc>
        <w:tc>
          <w:tcPr>
            <w:tcW w:w="1915" w:type="dxa"/>
            <w:hideMark/>
          </w:tcPr>
          <w:p w:rsidR="00703C97" w:rsidRPr="000736A5" w:rsidRDefault="00703C97" w:rsidP="00E97CAD">
            <w:pPr>
              <w:pStyle w:val="61aTabTextRechtsb"/>
              <w:rPr>
                <w:rStyle w:val="993Fett"/>
                <w:b w:val="0"/>
              </w:rPr>
            </w:pPr>
            <w:r>
              <w:rPr>
                <w:b/>
              </w:rPr>
              <w:t xml:space="preserve">m²</w:t>
            </w:r>
          </w:p>
        </w:tc>
      </w:tr>
      <w:tr w:rsidR="00703C97" w:rsidRPr="000736A5" w:rsidTr="00133150">
        <w:tc>
          <w:tcPr>
            <w:tcW w:w="3381" w:type="dxa"/>
            <w:gridSpan w:val="2"/>
            <w:shd w:val="pct10" w:color="auto" w:fill="auto"/>
            <w:hideMark/>
          </w:tcPr>
          <w:p w:rsidR="00703C97" w:rsidRPr="000736A5" w:rsidRDefault="00703C97" w:rsidP="00E97CAD">
            <w:pPr>
              <w:pStyle w:val="61TabText"/>
              <w:rPr>
                <w:rStyle w:val="993Fett"/>
              </w:rPr>
            </w:pPr>
            <w:r>
              <w:rPr>
                <w:b/>
              </w:rPr>
              <w:t xml:space="preserve">Pověřený kominík</w:t>
            </w:r>
          </w:p>
        </w:tc>
        <w:tc>
          <w:tcPr>
            <w:tcW w:w="6189" w:type="dxa"/>
            <w:gridSpan w:val="3"/>
          </w:tcPr>
          <w:p w:rsidR="00703C97" w:rsidRPr="000736A5" w:rsidRDefault="00703C97" w:rsidP="00E97CAD">
            <w:pPr>
              <w:pStyle w:val="09Abstand"/>
              <w:rPr>
                <w:rStyle w:val="993Fett"/>
              </w:rPr>
            </w:pPr>
          </w:p>
        </w:tc>
      </w:tr>
    </w:tbl>
    <w:p w:rsidR="00703C97" w:rsidRPr="000736A5" w:rsidRDefault="00703C97" w:rsidP="00703C97">
      <w:pPr>
        <w:pStyle w:val="82ErlUeberschrL"/>
      </w:pPr>
      <w:r>
        <w:t xml:space="preserve">Spal. zař./BT instaloval:</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Jméno a adresa</w:t>
            </w:r>
            <w:r>
              <w:rPr>
                <w:b/>
              </w:rPr>
              <w:t xml:space="preserve"> </w:t>
            </w:r>
          </w:p>
        </w:tc>
        <w:tc>
          <w:tcPr>
            <w:tcW w:w="6214" w:type="dxa"/>
            <w:tcBorders>
              <w:top w:val="single" w:sz="4" w:space="0" w:color="auto"/>
            </w:tcBorders>
          </w:tcPr>
          <w:p w:rsidR="00703C97" w:rsidRPr="000736A5" w:rsidRDefault="00703C97" w:rsidP="00E97CAD">
            <w:pPr>
              <w:pStyle w:val="09Abstand"/>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firmy</w:t>
            </w:r>
          </w:p>
        </w:tc>
        <w:tc>
          <w:tcPr>
            <w:tcW w:w="6214" w:type="dxa"/>
          </w:tcPr>
          <w:p w:rsidR="00703C97" w:rsidRPr="000736A5" w:rsidRDefault="00703C97" w:rsidP="00E97CAD">
            <w:pPr>
              <w:pStyle w:val="09Abstand"/>
            </w:pPr>
          </w:p>
        </w:tc>
      </w:tr>
      <w:tr w:rsidR="00703C97" w:rsidRPr="000736A5" w:rsidTr="00133150">
        <w:tc>
          <w:tcPr>
            <w:tcW w:w="3354" w:type="dxa"/>
            <w:tcBorders>
              <w:top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Datum</w:t>
            </w:r>
          </w:p>
        </w:tc>
        <w:tc>
          <w:tcPr>
            <w:tcW w:w="6214" w:type="dxa"/>
          </w:tcPr>
          <w:p w:rsidR="00703C97" w:rsidRPr="000736A5" w:rsidRDefault="00703C97" w:rsidP="00E97CAD">
            <w:pPr>
              <w:pStyle w:val="09Abstand"/>
            </w:pPr>
          </w:p>
        </w:tc>
      </w:tr>
    </w:tbl>
    <w:p w:rsidR="00703C97" w:rsidRPr="000736A5" w:rsidRDefault="00703C97" w:rsidP="00703C97">
      <w:pPr>
        <w:pStyle w:val="82ErlUeberschrL"/>
      </w:pPr>
      <w:r>
        <w:t xml:space="preserve">Změny provedené na spalovacím zařízení/BT:</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Poznámky</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Jméno a adresa</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firmy</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Datum</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Poznámky</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Jméno a adresa</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firmy</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Datum</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703C97" w:rsidRPr="000736A5" w:rsidTr="00133150">
        <w:tc>
          <w:tcPr>
            <w:tcW w:w="9568" w:type="dxa"/>
            <w:gridSpan w:val="4"/>
            <w:shd w:val="pct10" w:color="auto" w:fill="auto"/>
            <w:hideMark/>
          </w:tcPr>
          <w:p w:rsidR="00703C97" w:rsidRPr="000736A5" w:rsidRDefault="00703C97" w:rsidP="00E97CAD">
            <w:pPr>
              <w:pStyle w:val="61TabText"/>
              <w:rPr>
                <w:rStyle w:val="993Fett"/>
              </w:rPr>
            </w:pPr>
            <w:r>
              <w:rPr>
                <w:b/>
              </w:rPr>
              <w:t xml:space="preserve">Jiná zařízení na dodávku tepla/přípravu teplé vody</w:t>
            </w:r>
            <w:r>
              <w:rPr>
                <w:b/>
              </w:rPr>
              <w:t xml:space="preserve"> </w:t>
            </w:r>
          </w:p>
        </w:tc>
      </w:tr>
      <w:tr w:rsidR="00703C97" w:rsidRPr="000736A5" w:rsidTr="00133150">
        <w:tc>
          <w:tcPr>
            <w:tcW w:w="218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Rezervní zařízení</w:t>
            </w:r>
          </w:p>
        </w:tc>
        <w:tc>
          <w:tcPr>
            <w:tcW w:w="306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Kamna či kachlová kamna</w:t>
            </w:r>
          </w:p>
        </w:tc>
        <w:tc>
          <w:tcPr>
            <w:tcW w:w="1976"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Solární zařízení</w:t>
            </w:r>
          </w:p>
        </w:tc>
        <w:tc>
          <w:tcPr>
            <w:tcW w:w="234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Ostatní</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703C97" w:rsidRPr="000736A5" w:rsidTr="00133150">
        <w:tc>
          <w:tcPr>
            <w:tcW w:w="3969" w:type="dxa"/>
            <w:shd w:val="pct10" w:color="auto" w:fill="auto"/>
            <w:hideMark/>
          </w:tcPr>
          <w:p w:rsidR="00703C97" w:rsidRPr="000736A5" w:rsidRDefault="00703C97" w:rsidP="00E97CAD">
            <w:pPr>
              <w:pStyle w:val="61TabText"/>
              <w:rPr>
                <w:rStyle w:val="993Fett"/>
              </w:rPr>
            </w:pPr>
            <w:r>
              <w:rPr>
                <w:b/>
              </w:rPr>
              <w:t xml:space="preserve">Datum vystavení datového listu zařízení</w:t>
            </w:r>
          </w:p>
        </w:tc>
        <w:tc>
          <w:tcPr>
            <w:tcW w:w="5601" w:type="dxa"/>
          </w:tcPr>
          <w:p w:rsidR="00703C97" w:rsidRPr="000736A5" w:rsidRDefault="00703C97" w:rsidP="00E97CAD">
            <w:pPr>
              <w:pStyle w:val="09Abstand"/>
            </w:pPr>
          </w:p>
        </w:tc>
      </w:tr>
    </w:tbl>
    <w:p w:rsidR="00C81779" w:rsidRPr="000736A5" w:rsidRDefault="00703C97" w:rsidP="00703C97">
      <w:pPr>
        <w:pStyle w:val="23SatznachNovao"/>
      </w:pPr>
      <m:oMath>
        <m:r>
          <m:rPr>
            <m:sty m:val="p"/>
          </m:rPr>
          <w:rPr>
            <w:rFonts w:ascii="Cambria Math" w:hAnsi="Cambria Math"/>
          </w:rPr>
          <m:t>*</m:t>
        </m:r>
      </m:oMath>
      <w:r>
        <w:t xml:space="preserve"> Pouze při více zařízeních</w:t>
      </w:r>
    </w:p>
    <w:p w:rsidR="00703C97" w:rsidRPr="000736A5" w:rsidRDefault="00703C97" w:rsidP="00C81779">
      <w:pPr>
        <w:pStyle w:val="71Anlagenbez"/>
        <w:pageBreakBefore/>
      </w:pPr>
      <w:r>
        <w:t xml:space="preserve">Příloha 2a</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hideMark/>
          </w:tcPr>
          <w:p w:rsidR="00703C97" w:rsidRPr="000736A5" w:rsidRDefault="00703C97" w:rsidP="00E97CAD">
            <w:pPr>
              <w:pStyle w:val="61bTabTextZentriert"/>
            </w:pPr>
            <w:r>
              <w:rPr>
                <w:b/>
              </w:rPr>
              <w:t xml:space="preserve">ZKUŠEBNÍ ZPRÁVA PRO JEDNODUCHOU KONTROLU SPALOVACÍCH ZAŘÍZENÍ </w:t>
            </w:r>
            <w:r>
              <w:rPr>
                <w:b/>
              </w:rPr>
              <w:t xml:space="preserve"> </w:t>
            </w:r>
          </w:p>
          <w:p w:rsidR="00703C97" w:rsidRPr="000736A5" w:rsidRDefault="00703C97" w:rsidP="00E97CAD">
            <w:pPr>
              <w:pStyle w:val="61bTabTextZentriert"/>
              <w:rPr>
                <w:rStyle w:val="993Fett"/>
              </w:rPr>
            </w:pPr>
            <w:r>
              <w:rPr>
                <w:b/>
              </w:rPr>
              <w:t xml:space="preserve">podle § 15 K-HeizVO</w:t>
              <w:br/>
              <w:t xml:space="preserve">Plynná a kapalný paliva</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Extra lehký topný olej</w:t>
      </w:r>
      <w:r>
        <w:tab/>
        <w:tab/>
      </w:r>
      <m:oMath>
        <m:r>
          <m:rPr>
            <m:sty m:val="p"/>
          </m:rPr>
          <w:rPr>
            <w:rFonts w:ascii="Cambria Math" w:hAnsi="Cambria Math"/>
          </w:rPr>
          <w:sym w:font="Wingdings" w:char="F06F"/>
        </m:r>
      </m:oMath>
      <w:r>
        <w:t xml:space="preserve"> </w:t>
      </w:r>
      <w:r>
        <w:rPr>
          <w:b/>
        </w:rPr>
        <w:t xml:space="preserve">Extra lehký topný olej s malým obsahem síry</w:t>
      </w:r>
      <w:r>
        <w:tab/>
        <w:tab/>
      </w:r>
      <m:oMath>
        <m:r>
          <m:rPr>
            <m:sty m:val="p"/>
          </m:rPr>
          <w:rPr>
            <w:rFonts w:ascii="Cambria Math" w:hAnsi="Cambria Math"/>
          </w:rPr>
          <w:sym w:font="Wingdings" w:char="F06F"/>
        </m:r>
      </m:oMath>
      <w:r>
        <w:t xml:space="preserve"> </w:t>
      </w:r>
      <w:r>
        <w:rPr>
          <w:b/>
        </w:rPr>
        <w:t xml:space="preserve">Lehký topný olej</w:t>
      </w:r>
      <w:r>
        <w:tab/>
        <w:tab/>
      </w:r>
      <m:oMath>
        <m:r>
          <m:rPr>
            <m:sty m:val="p"/>
          </m:rPr>
          <w:rPr>
            <w:rFonts w:ascii="Cambria Math" w:hAnsi="Cambria Math"/>
          </w:rPr>
          <w:sym w:font="Wingdings" w:char="F06F"/>
        </m:r>
      </m:oMath>
      <w:r>
        <w:t xml:space="preserve"> </w:t>
      </w:r>
      <w:r>
        <w:rPr>
          <w:b/>
        </w:rPr>
        <w:t xml:space="preserve">Zemní plyn</w:t>
      </w:r>
      <w:r>
        <w:tab/>
        <w:br/>
      </w:r>
      <m:oMath>
        <m:r>
          <m:rPr>
            <m:sty m:val="p"/>
          </m:rPr>
          <w:rPr>
            <w:rStyle w:val="993Fett"/>
            <w:rFonts w:ascii="Cambria Math" w:hAnsi="Cambria Math"/>
            <w:b w:val="0"/>
          </w:rPr>
          <w:sym w:font="Wingdings" w:char="F06F"/>
        </m:r>
      </m:oMath>
      <w:r>
        <w:t xml:space="preserve"> </w:t>
      </w:r>
      <w:r>
        <w:rPr>
          <w:b/>
        </w:rPr>
        <w:t xml:space="preserve">Tekutý plyn  </w:t>
      </w:r>
      <w:r>
        <w:tab/>
      </w:r>
      <m:oMath>
        <m:r>
          <m:rPr>
            <m:sty m:val="p"/>
          </m:rPr>
          <w:rPr>
            <w:rFonts w:ascii="Cambria Math" w:hAnsi="Cambria Math"/>
          </w:rPr>
          <w:sym w:font="Wingdings" w:char="F06F"/>
        </m:r>
      </m:oMath>
      <w:r>
        <w:t xml:space="preserve"> ...........</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703C97" w:rsidRPr="000736A5" w:rsidTr="00133150">
        <w:trPr>
          <w:gridAfter w:val="1"/>
          <w:wAfter w:w="15" w:type="dxa"/>
        </w:trPr>
        <w:tc>
          <w:tcPr>
            <w:tcW w:w="2329" w:type="dxa"/>
            <w:vMerge w:val="restart"/>
            <w:shd w:val="pct10" w:color="auto" w:fill="auto"/>
          </w:tcPr>
          <w:p w:rsidR="00703C97" w:rsidRPr="000736A5" w:rsidRDefault="00703C97" w:rsidP="00E97CAD">
            <w:pPr>
              <w:pStyle w:val="61TabText"/>
            </w:pPr>
            <w:r>
              <w:rPr>
                <w:b/>
              </w:rPr>
              <w:t xml:space="preserve">Provozovatel zařízení</w:t>
            </w:r>
          </w:p>
          <w:p w:rsidR="00703C97" w:rsidRPr="000736A5" w:rsidRDefault="00703C97" w:rsidP="00E97CAD">
            <w:pPr>
              <w:pStyle w:val="61TabText"/>
              <w:rPr>
                <w:b/>
              </w:rPr>
            </w:pPr>
            <w:r>
              <w:rPr>
                <w:b/>
              </w:rPr>
              <w:t xml:space="preserve">(podpis/adresa)</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vMerge/>
            <w:shd w:val="pct10" w:color="auto" w:fill="auto"/>
          </w:tcPr>
          <w:p w:rsidR="00703C97" w:rsidRPr="000736A5" w:rsidRDefault="00703C97" w:rsidP="00E97CAD">
            <w:pPr>
              <w:pStyle w:val="61TabText"/>
              <w:rPr>
                <w:b/>
              </w:rPr>
            </w:pP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Zkušební orgán</w:t>
            </w:r>
          </w:p>
        </w:tc>
        <w:tc>
          <w:tcPr>
            <w:tcW w:w="4417" w:type="dxa"/>
            <w:gridSpan w:val="4"/>
          </w:tcPr>
          <w:p w:rsidR="00703C97" w:rsidRPr="000736A5" w:rsidRDefault="00703C97" w:rsidP="00E97CAD">
            <w:pPr>
              <w:pStyle w:val="09Abstand"/>
              <w:rPr>
                <w:rStyle w:val="993Fett"/>
              </w:rPr>
            </w:pPr>
          </w:p>
        </w:tc>
        <w:tc>
          <w:tcPr>
            <w:tcW w:w="1264" w:type="dxa"/>
            <w:gridSpan w:val="2"/>
            <w:shd w:val="pct10" w:color="auto" w:fill="auto"/>
            <w:hideMark/>
          </w:tcPr>
          <w:p w:rsidR="00703C97" w:rsidRPr="000736A5" w:rsidRDefault="00703C97" w:rsidP="00E97CAD">
            <w:pPr>
              <w:pStyle w:val="61TabText"/>
              <w:rPr>
                <w:rStyle w:val="993Fett"/>
              </w:rPr>
            </w:pPr>
            <w:r>
              <w:rPr>
                <w:b/>
              </w:rPr>
              <w:t xml:space="preserve">Datum zkoušky</w:t>
            </w:r>
          </w:p>
        </w:tc>
        <w:tc>
          <w:tcPr>
            <w:tcW w:w="1905"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Zkušební číslo provozovny</w:t>
            </w:r>
          </w:p>
        </w:tc>
        <w:tc>
          <w:tcPr>
            <w:tcW w:w="2704" w:type="dxa"/>
            <w:gridSpan w:val="2"/>
          </w:tcPr>
          <w:p w:rsidR="00703C97" w:rsidRPr="000736A5" w:rsidRDefault="00703C97" w:rsidP="00E97CAD">
            <w:pPr>
              <w:pStyle w:val="09Abstand"/>
              <w:rPr>
                <w:rStyle w:val="993Fett"/>
              </w:rPr>
            </w:pPr>
          </w:p>
        </w:tc>
        <w:tc>
          <w:tcPr>
            <w:tcW w:w="1701" w:type="dxa"/>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Číslo zařízení*</w:t>
            </w:r>
          </w:p>
        </w:tc>
        <w:tc>
          <w:tcPr>
            <w:tcW w:w="3181" w:type="dxa"/>
            <w:gridSpan w:val="4"/>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bottom w:val="nil"/>
            </w:tcBorders>
            <w:shd w:val="pct10" w:color="auto" w:fill="auto"/>
            <w:hideMark/>
          </w:tcPr>
          <w:p w:rsidR="00703C97" w:rsidRPr="000736A5" w:rsidRDefault="00703C97" w:rsidP="00E97CAD">
            <w:pPr>
              <w:pStyle w:val="61TabText"/>
              <w:rPr>
                <w:rStyle w:val="993Fett"/>
              </w:rPr>
            </w:pPr>
            <w:r>
              <w:rPr>
                <w:b/>
              </w:rPr>
              <w:t xml:space="preserve">Spalovací zařízení</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top w:val="nil"/>
            </w:tcBorders>
            <w:shd w:val="pct10" w:color="auto" w:fill="auto"/>
            <w:hideMark/>
          </w:tcPr>
          <w:p w:rsidR="00703C97" w:rsidRPr="000736A5" w:rsidRDefault="00703C97" w:rsidP="00E97CAD">
            <w:pPr>
              <w:pStyle w:val="61TabText"/>
              <w:rPr>
                <w:rStyle w:val="993Fett"/>
              </w:rPr>
            </w:pPr>
            <w:r>
              <w:rPr>
                <w:b/>
              </w:rPr>
              <w:t xml:space="preserve">(produkt/typ)</w:t>
            </w:r>
          </w:p>
        </w:tc>
        <w:tc>
          <w:tcPr>
            <w:tcW w:w="7586" w:type="dxa"/>
            <w:gridSpan w:val="7"/>
          </w:tcPr>
          <w:p w:rsidR="00703C97" w:rsidRPr="000736A5" w:rsidRDefault="00703C97" w:rsidP="00E97CAD">
            <w:pPr>
              <w:pStyle w:val="09Abstand"/>
              <w:rPr>
                <w:rStyle w:val="993Fett"/>
              </w:rPr>
            </w:pPr>
          </w:p>
        </w:tc>
      </w:tr>
      <w:tr w:rsidR="00703C97" w:rsidRPr="000736A5" w:rsidTr="00133150">
        <w:tc>
          <w:tcPr>
            <w:tcW w:w="9930" w:type="dxa"/>
            <w:gridSpan w:val="9"/>
            <w:shd w:val="pct10" w:color="auto" w:fill="auto"/>
            <w:vAlign w:val="center"/>
            <w:hideMark/>
          </w:tcPr>
          <w:p w:rsidR="00703C97" w:rsidRPr="000736A5" w:rsidRDefault="00703C97" w:rsidP="00E97CAD">
            <w:pPr>
              <w:pStyle w:val="61bTabTextZentriert"/>
              <w:rPr>
                <w:rStyle w:val="993Fett"/>
              </w:rPr>
            </w:pPr>
            <w:r>
              <w:rPr>
                <w:b/>
              </w:rPr>
              <w:t xml:space="preserve">Měřicí přístroj</w:t>
            </w: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Produkt</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Kalibrační zkušebna</w:t>
            </w:r>
          </w:p>
        </w:tc>
        <w:tc>
          <w:tcPr>
            <w:tcW w:w="2550" w:type="dxa"/>
            <w:gridSpan w:val="3"/>
          </w:tcPr>
          <w:p w:rsidR="00703C97" w:rsidRPr="000736A5" w:rsidRDefault="00703C97" w:rsidP="00E97CAD">
            <w:pPr>
              <w:pStyle w:val="09Abstand"/>
              <w:rPr>
                <w:rStyle w:val="993Fett"/>
              </w:rPr>
            </w:pP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Označení typu</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Poslední kalibrace dne</w:t>
            </w:r>
          </w:p>
        </w:tc>
        <w:tc>
          <w:tcPr>
            <w:tcW w:w="2550" w:type="dxa"/>
            <w:gridSpan w:val="3"/>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Podnět k přezkoušení</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první jednoduchá zkouška</w:t>
            </w:r>
            <w:r>
              <w:tab/>
            </w:r>
            <m:oMath>
              <m:r>
                <m:rPr>
                  <m:sty m:val="p"/>
                </m:rPr>
                <w:rPr>
                  <w:rFonts w:ascii="Cambria Math" w:hAnsi="Cambria Math"/>
                </w:rPr>
                <w:sym w:font="Wingdings" w:char="F06F"/>
              </m:r>
            </m:oMath>
            <w:r>
              <w:t xml:space="preserve"> </w:t>
            </w:r>
            <w:r>
              <w:rPr>
                <w:b/>
              </w:rPr>
              <w:t xml:space="preserve">opakovaná jednoduchá zkouška</w:t>
            </w:r>
          </w:p>
          <w:p w:rsidR="00703C97" w:rsidRPr="000736A5" w:rsidRDefault="00703C97" w:rsidP="00E97CAD">
            <w:pPr>
              <w:pStyle w:val="61TabText"/>
            </w:pPr>
            <m:oMath>
              <m:r>
                <m:rPr>
                  <m:sty m:val="p"/>
                </m:rPr>
                <w:rPr>
                  <w:rFonts w:ascii="Cambria Math" w:hAnsi="Cambria Math"/>
                </w:rPr>
                <w:sym w:font="Wingdings" w:char="F06F"/>
              </m:r>
            </m:oMath>
            <w:r>
              <w:rPr>
                <w:b/>
              </w:rPr>
              <w:t xml:space="preserve">odstranění závady</w:t>
            </w:r>
            <w:r>
              <w:tab/>
              <w:tab/>
              <w:tab/>
            </w:r>
            <m:oMath>
              <m:r>
                <m:rPr>
                  <m:sty m:val="p"/>
                </m:rPr>
                <w:rPr>
                  <w:rFonts w:ascii="Cambria Math" w:hAnsi="Cambria Math"/>
                </w:rPr>
                <w:sym w:font="Wingdings" w:char="F06F"/>
              </m:r>
            </m:oMath>
            <w:r>
              <w:t xml:space="preserve"> </w:t>
            </w:r>
            <w:r>
              <w:rPr>
                <w:b/>
              </w:rPr>
              <w:t xml:space="preserve">mimořádná zkouška</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703C97" w:rsidRPr="000736A5" w:rsidTr="00133150">
        <w:tc>
          <w:tcPr>
            <w:tcW w:w="3501" w:type="dxa"/>
            <w:shd w:val="pct10" w:color="auto" w:fill="auto"/>
            <w:hideMark/>
          </w:tcPr>
          <w:p w:rsidR="00703C97" w:rsidRPr="000736A5" w:rsidRDefault="00703C97" w:rsidP="00E97CAD">
            <w:pPr>
              <w:pStyle w:val="61TabText"/>
            </w:pPr>
            <w:r>
              <w:rPr>
                <w:b/>
              </w:rPr>
              <w:t xml:space="preserve">Kouřové hradítko funkční</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nevhodné)</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pPr>
            <w:r>
              <w:rPr>
                <w:b/>
              </w:rPr>
              <w:t xml:space="preserve">Regulátor tahu/protiexplozní klapka v pořádku</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nevhodné)</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Spojovací část v pořádku</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Přípustné palivo</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Dostatečný přívod vzduchu</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tcPr>
          <w:p w:rsidR="00703C97" w:rsidRPr="000736A5" w:rsidRDefault="00703C97" w:rsidP="00E97CAD">
            <w:pPr>
              <w:pStyle w:val="09Abstand"/>
              <w:rPr>
                <w:rStyle w:val="993Fett"/>
              </w:rPr>
            </w:pPr>
          </w:p>
        </w:tc>
        <w:tc>
          <w:tcPr>
            <w:tcW w:w="1350"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703C97" w:rsidRPr="000736A5" w:rsidTr="00133150">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bTabTextZentriert"/>
              <w:rPr>
                <w:rStyle w:val="993Fett"/>
              </w:rPr>
            </w:pPr>
            <w:r>
              <w:rPr>
                <w:b/>
              </w:rPr>
              <w:t xml:space="preserve">Naměřené hodnoty</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r>
              <w:t xml:space="preserve">Posuzovací hodnota</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bookmarkStart w:id="3" w:name="_Toc129500201"/>
            <w:r>
              <w:t xml:space="preserve">Mezní hodnota</w:t>
            </w:r>
            <w:bookmarkEnd w:id="3"/>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Teplota spalin</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rPr>
                <w:rStyle w:val="993Fett"/>
              </w:rPr>
            </w:pPr>
            <w:r>
              <w:rPr>
                <w:b/>
              </w:rPr>
              <w:t xml:space="preserve">Komínová ztráta</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Teplota spalovacího vzduchu</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Obsah CO</w:t>
            </w:r>
            <w:r>
              <w:rPr>
                <w:b/>
                <w:vertAlign w:val="subscript"/>
              </w:rPr>
              <w:t xml:space="preserve">2</w:t>
            </w:r>
          </w:p>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Obsah O</w:t>
            </w:r>
            <w:r>
              <w:rPr>
                <w:b/>
                <w:vertAlign w:val="subscript"/>
              </w:rPr>
              <w:t xml:space="preserve">2</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Obsah CO</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ppm</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Obsah CO</w:t>
            </w:r>
            <w:r>
              <w:rPr>
                <w:b/>
              </w:rPr>
              <w:t xml:space="preserve"> </w:t>
            </w:r>
          </w:p>
          <w:p w:rsidR="00703C97" w:rsidRPr="000736A5" w:rsidRDefault="00703C97" w:rsidP="00E97CAD">
            <w:pPr>
              <w:pStyle w:val="61TabText"/>
              <w:rPr>
                <w:rStyle w:val="993Fett"/>
              </w:rPr>
            </w:pPr>
            <w:r>
              <w:rPr>
                <w:b/>
              </w:rPr>
              <w:t xml:space="preserve">při 3 % O</w:t>
            </w:r>
            <w:r>
              <w:rPr>
                <w:b/>
                <w:vertAlign w:val="subscript"/>
              </w:rPr>
              <w:t xml:space="preserve">2</w:t>
            </w:r>
            <w:r>
              <w:rPr>
                <w:b/>
              </w:rPr>
              <w:t xml:space="preserve"> </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Teplota kotle</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Dopravní tlak spalinového zařízení</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1064"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Koeficient sazí</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1. měření</w:t>
            </w:r>
          </w:p>
        </w:tc>
        <w:tc>
          <w:tcPr>
            <w:tcW w:w="113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2. měření</w:t>
            </w:r>
          </w:p>
        </w:tc>
        <w:tc>
          <w:tcPr>
            <w:tcW w:w="69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3. měření</w:t>
            </w:r>
          </w:p>
        </w:tc>
        <w:tc>
          <w:tcPr>
            <w:tcW w:w="78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Střední hodnota</w:t>
            </w:r>
          </w:p>
        </w:tc>
        <w:tc>
          <w:tcPr>
            <w:tcW w:w="1358"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703C97" w:rsidRPr="000736A5" w:rsidTr="00133150">
        <w:tc>
          <w:tcPr>
            <w:tcW w:w="2198" w:type="dxa"/>
            <w:shd w:val="pct10" w:color="auto" w:fill="auto"/>
            <w:hideMark/>
          </w:tcPr>
          <w:p w:rsidR="00703C97" w:rsidRPr="000736A5" w:rsidRDefault="00703C97" w:rsidP="00E97CAD">
            <w:pPr>
              <w:pStyle w:val="61TabText"/>
              <w:rPr>
                <w:rStyle w:val="993Fett"/>
              </w:rPr>
            </w:pPr>
            <w:r>
              <w:rPr>
                <w:b/>
              </w:rPr>
              <w:t xml:space="preserve">Závady</w:t>
            </w:r>
          </w:p>
        </w:tc>
        <w:tc>
          <w:tcPr>
            <w:tcW w:w="2734" w:type="dxa"/>
            <w:gridSpan w:val="2"/>
            <w:hideMark/>
          </w:tcPr>
          <w:p w:rsidR="00703C97" w:rsidRPr="000736A5" w:rsidRDefault="00703C97" w:rsidP="00761B3B">
            <w:pPr>
              <w:pStyle w:val="61TabText"/>
              <w:rPr>
                <w:rStyle w:val="993Fett"/>
              </w:rPr>
            </w:pPr>
            <m:oMath>
              <m:r>
                <m:rPr>
                  <m:sty m:val="p"/>
                </m:rPr>
                <w:rPr>
                  <w:rFonts w:ascii="Cambria Math" w:hAnsi="Cambria Math"/>
                </w:rPr>
                <w:sym w:font="Wingdings" w:char="F06F"/>
              </m:r>
            </m:oMath>
            <w:r>
              <w:tab/>
            </w:r>
            <w:r>
              <w:rPr>
                <w:b/>
              </w:rPr>
              <w:t xml:space="preserve">ano</w:t>
            </w:r>
            <m:oMath>
              <m:r>
                <m:rPr>
                  <m:sty m:val="b"/>
                </m:rPr>
                <w:rPr>
                  <w:rFonts w:ascii="Cambria Math" w:hAnsi="Cambria Math"/>
                </w:rPr>
                <m:t xml:space="preserve">  </m:t>
              </m:r>
              <m:r>
                <m:rPr>
                  <m:sty m:val="p"/>
                </m:rPr>
                <w:rPr>
                  <w:rFonts w:ascii="Cambria Math" w:hAnsi="Cambria Math"/>
                </w:rPr>
                <w:sym w:font="Wingdings" w:char="F06F"/>
              </m:r>
            </m:oMath>
            <w:r>
              <w:tab/>
            </w:r>
            <w:r>
              <w:rPr>
                <w:b/>
              </w:rPr>
              <w:t xml:space="preserve">ne</w:t>
            </w:r>
          </w:p>
        </w:tc>
        <w:tc>
          <w:tcPr>
            <w:tcW w:w="1802" w:type="dxa"/>
            <w:gridSpan w:val="2"/>
            <w:shd w:val="pct10" w:color="auto" w:fill="auto"/>
            <w:hideMark/>
          </w:tcPr>
          <w:p w:rsidR="00703C97" w:rsidRPr="000736A5" w:rsidRDefault="00703C97" w:rsidP="00E97CAD">
            <w:pPr>
              <w:pStyle w:val="61TabText"/>
              <w:rPr>
                <w:rStyle w:val="993Fett"/>
              </w:rPr>
            </w:pPr>
            <w:r>
              <w:rPr>
                <w:b/>
              </w:rPr>
              <w:t xml:space="preserve">Odstranění do</w:t>
            </w:r>
          </w:p>
        </w:tc>
        <w:tc>
          <w:tcPr>
            <w:tcW w:w="3196" w:type="dxa"/>
          </w:tcPr>
          <w:p w:rsidR="00703C97" w:rsidRPr="000736A5" w:rsidRDefault="00703C97" w:rsidP="00E97CAD">
            <w:pPr>
              <w:pStyle w:val="09Abstand"/>
              <w:rPr>
                <w:rStyle w:val="993Fett"/>
              </w:rPr>
            </w:pPr>
          </w:p>
        </w:tc>
      </w:tr>
      <w:tr w:rsidR="00703C97" w:rsidRPr="000736A5" w:rsidTr="00133150">
        <w:tc>
          <w:tcPr>
            <w:tcW w:w="4932" w:type="dxa"/>
            <w:gridSpan w:val="3"/>
            <w:shd w:val="pct10" w:color="auto" w:fill="auto"/>
            <w:hideMark/>
          </w:tcPr>
          <w:p w:rsidR="00703C97" w:rsidRPr="000736A5" w:rsidRDefault="00703C97" w:rsidP="00E97CAD">
            <w:pPr>
              <w:pStyle w:val="61TabText"/>
              <w:rPr>
                <w:rStyle w:val="993Fett"/>
              </w:rPr>
            </w:pPr>
            <w:r>
              <w:rPr>
                <w:b/>
              </w:rPr>
              <w:t xml:space="preserve">Druh závady/poznámka</w:t>
            </w:r>
          </w:p>
        </w:tc>
        <w:tc>
          <w:tcPr>
            <w:tcW w:w="4998" w:type="dxa"/>
            <w:gridSpan w:val="3"/>
          </w:tcPr>
          <w:p w:rsidR="00703C97" w:rsidRPr="000736A5" w:rsidRDefault="00703C97" w:rsidP="00E97CAD">
            <w:pPr>
              <w:pStyle w:val="09Abstand"/>
              <w:rPr>
                <w:lang w:val="de-DE"/>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pPr>
            <w:r>
              <w:rPr>
                <w:b/>
              </w:rPr>
              <w:t xml:space="preserve">Firemní razítko</w:t>
            </w:r>
            <w:r>
              <w:rPr>
                <w:b/>
              </w:rPr>
              <w:t xml:space="preserve"> </w:t>
            </w:r>
          </w:p>
          <w:p w:rsidR="00703C97" w:rsidRPr="000736A5" w:rsidRDefault="00703C97" w:rsidP="00E97CAD">
            <w:pPr>
              <w:pStyle w:val="61TabText"/>
              <w:rPr>
                <w:rStyle w:val="993Fett"/>
              </w:rPr>
            </w:pPr>
            <w:r>
              <w:rPr>
                <w:b/>
              </w:rPr>
              <w:t xml:space="preserve">Podpis zkušebního orgánu</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Příští kontrola</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Podpis provozovatele</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9926" w:type="dxa"/>
            <w:gridSpan w:val="6"/>
            <w:shd w:val="pct10" w:color="auto" w:fill="auto"/>
            <w:hideMark/>
          </w:tcPr>
          <w:p w:rsidR="00703C97" w:rsidRPr="000736A5" w:rsidRDefault="00703C97" w:rsidP="00E97CAD">
            <w:pPr>
              <w:pStyle w:val="61bTabTextZentriert"/>
              <w:rPr>
                <w:rStyle w:val="993Fett"/>
              </w:rPr>
            </w:pPr>
            <w:r>
              <w:rPr>
                <w:b/>
              </w:rPr>
              <w:t xml:space="preserve">Spotřeba paliva na rok</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Topný olej (l)</w:t>
            </w:r>
          </w:p>
        </w:tc>
        <w:tc>
          <w:tcPr>
            <w:tcW w:w="4963" w:type="dxa"/>
            <w:gridSpan w:val="2"/>
            <w:hideMark/>
          </w:tcPr>
          <w:p w:rsidR="00703C97" w:rsidRPr="000736A5" w:rsidRDefault="00703C97" w:rsidP="00E97CAD">
            <w:pPr>
              <w:pStyle w:val="61TabText"/>
              <w:rPr>
                <w:rStyle w:val="993Fett"/>
              </w:rPr>
            </w:pPr>
            <w:r>
              <w:rPr>
                <w:b/>
              </w:rPr>
              <w:t xml:space="preserve">Zemní plyn (m³)</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Zkap. plyn (kg)</w:t>
            </w:r>
          </w:p>
        </w:tc>
        <w:tc>
          <w:tcPr>
            <w:tcW w:w="4963" w:type="dxa"/>
            <w:gridSpan w:val="2"/>
            <w:hideMark/>
          </w:tcPr>
          <w:p w:rsidR="00703C97" w:rsidRPr="000736A5" w:rsidRDefault="00703C97" w:rsidP="00E97CAD">
            <w:pPr>
              <w:pStyle w:val="61TabText"/>
              <w:rPr>
                <w:rStyle w:val="993Fett"/>
              </w:rPr>
            </w:pPr>
            <w:r>
              <w:rPr>
                <w:b/>
              </w:rPr>
              <w:t xml:space="preserve">Ostatní</w:t>
            </w:r>
            <w:r>
              <w:rPr>
                <w:b/>
              </w:rPr>
              <w:t xml:space="preserve"> </w:t>
            </w:r>
          </w:p>
        </w:tc>
      </w:tr>
    </w:tbl>
    <w:p w:rsidR="00703C97" w:rsidRPr="000736A5" w:rsidRDefault="00703C97" w:rsidP="00703C97">
      <w:pPr>
        <w:pStyle w:val="23SatznachNovao"/>
      </w:pPr>
      <w:r>
        <w:t xml:space="preserve">* pouze při více spalovacích zařízeních</w:t>
      </w:r>
    </w:p>
    <w:p w:rsidR="00703C97" w:rsidRPr="000736A5" w:rsidRDefault="00703C97" w:rsidP="00C81779">
      <w:pPr>
        <w:pStyle w:val="71Anlagenbez"/>
        <w:pageBreakBefore/>
      </w:pPr>
      <w:r>
        <w:t xml:space="preserve">Příloha 2b</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30" w:type="dxa"/>
            <w:tcBorders>
              <w:top w:val="single" w:sz="6" w:space="0" w:color="auto"/>
              <w:bottom w:val="single" w:sz="6" w:space="0" w:color="auto"/>
            </w:tcBorders>
            <w:hideMark/>
          </w:tcPr>
          <w:p w:rsidR="00703C97" w:rsidRPr="000736A5" w:rsidRDefault="00703C97" w:rsidP="00E97CAD">
            <w:pPr>
              <w:pStyle w:val="61bTabTextZentriert"/>
            </w:pPr>
            <w:r>
              <w:rPr>
                <w:b/>
              </w:rPr>
              <w:t xml:space="preserve">ZKUŠEBNÍ ZPRÁVA PRO JEDNODUCHOU KONTROLU SPALOVACÍCH ZAŘÍZENÍ</w:t>
            </w:r>
          </w:p>
          <w:p w:rsidR="00703C97" w:rsidRPr="000736A5" w:rsidRDefault="00703C97" w:rsidP="00E97CAD">
            <w:pPr>
              <w:pStyle w:val="61bTabTextZentriert"/>
            </w:pPr>
            <w:r>
              <w:rPr>
                <w:b/>
              </w:rPr>
              <w:t xml:space="preserve">podle § 15 K-HeizVO</w:t>
            </w:r>
            <w:r>
              <w:rPr>
                <w:b/>
              </w:rPr>
              <w:t xml:space="preserve"> </w:t>
            </w:r>
          </w:p>
          <w:p w:rsidR="00703C97" w:rsidRPr="000736A5" w:rsidRDefault="00703C97" w:rsidP="00E97CAD">
            <w:pPr>
              <w:pStyle w:val="61bTabTextZentriert"/>
            </w:pPr>
            <w:r>
              <w:rPr>
                <w:b/>
              </w:rPr>
              <w:t xml:space="preserve">Pevná paliva</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Kusové dřevo</w:t>
      </w:r>
      <w:r>
        <w:tab/>
      </w:r>
      <m:oMath>
        <m:r>
          <m:rPr>
            <m:sty m:val="p"/>
          </m:rPr>
          <w:rPr>
            <w:rFonts w:ascii="Cambria Math" w:hAnsi="Cambria Math"/>
          </w:rPr>
          <w:sym w:font="Wingdings" w:char="F06F"/>
        </m:r>
      </m:oMath>
      <w:r>
        <w:t xml:space="preserve"> </w:t>
      </w:r>
      <w:r>
        <w:rPr>
          <w:b/>
        </w:rPr>
        <w:t xml:space="preserve">Pelety</w:t>
      </w:r>
      <w:r>
        <w:tab/>
      </w:r>
      <m:oMath>
        <m:r>
          <m:rPr>
            <m:sty m:val="p"/>
          </m:rPr>
          <w:rPr>
            <w:rFonts w:ascii="Cambria Math" w:hAnsi="Cambria Math"/>
          </w:rPr>
          <w:sym w:font="Wingdings" w:char="F06F"/>
        </m:r>
      </m:oMath>
      <w:r>
        <w:t xml:space="preserve"> </w:t>
      </w:r>
      <w:r>
        <w:rPr>
          <w:b/>
        </w:rPr>
        <w:t xml:space="preserve">Štípané dřevo  </w:t>
      </w:r>
      <w:r>
        <w:tab/>
      </w:r>
      <m:oMath>
        <m:r>
          <m:rPr>
            <m:sty m:val="p"/>
          </m:rPr>
          <w:rPr>
            <w:rFonts w:ascii="Cambria Math" w:hAnsi="Cambria Math"/>
          </w:rPr>
          <w:sym w:font="Wingdings" w:char="F06F"/>
        </m:r>
      </m:oMath>
      <w:r>
        <w:t xml:space="preserve"> </w:t>
      </w:r>
      <w:r>
        <w:rPr>
          <w:b/>
        </w:rPr>
        <w:t xml:space="preserve">Uhlí/koks </w:t>
      </w:r>
      <w:r>
        <w:tab/>
        <w:tab/>
      </w:r>
      <m:oMath>
        <m:r>
          <m:rPr>
            <m:sty m:val="p"/>
          </m:rPr>
          <w:rPr>
            <w:rFonts w:ascii="Cambria Math" w:hAnsi="Cambria Math"/>
          </w:rPr>
          <w:sym w:font="Wingdings" w:char="F06F"/>
        </m:r>
        <m:r>
          <m:rPr>
            <m:nor/>
          </m:rPr>
          <w:rPr>
            <w:rFonts w:ascii="Cambria Math" w:hAnsi="Cambria Math"/>
          </w:rPr>
          <m:t xml:space="preserve">  </m:t>
        </m:r>
      </m:oMath>
      <w:r>
        <w:t xml:space="preserve">………….</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703C97" w:rsidRPr="000736A5" w:rsidTr="00133150">
        <w:trPr>
          <w:gridAfter w:val="1"/>
          <w:wAfter w:w="15" w:type="dxa"/>
        </w:trPr>
        <w:tc>
          <w:tcPr>
            <w:tcW w:w="2277" w:type="dxa"/>
            <w:vMerge w:val="restart"/>
            <w:shd w:val="pct10" w:color="auto" w:fill="auto"/>
          </w:tcPr>
          <w:p w:rsidR="00703C97" w:rsidRPr="000736A5" w:rsidRDefault="00703C97" w:rsidP="00E97CAD">
            <w:pPr>
              <w:pStyle w:val="61TabText"/>
            </w:pPr>
            <w:r>
              <w:rPr>
                <w:b/>
              </w:rPr>
              <w:t xml:space="preserve">Provozovatel zařízení</w:t>
            </w:r>
          </w:p>
          <w:p w:rsidR="00703C97" w:rsidRPr="000736A5" w:rsidRDefault="00703C97" w:rsidP="00E97CAD">
            <w:pPr>
              <w:pStyle w:val="61TabText"/>
              <w:rPr>
                <w:b/>
              </w:rPr>
            </w:pPr>
            <w:r>
              <w:rPr>
                <w:b/>
              </w:rPr>
              <w:t xml:space="preserve">(podpis/adresa)</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vMerge/>
            <w:shd w:val="pct10" w:color="auto" w:fill="auto"/>
          </w:tcPr>
          <w:p w:rsidR="00703C97" w:rsidRPr="000736A5" w:rsidRDefault="00703C97" w:rsidP="00E97CAD">
            <w:pPr>
              <w:pStyle w:val="61TabText"/>
              <w:rPr>
                <w:b/>
              </w:rPr>
            </w:pP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Zkušební orgán</w:t>
            </w:r>
            <w:r>
              <w:rPr>
                <w:b/>
              </w:rPr>
              <w:t xml:space="preserve"> </w:t>
            </w:r>
          </w:p>
        </w:tc>
        <w:tc>
          <w:tcPr>
            <w:tcW w:w="4736" w:type="dxa"/>
            <w:gridSpan w:val="2"/>
          </w:tcPr>
          <w:p w:rsidR="00703C97" w:rsidRPr="000736A5" w:rsidRDefault="00703C97" w:rsidP="00E97CAD">
            <w:pPr>
              <w:pStyle w:val="09Abstand"/>
              <w:rPr>
                <w:rStyle w:val="993Fett"/>
              </w:rPr>
            </w:pPr>
          </w:p>
        </w:tc>
        <w:tc>
          <w:tcPr>
            <w:tcW w:w="1416" w:type="dxa"/>
            <w:gridSpan w:val="2"/>
            <w:shd w:val="pct10" w:color="auto" w:fill="auto"/>
            <w:hideMark/>
          </w:tcPr>
          <w:p w:rsidR="00703C97" w:rsidRPr="000736A5" w:rsidRDefault="00703C97" w:rsidP="00E97CAD">
            <w:pPr>
              <w:pStyle w:val="61TabText"/>
              <w:rPr>
                <w:rStyle w:val="993Fett"/>
              </w:rPr>
            </w:pPr>
            <w:r>
              <w:rPr>
                <w:b/>
              </w:rPr>
              <w:t xml:space="preserve">Datum zkoušky</w:t>
            </w:r>
          </w:p>
        </w:tc>
        <w:tc>
          <w:tcPr>
            <w:tcW w:w="1486"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Zkušební číslo provozovny</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bottom w:val="nil"/>
            </w:tcBorders>
            <w:shd w:val="pct10" w:color="auto" w:fill="auto"/>
            <w:hideMark/>
          </w:tcPr>
          <w:p w:rsidR="00703C97" w:rsidRPr="000736A5" w:rsidRDefault="00703C97" w:rsidP="00E97CAD">
            <w:pPr>
              <w:pStyle w:val="61TabText"/>
              <w:rPr>
                <w:rStyle w:val="993Fett"/>
              </w:rPr>
            </w:pPr>
            <w:r>
              <w:rPr>
                <w:b/>
              </w:rPr>
              <w:t xml:space="preserve">Spalovací zařízení</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top w:val="nil"/>
            </w:tcBorders>
            <w:shd w:val="pct10" w:color="auto" w:fill="auto"/>
            <w:hideMark/>
          </w:tcPr>
          <w:p w:rsidR="00703C97" w:rsidRPr="000736A5" w:rsidRDefault="00703C97" w:rsidP="00E97CAD">
            <w:pPr>
              <w:pStyle w:val="61TabText"/>
              <w:rPr>
                <w:rStyle w:val="993Fett"/>
              </w:rPr>
            </w:pPr>
            <w:r>
              <w:rPr>
                <w:b/>
              </w:rPr>
              <w:t xml:space="preserve">(produkt/typ)</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Číslo zařízení *</w:t>
            </w:r>
          </w:p>
        </w:tc>
        <w:tc>
          <w:tcPr>
            <w:tcW w:w="7638" w:type="dxa"/>
            <w:gridSpan w:val="5"/>
          </w:tcPr>
          <w:p w:rsidR="00703C97" w:rsidRPr="000736A5" w:rsidRDefault="00703C97" w:rsidP="00E97CAD">
            <w:pPr>
              <w:pStyle w:val="09Abstand"/>
              <w:rPr>
                <w:rStyle w:val="993Fett"/>
              </w:rPr>
            </w:pPr>
          </w:p>
        </w:tc>
      </w:tr>
      <w:tr w:rsidR="00703C97" w:rsidRPr="000736A5" w:rsidTr="00133150">
        <w:tc>
          <w:tcPr>
            <w:tcW w:w="9930" w:type="dxa"/>
            <w:gridSpan w:val="7"/>
            <w:shd w:val="pct10" w:color="auto" w:fill="auto"/>
            <w:hideMark/>
          </w:tcPr>
          <w:p w:rsidR="00703C97" w:rsidRPr="000736A5" w:rsidRDefault="00703C97" w:rsidP="00E97CAD">
            <w:pPr>
              <w:pStyle w:val="61bTabTextZentriert"/>
              <w:rPr>
                <w:rStyle w:val="993Fett"/>
              </w:rPr>
            </w:pPr>
            <w:r>
              <w:rPr>
                <w:b/>
              </w:rPr>
              <w:t xml:space="preserve">Měřicí přístroj</w:t>
            </w: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Produkt</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Kalibrační zkušebna</w:t>
            </w:r>
          </w:p>
        </w:tc>
        <w:tc>
          <w:tcPr>
            <w:tcW w:w="2628" w:type="dxa"/>
            <w:gridSpan w:val="3"/>
          </w:tcPr>
          <w:p w:rsidR="00703C97" w:rsidRPr="000736A5" w:rsidRDefault="00703C97" w:rsidP="00E97CAD">
            <w:pPr>
              <w:pStyle w:val="09Abstand"/>
            </w:pP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Označení typu</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Poslední kalibrace dne</w:t>
            </w:r>
          </w:p>
        </w:tc>
        <w:tc>
          <w:tcPr>
            <w:tcW w:w="2628" w:type="dxa"/>
            <w:gridSpan w:val="3"/>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Podnět k přezkoušení</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první jednoduchá zkouška</w:t>
            </w:r>
            <w:r>
              <w:tab/>
            </w:r>
            <m:oMath>
              <m:r>
                <m:rPr>
                  <m:sty m:val="p"/>
                </m:rPr>
                <w:rPr>
                  <w:rFonts w:ascii="Cambria Math" w:hAnsi="Cambria Math"/>
                </w:rPr>
                <w:sym w:font="Wingdings" w:char="F06F"/>
              </m:r>
            </m:oMath>
            <w:r>
              <w:t xml:space="preserve"> </w:t>
            </w:r>
            <w:r>
              <w:rPr>
                <w:b/>
              </w:rPr>
              <w:t xml:space="preserve">opakovaná jednoduchá zkouška</w:t>
            </w:r>
          </w:p>
          <w:p w:rsidR="00703C97" w:rsidRPr="000736A5" w:rsidRDefault="00703C97" w:rsidP="00E97CAD">
            <w:pPr>
              <w:pStyle w:val="61TabText"/>
            </w:pPr>
            <m:oMath>
              <m:r>
                <m:rPr>
                  <m:sty m:val="p"/>
                </m:rPr>
                <w:rPr>
                  <w:rFonts w:ascii="Cambria Math" w:hAnsi="Cambria Math"/>
                </w:rPr>
                <w:sym w:font="Wingdings" w:char="F06F"/>
              </m:r>
            </m:oMath>
            <w:r>
              <w:rPr>
                <w:b/>
              </w:rPr>
              <w:t xml:space="preserve"> </w:t>
            </w:r>
            <w:r>
              <w:t xml:space="preserve">odstranění závady</w:t>
              <w:tab/>
            </w:r>
            <m:oMath>
              <m:r>
                <m:rPr>
                  <m:sty m:val="p"/>
                </m:rPr>
                <w:rPr>
                  <w:rFonts w:ascii="Cambria Math" w:hAnsi="Cambria Math"/>
                </w:rPr>
                <w:sym w:font="Wingdings" w:char="F06F"/>
              </m:r>
            </m:oMath>
            <w:r>
              <w:t xml:space="preserve"> </w:t>
            </w:r>
            <w:r>
              <w:rPr>
                <w:b/>
              </w:rPr>
              <w:t xml:space="preserve">mimořádná zkouška</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Dostatečný přívod vzduchu</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Spojovací část v pořádku</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r w:rsidR="00703C97" w:rsidRPr="000736A5" w:rsidTr="00133150">
        <w:tc>
          <w:tcPr>
            <w:tcW w:w="3163" w:type="dxa"/>
            <w:shd w:val="pct10" w:color="auto" w:fill="auto"/>
            <w:hideMark/>
          </w:tcPr>
          <w:p w:rsidR="00703C97" w:rsidRPr="000736A5" w:rsidRDefault="00703C97" w:rsidP="00E97CAD">
            <w:pPr>
              <w:pStyle w:val="61TabText"/>
            </w:pPr>
            <w:r>
              <w:rPr>
                <w:b/>
              </w:rPr>
              <w:t xml:space="preserve">Funkce zamezující korozi v pořádku</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r>
                <m:rPr>
                  <m:sty m:val="p"/>
                </m:rPr>
                <w:rPr>
                  <w:rFonts w:ascii="Cambria Math" w:hAnsi="Cambria Math"/>
                </w:rPr>
                <m:t xml:space="preserve"> </m:t>
              </m:r>
            </m:oMath>
            <w:r>
              <w:rPr>
                <w:b/>
              </w:rPr>
              <w:t xml:space="preserve">nevhodné)</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pPr>
            <w:r>
              <w:rPr>
                <w:b/>
              </w:rPr>
              <w:t xml:space="preserve">Regulátor tahu/protiexplozní klapka v pořádku</w:t>
            </w:r>
          </w:p>
          <w:p w:rsidR="00703C97" w:rsidRPr="000736A5" w:rsidRDefault="00703C97" w:rsidP="00E97CAD">
            <w:pPr>
              <w:pStyle w:val="61TabText"/>
              <w:rPr>
                <w:rStyle w:val="993Fett"/>
              </w:rPr>
            </w:pPr>
            <m:oMath>
              <m:r>
                <m:rPr>
                  <m:sty m:val="b"/>
                </m:rPr>
                <w:rPr>
                  <w:rFonts w:ascii="Cambria Math" w:hAnsi="Cambria Math"/>
                </w:rPr>
                <m:t>(</m:t>
              </m:r>
              <m:r>
                <m:rPr>
                  <m:sty m:val="p"/>
                </m:rPr>
                <w:rPr>
                  <w:rFonts w:ascii="Cambria Math" w:hAnsi="Cambria Math"/>
                </w:rPr>
                <w:sym w:font="Wingdings" w:char="F06F"/>
              </m:r>
              <m:r>
                <m:rPr>
                  <m:sty m:val="p"/>
                </m:rPr>
                <w:rPr>
                  <w:rFonts w:ascii="Cambria Math" w:hAnsi="Cambria Math"/>
                </w:rPr>
                <m:t xml:space="preserve"> </m:t>
              </m:r>
              <m:r>
                <m:rPr>
                  <m:sty m:val="b"/>
                </m:rPr>
                <w:rPr>
                  <w:rFonts w:ascii="Cambria Math" w:hAnsi="Cambria Math"/>
                </w:rPr>
                <m:t>n</m:t>
              </m:r>
            </m:oMath>
            <w:r>
              <w:rPr>
                <w:b/>
              </w:rPr>
              <w:t xml:space="preserve">vhodné)</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Přípustné skladování paliva</w:t>
            </w:r>
            <w:r>
              <w:rPr>
                <w:b/>
              </w:rPr>
              <w:t xml:space="preserve"> </w:t>
            </w:r>
          </w:p>
        </w:tc>
        <w:tc>
          <w:tcPr>
            <w:tcW w:w="156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Přípustné palivo</w:t>
            </w:r>
          </w:p>
        </w:tc>
        <w:tc>
          <w:tcPr>
            <w:tcW w:w="155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703C97" w:rsidRPr="000736A5" w:rsidTr="00133150">
        <w:trPr>
          <w:cantSplit/>
        </w:trPr>
        <w:tc>
          <w:tcPr>
            <w:tcW w:w="4723" w:type="dxa"/>
            <w:gridSpan w:val="2"/>
            <w:shd w:val="pct10" w:color="auto" w:fill="auto"/>
            <w:hideMark/>
          </w:tcPr>
          <w:p w:rsidR="00703C97" w:rsidRPr="000736A5" w:rsidRDefault="00703C97" w:rsidP="00E97CAD">
            <w:pPr>
              <w:pStyle w:val="61bTabTextZentriert"/>
              <w:rPr>
                <w:rStyle w:val="993Fett"/>
              </w:rPr>
            </w:pPr>
            <w:r>
              <w:rPr>
                <w:b/>
              </w:rPr>
              <w:t xml:space="preserve">Naměřené hodnoty</w:t>
            </w:r>
          </w:p>
        </w:tc>
        <w:tc>
          <w:tcPr>
            <w:tcW w:w="1638" w:type="dxa"/>
            <w:shd w:val="pct10" w:color="auto" w:fill="auto"/>
          </w:tcPr>
          <w:p w:rsidR="00703C97" w:rsidRPr="000736A5" w:rsidRDefault="00703C97" w:rsidP="00E97CAD">
            <w:pPr>
              <w:pStyle w:val="09Abstand"/>
              <w:rPr>
                <w:rStyle w:val="993Fett"/>
              </w:rPr>
            </w:pPr>
          </w:p>
        </w:tc>
        <w:tc>
          <w:tcPr>
            <w:tcW w:w="2002" w:type="dxa"/>
            <w:shd w:val="pct10" w:color="auto" w:fill="auto"/>
            <w:hideMark/>
          </w:tcPr>
          <w:p w:rsidR="00703C97" w:rsidRPr="000736A5" w:rsidRDefault="00703C97" w:rsidP="00E97CAD">
            <w:pPr>
              <w:pStyle w:val="61bTabTextZentriert"/>
              <w:rPr>
                <w:rStyle w:val="993Fett"/>
              </w:rPr>
            </w:pPr>
            <w:r>
              <w:rPr>
                <w:b/>
              </w:rPr>
              <w:t xml:space="preserve">Posuzovací hodnota</w:t>
            </w:r>
          </w:p>
        </w:tc>
        <w:tc>
          <w:tcPr>
            <w:tcW w:w="1563" w:type="dxa"/>
            <w:shd w:val="pct10" w:color="auto" w:fill="auto"/>
            <w:hideMark/>
          </w:tcPr>
          <w:p w:rsidR="00703C97" w:rsidRPr="000736A5" w:rsidRDefault="00703C97" w:rsidP="00E97CAD">
            <w:pPr>
              <w:pStyle w:val="61bTabTextZentriert"/>
              <w:rPr>
                <w:rStyle w:val="993Fett"/>
              </w:rPr>
            </w:pPr>
            <w:bookmarkStart w:id="4" w:name="_Toc129500202"/>
            <w:r>
              <w:rPr>
                <w:b/>
              </w:rPr>
              <w:t xml:space="preserve">Mezní hodnoty</w:t>
            </w:r>
            <w:bookmarkEnd w:id="4"/>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Teplota spalin</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restart"/>
            <w:shd w:val="pct10" w:color="auto" w:fill="auto"/>
            <w:vAlign w:val="center"/>
            <w:hideMark/>
          </w:tcPr>
          <w:p w:rsidR="00703C97" w:rsidRPr="000736A5" w:rsidRDefault="00703C97" w:rsidP="00E97CAD">
            <w:pPr>
              <w:pStyle w:val="61TabText"/>
              <w:rPr>
                <w:rStyle w:val="993Fett"/>
              </w:rPr>
            </w:pPr>
            <w:r>
              <w:rPr>
                <w:b/>
              </w:rPr>
              <w:t xml:space="preserve">Komínová ztráta</w:t>
            </w:r>
          </w:p>
        </w:tc>
        <w:tc>
          <w:tcPr>
            <w:tcW w:w="2002" w:type="dxa"/>
            <w:vMerge w:val="restart"/>
            <w:vAlign w:val="center"/>
            <w:hideMark/>
          </w:tcPr>
          <w:p w:rsidR="00703C97" w:rsidRPr="000736A5" w:rsidRDefault="00703C97" w:rsidP="00E97CAD">
            <w:pPr>
              <w:pStyle w:val="61aTabTextRechtsb"/>
              <w:rPr>
                <w:rStyle w:val="993Fett"/>
              </w:rPr>
            </w:pPr>
            <w:r>
              <w:rPr>
                <w:b/>
              </w:rPr>
              <w:t xml:space="preserve">%</w:t>
            </w:r>
          </w:p>
        </w:tc>
        <w:tc>
          <w:tcPr>
            <w:tcW w:w="1563" w:type="dxa"/>
            <w:vMerge w:val="restart"/>
            <w:vAlign w:val="center"/>
            <w:hideMark/>
          </w:tcPr>
          <w:p w:rsidR="00703C97" w:rsidRPr="000736A5" w:rsidRDefault="00703C97" w:rsidP="00E97CAD">
            <w:pPr>
              <w:pStyle w:val="61aTabTextRechtsb"/>
              <w:rPr>
                <w:rStyle w:val="993Fett"/>
              </w:rPr>
            </w:pPr>
            <w:r>
              <w:rPr>
                <w:b/>
              </w:rPr>
              <w:t xml:space="preserve">%</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Teplota spalovacího vzduchu</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Obsah CO</w:t>
            </w:r>
            <w:r>
              <w:rPr>
                <w:b/>
                <w:vertAlign w:val="subscript"/>
              </w:rPr>
              <w:t xml:space="preserve">2</w:t>
            </w:r>
          </w:p>
          <w:p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rPr>
              <w:t xml:space="preserve">Obsah O</w:t>
            </w:r>
            <w:r>
              <w:rPr>
                <w:b/>
                <w:vertAlign w:val="subscript"/>
              </w:rPr>
              <w:t xml:space="preserve">2</w:t>
            </w:r>
          </w:p>
        </w:tc>
        <w:tc>
          <w:tcPr>
            <w:tcW w:w="1560" w:type="dxa"/>
            <w:vAlign w:val="center"/>
            <w:hideMark/>
          </w:tcPr>
          <w:p w:rsidR="00703C97" w:rsidRPr="000736A5" w:rsidRDefault="00703C97" w:rsidP="00E97CAD">
            <w:pPr>
              <w:pStyle w:val="61aTabTextRechtsb"/>
              <w:rPr>
                <w:rStyle w:val="993Fett"/>
              </w:rPr>
            </w:pPr>
            <w:r>
              <w:rPr>
                <w:b/>
              </w:rPr>
              <w:t xml:space="preserve">%</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Obsah CO</w:t>
            </w:r>
          </w:p>
        </w:tc>
        <w:tc>
          <w:tcPr>
            <w:tcW w:w="1560" w:type="dxa"/>
            <w:vAlign w:val="center"/>
            <w:hideMark/>
          </w:tcPr>
          <w:p w:rsidR="00703C97" w:rsidRPr="000736A5" w:rsidRDefault="00703C97" w:rsidP="00E97CAD">
            <w:pPr>
              <w:pStyle w:val="61aTabTextRechtsb"/>
              <w:rPr>
                <w:rStyle w:val="993Fett"/>
              </w:rPr>
            </w:pPr>
            <w:r>
              <w:rPr>
                <w:b/>
              </w:rPr>
              <w:t xml:space="preserve">ppm</w:t>
            </w:r>
          </w:p>
        </w:tc>
        <w:tc>
          <w:tcPr>
            <w:tcW w:w="1638" w:type="dxa"/>
            <w:vMerge w:val="restart"/>
            <w:shd w:val="pct10" w:color="auto" w:fill="auto"/>
            <w:vAlign w:val="center"/>
            <w:hideMark/>
          </w:tcPr>
          <w:p w:rsidR="00703C97" w:rsidRPr="000736A5" w:rsidRDefault="00703C97" w:rsidP="00E97CAD">
            <w:pPr>
              <w:pStyle w:val="61TabText"/>
            </w:pPr>
            <w:r>
              <w:rPr>
                <w:b/>
              </w:rPr>
              <w:t xml:space="preserve">Obsah CO</w:t>
            </w:r>
          </w:p>
          <w:p w:rsidR="00703C97" w:rsidRPr="000736A5" w:rsidRDefault="00703C97" w:rsidP="00E97CAD">
            <w:pPr>
              <w:pStyle w:val="61TabText"/>
              <w:rPr>
                <w:rStyle w:val="993Fett"/>
              </w:rPr>
            </w:pPr>
            <w:r>
              <w:rPr>
                <w:b/>
              </w:rPr>
              <w:t xml:space="preserve">6 % O</w:t>
            </w:r>
            <w:r>
              <w:rPr>
                <w:b/>
                <w:vertAlign w:val="subscript"/>
              </w:rPr>
              <w:t xml:space="preserve">2 </w:t>
            </w:r>
            <w:r>
              <w:rPr>
                <w:b/>
              </w:rPr>
              <w:t xml:space="preserve">**</w:t>
            </w:r>
          </w:p>
        </w:tc>
        <w:tc>
          <w:tcPr>
            <w:tcW w:w="2002" w:type="dxa"/>
            <w:vMerge w:val="restart"/>
            <w:vAlign w:val="center"/>
          </w:tcPr>
          <w:p w:rsidR="00703C97" w:rsidRPr="000736A5" w:rsidRDefault="00703C97" w:rsidP="00E97CAD">
            <w:pPr>
              <w:pStyle w:val="61aTabTextRechtsb"/>
              <w:rPr>
                <w:rStyle w:val="993Fett"/>
              </w:rPr>
            </w:pPr>
            <w:r>
              <w:rPr>
                <w:b/>
              </w:rPr>
              <w:t xml:space="preserve">mg/m³</w:t>
            </w:r>
          </w:p>
        </w:tc>
        <w:tc>
          <w:tcPr>
            <w:tcW w:w="1563" w:type="dxa"/>
            <w:vMerge w:val="restart"/>
            <w:vAlign w:val="center"/>
          </w:tcPr>
          <w:p w:rsidR="00703C97" w:rsidRPr="000736A5" w:rsidRDefault="00703C97" w:rsidP="00E97CAD">
            <w:pPr>
              <w:pStyle w:val="61aTabTextRechtsb"/>
              <w:rPr>
                <w:rStyle w:val="993Fett"/>
              </w:rPr>
            </w:pPr>
            <w:r>
              <w:rPr>
                <w:b/>
              </w:rPr>
              <w:t xml:space="preserve">mg/m³</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Teplota kotle</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Dopravní tlak spalinového zařízení</w:t>
            </w:r>
          </w:p>
        </w:tc>
        <w:tc>
          <w:tcPr>
            <w:tcW w:w="1560" w:type="dxa"/>
            <w:vAlign w:val="center"/>
            <w:hideMark/>
          </w:tcPr>
          <w:p w:rsidR="00703C97" w:rsidRPr="000736A5" w:rsidRDefault="00703C97" w:rsidP="00E97CAD">
            <w:pPr>
              <w:pStyle w:val="61aTabTextRechtsb"/>
              <w:rPr>
                <w:rStyle w:val="993Fett"/>
              </w:rPr>
            </w:pPr>
            <w:r>
              <w:rPr>
                <w:b/>
              </w:rPr>
              <w:t xml:space="preserve">Pa</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703C97" w:rsidRPr="000736A5" w:rsidTr="00911F90">
        <w:tc>
          <w:tcPr>
            <w:tcW w:w="1656" w:type="dxa"/>
            <w:shd w:val="pct10" w:color="auto" w:fill="auto"/>
            <w:hideMark/>
          </w:tcPr>
          <w:p w:rsidR="00703C97" w:rsidRPr="000736A5" w:rsidRDefault="00703C97" w:rsidP="00E97CAD">
            <w:pPr>
              <w:pStyle w:val="61TabText"/>
              <w:rPr>
                <w:rStyle w:val="993Fett"/>
              </w:rPr>
            </w:pPr>
            <w:r>
              <w:rPr>
                <w:b/>
              </w:rPr>
              <w:t xml:space="preserve">Závady</w:t>
            </w:r>
          </w:p>
        </w:tc>
        <w:tc>
          <w:tcPr>
            <w:tcW w:w="3069" w:type="dxa"/>
            <w:hideMark/>
          </w:tcPr>
          <w:p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rPr>
              <w:t xml:space="preserve">ano</w:t>
            </w:r>
            <w:r>
              <w:tab/>
            </w:r>
            <m:oMath>
              <m:r>
                <m:rPr>
                  <m:sty m:val="p"/>
                </m:rPr>
                <w:rPr>
                  <w:rFonts w:ascii="Cambria Math" w:hAnsi="Cambria Math"/>
                </w:rPr>
                <w:sym w:font="Wingdings" w:char="F0A8"/>
              </m:r>
            </m:oMath>
            <w:r>
              <w:tab/>
            </w:r>
            <w:r>
              <w:rPr>
                <w:b/>
              </w:rPr>
              <w:t xml:space="preserve">ne</w:t>
            </w:r>
          </w:p>
        </w:tc>
        <w:tc>
          <w:tcPr>
            <w:tcW w:w="2575" w:type="dxa"/>
            <w:shd w:val="pct10" w:color="auto" w:fill="auto"/>
            <w:hideMark/>
          </w:tcPr>
          <w:p w:rsidR="00703C97" w:rsidRPr="000736A5" w:rsidRDefault="00703C97" w:rsidP="00E97CAD">
            <w:pPr>
              <w:pStyle w:val="61TabText"/>
              <w:rPr>
                <w:rStyle w:val="993Fett"/>
              </w:rPr>
            </w:pPr>
            <w:r>
              <w:rPr>
                <w:b/>
              </w:rPr>
              <w:t xml:space="preserve">Odstranění do</w:t>
            </w:r>
          </w:p>
        </w:tc>
        <w:tc>
          <w:tcPr>
            <w:tcW w:w="2630" w:type="dxa"/>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b w:val="0"/>
              </w:rPr>
            </w:pPr>
            <w:r>
              <w:rPr>
                <w:b/>
              </w:rPr>
              <w:t xml:space="preserve">Druh závady/poznámka</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4725" w:type="dxa"/>
            <w:gridSpan w:val="2"/>
            <w:shd w:val="pct10" w:color="auto" w:fill="auto"/>
            <w:hideMark/>
          </w:tcPr>
          <w:p w:rsidR="00703C97" w:rsidRPr="000736A5" w:rsidRDefault="00703C97" w:rsidP="00E97CAD">
            <w:pPr>
              <w:pStyle w:val="61TabText"/>
            </w:pPr>
            <w:r>
              <w:rPr>
                <w:b/>
              </w:rPr>
              <w:t xml:space="preserve">Firemní razítko</w:t>
            </w:r>
            <w:r>
              <w:rPr>
                <w:b/>
              </w:rPr>
              <w:t xml:space="preserve"> </w:t>
            </w:r>
          </w:p>
          <w:p w:rsidR="00703C97" w:rsidRPr="000736A5" w:rsidRDefault="00703C97" w:rsidP="00E97CAD">
            <w:pPr>
              <w:pStyle w:val="61TabText"/>
              <w:rPr>
                <w:rStyle w:val="993Fett"/>
              </w:rPr>
            </w:pPr>
            <w:r>
              <w:rPr>
                <w:b/>
              </w:rPr>
              <w:t xml:space="preserve">Podpis zkušebního orgánu</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Příští kontrola</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Podpis provozovatele:</w:t>
            </w:r>
            <w:r>
              <w:rPr>
                <w:b/>
              </w:rPr>
              <w:t xml:space="preserve"> </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shd w:val="pct10" w:color="auto" w:fill="auto"/>
            <w:hideMark/>
          </w:tcPr>
          <w:p w:rsidR="00703C97" w:rsidRPr="000736A5" w:rsidRDefault="00703C97" w:rsidP="008E58C5">
            <w:pPr>
              <w:pStyle w:val="61TabText"/>
              <w:jc w:val="center"/>
              <w:rPr>
                <w:rStyle w:val="993Fett"/>
              </w:rPr>
            </w:pPr>
            <w:r>
              <w:rPr>
                <w:b/>
              </w:rPr>
              <w:t xml:space="preserve">Spotřeba paliva na rok</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Kusové dřevo (m</w:t>
            </w:r>
            <w:r>
              <w:rPr>
                <w:b/>
                <w:vertAlign w:val="superscript"/>
              </w:rPr>
              <w:t xml:space="preserve">3</w:t>
            </w:r>
            <w:r>
              <w:rPr>
                <w:b/>
              </w:rPr>
              <w:t xml:space="preserve">)</w:t>
            </w:r>
          </w:p>
        </w:tc>
        <w:tc>
          <w:tcPr>
            <w:tcW w:w="5205" w:type="dxa"/>
            <w:gridSpan w:val="2"/>
            <w:hideMark/>
          </w:tcPr>
          <w:p w:rsidR="00703C97" w:rsidRPr="000736A5" w:rsidRDefault="00703C97" w:rsidP="00E97CAD">
            <w:pPr>
              <w:pStyle w:val="61TabText"/>
              <w:rPr>
                <w:rStyle w:val="993Fett"/>
              </w:rPr>
            </w:pPr>
            <w:r>
              <w:rPr>
                <w:b/>
              </w:rPr>
              <w:t xml:space="preserve">Pelety, štěpka (m3)</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Uhlí, koks (kg)</w:t>
            </w:r>
          </w:p>
        </w:tc>
        <w:tc>
          <w:tcPr>
            <w:tcW w:w="5205" w:type="dxa"/>
            <w:gridSpan w:val="2"/>
            <w:hideMark/>
          </w:tcPr>
          <w:p w:rsidR="00703C97" w:rsidRPr="000736A5" w:rsidRDefault="00703C97" w:rsidP="00E97CAD">
            <w:pPr>
              <w:pStyle w:val="61TabText"/>
              <w:rPr>
                <w:rStyle w:val="993Fett"/>
              </w:rPr>
            </w:pPr>
            <w:r>
              <w:rPr>
                <w:b/>
              </w:rPr>
              <w:t xml:space="preserve">Ostatní</w:t>
            </w:r>
          </w:p>
        </w:tc>
      </w:tr>
    </w:tbl>
    <w:p w:rsidR="00C81779" w:rsidRPr="000736A5" w:rsidRDefault="00703C97" w:rsidP="00703C97">
      <w:pPr>
        <w:pStyle w:val="23SatznachNovao"/>
      </w:pPr>
      <w:r>
        <w:t xml:space="preserve">* Pouze při více spalovacích zařízeních.</w:t>
      </w:r>
      <w:r>
        <w:t xml:space="preserve"> </w:t>
      </w:r>
      <w:r>
        <w:t xml:space="preserve">** Upozornění:</w:t>
      </w:r>
      <w:r>
        <w:t xml:space="preserve"> </w:t>
      </w:r>
      <w:r>
        <w:t xml:space="preserve">Mezní hodnoty referenčního kyslíku 6 %.</w:t>
      </w:r>
    </w:p>
    <w:p w:rsidR="00703C97" w:rsidRPr="000736A5" w:rsidRDefault="00703C97" w:rsidP="00C81779">
      <w:pPr>
        <w:pStyle w:val="71Anlagenbez"/>
        <w:pageBreakBefore/>
      </w:pPr>
      <w:r>
        <w:t xml:space="preserve">Příloha 2c</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703C97" w:rsidRPr="000736A5" w:rsidTr="00911F90">
        <w:tc>
          <w:tcPr>
            <w:tcW w:w="9920" w:type="dxa"/>
            <w:hideMark/>
          </w:tcPr>
          <w:p w:rsidR="00703C97" w:rsidRPr="000736A5" w:rsidRDefault="00703C97" w:rsidP="00761B3B">
            <w:pPr>
              <w:pStyle w:val="61bTabTextZentriert"/>
              <w:rPr>
                <w:rStyle w:val="993Fett"/>
              </w:rPr>
            </w:pPr>
            <w:r>
              <w:rPr>
                <w:b/>
              </w:rPr>
              <w:t xml:space="preserve">ZKUŠEBNÍ ZPRÁVA PRO JEDNODUCHOU KONTROLU BLOKOVÝCH TEPLÁREN (BHKW)</w:t>
              <w:br/>
              <w:t xml:space="preserve">podle § 15 K-HeizVO</w:t>
            </w:r>
          </w:p>
        </w:tc>
      </w:tr>
    </w:tbl>
    <w:p w:rsidR="00703C97" w:rsidRPr="000736A5" w:rsidRDefault="00703C97" w:rsidP="00703C97">
      <w:pPr>
        <w:pStyle w:val="23SatznachNovao"/>
      </w:pPr>
      <m:oMath>
        <m:r>
          <m:rPr>
            <m:sty m:val="b"/>
          </m:rPr>
          <w:rPr>
            <w:b/>
          </w:rPr>
          <w:sym w:font="Wingdings" w:char="F06F"/>
        </m:r>
      </m:oMath>
      <w:r>
        <w:tab/>
      </w:r>
      <w:r>
        <w:rPr>
          <w:b/>
        </w:rPr>
        <w:t xml:space="preserve">ELTO </w:t>
      </w:r>
      <w:r>
        <w:tab/>
      </w:r>
      <m:oMath>
        <m:r>
          <m:rPr>
            <m:sty m:val="b"/>
          </m:rPr>
          <w:rPr>
            <w:b/>
          </w:rPr>
          <w:sym w:font="Wingdings" w:char="F06F"/>
        </m:r>
        <m:r>
          <m:rPr>
            <m:nor/>
          </m:rPr>
          <w:rPr>
            <w:b/>
          </w:rPr>
          <m:t xml:space="preserve"> </m:t>
        </m:r>
      </m:oMath>
      <w:r>
        <w:rPr>
          <w:b/>
        </w:rPr>
        <w:t xml:space="preserve">Motorová nafta</w:t>
      </w:r>
      <w:r>
        <w:tab/>
      </w:r>
      <m:oMath>
        <m:r>
          <m:rPr>
            <m:sty m:val="p"/>
          </m:rPr>
          <w:rPr>
            <w:rFonts w:ascii="Cambria Math" w:hAnsi="Cambria Math"/>
          </w:rPr>
          <w:sym w:font="Wingdings" w:char="F0A8"/>
        </m:r>
      </m:oMath>
      <w:r>
        <w:rPr>
          <w:b/>
        </w:rPr>
        <w:t xml:space="preserve"> Bionafta</w:t>
      </w:r>
      <w:r>
        <w:tab/>
      </w:r>
      <m:oMath>
        <m:r>
          <m:rPr>
            <m:sty m:val="p"/>
          </m:rPr>
          <w:rPr>
            <w:rFonts w:ascii="Cambria Math" w:hAnsi="Cambria Math"/>
          </w:rPr>
          <w:sym w:font="Wingdings" w:char="F0A8"/>
        </m:r>
      </m:oMath>
      <w:r>
        <w:rPr>
          <w:b/>
        </w:rPr>
        <w:t xml:space="preserve"> Rostlinný olej</w:t>
      </w:r>
      <w:r>
        <w:tab/>
      </w:r>
      <m:oMath>
        <m:r>
          <m:rPr>
            <m:sty m:val="p"/>
          </m:rPr>
          <w:rPr>
            <w:rFonts w:ascii="Cambria Math" w:hAnsi="Cambria Math"/>
          </w:rPr>
          <w:sym w:font="Wingdings" w:char="F0A8"/>
        </m:r>
      </m:oMath>
      <w:r>
        <w:rPr>
          <w:b/>
        </w:rPr>
        <w:t xml:space="preserve"> Zemní plny</w:t>
      </w:r>
      <w:r>
        <w:tab/>
        <w:br/>
      </w:r>
      <m:oMath>
        <m:r>
          <m:rPr>
            <m:sty m:val="p"/>
          </m:rPr>
          <w:rPr>
            <w:rFonts w:ascii="Cambria Math" w:hAnsi="Cambria Math"/>
          </w:rPr>
          <w:sym w:font="Wingdings" w:char="F0A8"/>
        </m:r>
      </m:oMath>
      <w:r>
        <w:rPr>
          <w:b/>
        </w:rPr>
        <w:t xml:space="preserve"> Kapalný pln</w:t>
      </w:r>
      <w:r>
        <w:tab/>
      </w:r>
      <m:oMath>
        <m:r>
          <m:rPr>
            <m:sty m:val="p"/>
          </m:rPr>
          <w:rPr>
            <w:rFonts w:ascii="Cambria Math" w:hAnsi="Cambria Math"/>
          </w:rPr>
          <w:sym w:font="Wingdings" w:char="F0A8"/>
        </m:r>
      </m:oMath>
      <w:r>
        <w:rPr>
          <w:b/>
        </w:rPr>
        <w:t xml:space="preserve"> Bioplyn</w:t>
      </w:r>
      <w:r>
        <w:tab/>
        <w:tab/>
      </w:r>
      <m:oMath>
        <m:r>
          <m:rPr>
            <m:sty m:val="p"/>
          </m:rPr>
          <w:rPr>
            <w:rFonts w:ascii="Cambria Math" w:hAnsi="Cambria Math"/>
          </w:rPr>
          <w:sym w:font="Wingdings" w:char="F0A8"/>
        </m:r>
      </m:oMath>
      <w:r>
        <w:t xml:space="preserve"> </w:t>
      </w:r>
      <w:r>
        <w:rPr>
          <w:b/>
        </w:rPr>
        <w:t xml:space="preserve">Kalový plny</w:t>
      </w:r>
      <w:r>
        <w:tab/>
      </w:r>
      <m:oMath>
        <m:r>
          <m:rPr>
            <m:sty m:val="p"/>
          </m:rPr>
          <w:rPr>
            <w:rFonts w:ascii="Cambria Math" w:hAnsi="Cambria Math"/>
          </w:rPr>
          <w:sym w:font="Wingdings" w:char="F0A8"/>
        </m:r>
      </m:oMath>
      <w:r>
        <w:t xml:space="preserve"> </w:t>
      </w:r>
      <w:r>
        <w:rPr>
          <w:b/>
        </w:rPr>
        <w:t xml:space="preserve">Dřevoplyn</w:t>
      </w:r>
      <w:r>
        <w:tab/>
      </w:r>
      <m:oMath>
        <m:r>
          <m:rPr>
            <m:sty m:val="p"/>
          </m:rPr>
          <w:rPr>
            <w:rFonts w:ascii="Cambria Math" w:hAnsi="Cambria Math"/>
          </w:rPr>
          <w:sym w:font="Wingdings" w:char="F0A8"/>
        </m:r>
      </m:oMath>
      <w:r>
        <w:t xml:space="preserve"> </w:t>
      </w:r>
      <w:r>
        <w:rPr>
          <w:b/>
        </w:rPr>
        <w:t xml:space="preserve">Skládkový plyn</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703C97" w:rsidRPr="000736A5" w:rsidTr="00911F90">
        <w:trPr>
          <w:gridAfter w:val="1"/>
          <w:wAfter w:w="15" w:type="dxa"/>
        </w:trPr>
        <w:tc>
          <w:tcPr>
            <w:tcW w:w="2253" w:type="dxa"/>
            <w:vMerge w:val="restart"/>
            <w:shd w:val="pct10" w:color="auto" w:fill="auto"/>
          </w:tcPr>
          <w:p w:rsidR="00703C97" w:rsidRPr="000736A5" w:rsidRDefault="00703C97" w:rsidP="00E97CAD">
            <w:pPr>
              <w:pStyle w:val="61TabText"/>
            </w:pPr>
            <w:r>
              <w:rPr>
                <w:b/>
              </w:rPr>
              <w:t xml:space="preserve">Provozovatel zařízení</w:t>
            </w:r>
          </w:p>
          <w:p w:rsidR="00703C97" w:rsidRPr="000736A5" w:rsidRDefault="00703C97" w:rsidP="00E97CAD">
            <w:pPr>
              <w:pStyle w:val="61TabText"/>
              <w:rPr>
                <w:b/>
              </w:rPr>
            </w:pPr>
            <w:r>
              <w:rPr>
                <w:b/>
              </w:rPr>
              <w:t xml:space="preserve">(podpis/adresa)</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Zkušební orgán</w:t>
            </w:r>
          </w:p>
        </w:tc>
        <w:tc>
          <w:tcPr>
            <w:tcW w:w="3663" w:type="dxa"/>
            <w:gridSpan w:val="4"/>
          </w:tcPr>
          <w:p w:rsidR="00703C97" w:rsidRPr="000736A5" w:rsidRDefault="00703C97" w:rsidP="00E97CAD">
            <w:pPr>
              <w:pStyle w:val="09Abstand"/>
              <w:rPr>
                <w:rStyle w:val="993Fett"/>
              </w:rPr>
            </w:pPr>
          </w:p>
        </w:tc>
        <w:tc>
          <w:tcPr>
            <w:tcW w:w="1481" w:type="dxa"/>
            <w:shd w:val="pct10" w:color="auto" w:fill="auto"/>
            <w:hideMark/>
          </w:tcPr>
          <w:p w:rsidR="00703C97" w:rsidRPr="000736A5" w:rsidRDefault="00703C97" w:rsidP="00E97CAD">
            <w:pPr>
              <w:pStyle w:val="61TabText"/>
              <w:rPr>
                <w:rStyle w:val="993Fett"/>
              </w:rPr>
            </w:pPr>
            <w:r>
              <w:rPr>
                <w:b/>
              </w:rPr>
              <w:t xml:space="preserve">Datum zkoušky</w:t>
            </w:r>
          </w:p>
        </w:tc>
        <w:tc>
          <w:tcPr>
            <w:tcW w:w="2518" w:type="dxa"/>
            <w:gridSpan w:val="2"/>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Zkušební číslo provozovny</w:t>
            </w:r>
          </w:p>
        </w:tc>
        <w:tc>
          <w:tcPr>
            <w:tcW w:w="1788" w:type="dxa"/>
          </w:tcPr>
          <w:p w:rsidR="00703C97" w:rsidRPr="000736A5" w:rsidRDefault="00703C97" w:rsidP="00E97CAD">
            <w:pPr>
              <w:pStyle w:val="09Abstand"/>
              <w:rPr>
                <w:rStyle w:val="993Fett"/>
              </w:rPr>
            </w:pPr>
          </w:p>
        </w:tc>
        <w:tc>
          <w:tcPr>
            <w:tcW w:w="1843" w:type="dxa"/>
            <w:gridSpan w:val="2"/>
            <w:shd w:val="clear" w:color="auto" w:fill="D9D9D9" w:themeFill="background1" w:themeFillShade="D9"/>
          </w:tcPr>
          <w:p w:rsidR="00703C97" w:rsidRPr="000736A5" w:rsidRDefault="00703C97" w:rsidP="00E97CAD">
            <w:pPr>
              <w:pStyle w:val="61TabText"/>
              <w:rPr>
                <w:rStyle w:val="993Fett"/>
                <w:b w:val="0"/>
              </w:rPr>
            </w:pPr>
            <w:r>
              <w:rPr>
                <w:b/>
              </w:rPr>
              <w:t xml:space="preserve">Číslo zařízení *</w:t>
            </w:r>
          </w:p>
        </w:tc>
        <w:tc>
          <w:tcPr>
            <w:tcW w:w="4031" w:type="dxa"/>
            <w:gridSpan w:val="4"/>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val="restart"/>
            <w:shd w:val="pct10" w:color="auto" w:fill="auto"/>
            <w:hideMark/>
          </w:tcPr>
          <w:p w:rsidR="00703C97" w:rsidRPr="000736A5" w:rsidRDefault="00703C97" w:rsidP="00E97CAD">
            <w:pPr>
              <w:pStyle w:val="61TabText"/>
            </w:pPr>
            <w:r>
              <w:rPr>
                <w:b/>
              </w:rPr>
              <w:t xml:space="preserve">BT</w:t>
            </w:r>
            <w:r>
              <w:rPr>
                <w:b/>
              </w:rPr>
              <w:t xml:space="preserve"> </w:t>
            </w:r>
          </w:p>
          <w:p w:rsidR="00703C97" w:rsidRPr="000736A5" w:rsidRDefault="00703C97" w:rsidP="00E97CAD">
            <w:pPr>
              <w:pStyle w:val="61TabText"/>
              <w:rPr>
                <w:rStyle w:val="993Fett"/>
              </w:rPr>
            </w:pPr>
            <w:r>
              <w:rPr>
                <w:b/>
              </w:rPr>
              <w:t xml:space="preserve">(produkt/typ)</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hideMark/>
          </w:tcPr>
          <w:p w:rsidR="00703C97" w:rsidRPr="000736A5" w:rsidRDefault="00703C97" w:rsidP="00E97CAD">
            <w:pPr>
              <w:pStyle w:val="61TabText"/>
              <w:rPr>
                <w:rStyle w:val="993Fett"/>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c>
          <w:tcPr>
            <w:tcW w:w="9930" w:type="dxa"/>
            <w:gridSpan w:val="9"/>
            <w:shd w:val="pct10" w:color="auto" w:fill="auto"/>
            <w:hideMark/>
          </w:tcPr>
          <w:p w:rsidR="00703C97" w:rsidRPr="000736A5" w:rsidRDefault="00703C97" w:rsidP="00E97CAD">
            <w:pPr>
              <w:pStyle w:val="61bTabTextZentriert"/>
              <w:rPr>
                <w:rStyle w:val="993Fett"/>
              </w:rPr>
            </w:pPr>
            <w:r>
              <w:rPr>
                <w:b/>
              </w:rPr>
              <w:t xml:space="preserve">Měřicí přístroj</w:t>
            </w: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Produkt</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Kalibrační zkušebna</w:t>
            </w:r>
          </w:p>
        </w:tc>
        <w:tc>
          <w:tcPr>
            <w:tcW w:w="2526" w:type="dxa"/>
            <w:gridSpan w:val="2"/>
          </w:tcPr>
          <w:p w:rsidR="00703C97" w:rsidRPr="000736A5" w:rsidRDefault="00703C97" w:rsidP="00E97CAD">
            <w:pPr>
              <w:pStyle w:val="09Abstand"/>
              <w:rPr>
                <w:rStyle w:val="993Fett"/>
              </w:rPr>
            </w:pP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Označení typu</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Poslední kalibrace dne</w:t>
            </w:r>
          </w:p>
        </w:tc>
        <w:tc>
          <w:tcPr>
            <w:tcW w:w="2526" w:type="dxa"/>
            <w:gridSpan w:val="2"/>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911F90">
        <w:tc>
          <w:tcPr>
            <w:tcW w:w="9923" w:type="dxa"/>
            <w:shd w:val="pct10" w:color="auto" w:fill="auto"/>
            <w:hideMark/>
          </w:tcPr>
          <w:p w:rsidR="00703C97" w:rsidRPr="000736A5" w:rsidRDefault="00703C97" w:rsidP="00E97CAD">
            <w:pPr>
              <w:pStyle w:val="61bTabTextZentriert"/>
              <w:rPr>
                <w:rStyle w:val="993Fett"/>
              </w:rPr>
            </w:pPr>
            <w:r>
              <w:rPr>
                <w:b/>
              </w:rPr>
              <w:t xml:space="preserve">Podnět k přezkoušení</w:t>
            </w:r>
          </w:p>
        </w:tc>
      </w:tr>
      <w:tr w:rsidR="00703C97" w:rsidRPr="000736A5" w:rsidTr="00911F9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rPr>
                <w:b/>
              </w:rPr>
              <w:t xml:space="preserve"> jednoduchá zkouška</w:t>
            </w:r>
            <w:r>
              <w:tab/>
              <w:tab/>
              <w:tab/>
            </w:r>
            <m:oMath>
              <m:r>
                <m:rPr>
                  <m:sty m:val="p"/>
                </m:rPr>
                <w:rPr>
                  <w:rFonts w:ascii="Cambria Math" w:hAnsi="Cambria Math"/>
                </w:rPr>
                <w:sym w:font="Wingdings" w:char="F06F"/>
              </m:r>
            </m:oMath>
            <w:r>
              <w:t xml:space="preserve"> </w:t>
            </w:r>
            <w:r>
              <w:rPr>
                <w:b/>
              </w:rPr>
              <w:t xml:space="preserve">opakovaná jednoduchá zkouška</w:t>
            </w:r>
          </w:p>
          <w:p w:rsidR="00703C97" w:rsidRPr="000736A5" w:rsidRDefault="00703C97" w:rsidP="00E97CAD">
            <w:pPr>
              <w:pStyle w:val="61TabText"/>
            </w:pPr>
            <m:oMath>
              <m:r>
                <m:rPr>
                  <m:sty m:val="p"/>
                </m:rPr>
                <w:rPr>
                  <w:rFonts w:ascii="Cambria Math" w:hAnsi="Cambria Math"/>
                </w:rPr>
                <w:sym w:font="Wingdings" w:char="F06F"/>
              </m:r>
            </m:oMath>
            <w:r>
              <w:rPr>
                <w:b/>
              </w:rPr>
              <w:t xml:space="preserve"> odstranění závady</w:t>
            </w:r>
            <w:r>
              <w:tab/>
              <w:tab/>
              <w:tab/>
            </w:r>
            <m:oMath>
              <m:r>
                <m:rPr>
                  <m:sty m:val="p"/>
                </m:rPr>
                <w:rPr>
                  <w:rFonts w:ascii="Cambria Math" w:hAnsi="Cambria Math"/>
                </w:rPr>
                <w:sym w:font="Wingdings" w:char="F06F"/>
              </m:r>
            </m:oMath>
            <w:r>
              <w:t xml:space="preserve"> </w:t>
            </w:r>
            <w:r>
              <w:rPr>
                <w:b/>
              </w:rPr>
              <w:t xml:space="preserve">mimořádná zkouška</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Spalinové zařízení řádné</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385" w:type="dxa"/>
            <w:shd w:val="pct10" w:color="auto" w:fill="auto"/>
            <w:hideMark/>
          </w:tcPr>
          <w:p w:rsidR="00703C97" w:rsidRPr="000736A5" w:rsidRDefault="00703C97" w:rsidP="00E97CAD">
            <w:pPr>
              <w:pStyle w:val="61TabText"/>
              <w:rPr>
                <w:rStyle w:val="993Fett"/>
              </w:rPr>
            </w:pPr>
            <w:r>
              <w:rPr>
                <w:b/>
              </w:rPr>
              <w:t xml:space="preserve">Přípustné palivo</w:t>
            </w:r>
          </w:p>
        </w:tc>
        <w:tc>
          <w:tcPr>
            <w:tcW w:w="150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r>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Dostatečný přívod vzduchu</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3385" w:type="dxa"/>
            <w:shd w:val="pct10" w:color="auto" w:fill="auto"/>
          </w:tcPr>
          <w:p w:rsidR="00703C97" w:rsidRPr="000736A5" w:rsidRDefault="00703C97" w:rsidP="00E97CAD">
            <w:pPr>
              <w:pStyle w:val="09Abstand"/>
              <w:rPr>
                <w:rStyle w:val="993Fett"/>
              </w:rPr>
            </w:pPr>
          </w:p>
        </w:tc>
        <w:tc>
          <w:tcPr>
            <w:tcW w:w="150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703C97" w:rsidRPr="000736A5" w:rsidTr="00911F90">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Naměřené hodnoty</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Posuzovací hodnota</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Mezní hodnota</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Obsah CO</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Obsah CO</w:t>
            </w:r>
          </w:p>
          <w:p w:rsidR="00703C97" w:rsidRPr="000736A5" w:rsidRDefault="00703C97" w:rsidP="00E97CAD">
            <w:pPr>
              <w:pStyle w:val="61TabText"/>
            </w:pPr>
            <w:r>
              <w:rPr>
                <w:b/>
              </w:rPr>
              <w:t xml:space="preserve">Obsah NO</w:t>
            </w:r>
            <w:r>
              <w:rPr>
                <w:b/>
                <w:vertAlign w:val="subscript"/>
              </w:rPr>
              <w:t xml:space="preserve">x</w:t>
            </w:r>
          </w:p>
          <w:p w:rsidR="00703C97" w:rsidRPr="000736A5" w:rsidRDefault="00703C97" w:rsidP="00E97CAD">
            <w:pPr>
              <w:pStyle w:val="61TabText"/>
              <w:rPr>
                <w:rStyle w:val="993Fett"/>
                <w:b w:val="0"/>
              </w:rPr>
            </w:pPr>
            <w:r>
              <w:rPr>
                <w:b/>
              </w:rPr>
              <w:t xml:space="preserve">15 % O</w:t>
            </w:r>
            <w:r>
              <w:rPr>
                <w:b/>
                <w:vertAlign w:val="subscript"/>
              </w:rPr>
              <w:t xml:space="preserve">2 </w:t>
            </w:r>
            <w:r>
              <w:rPr>
                <w:b/>
              </w:rPr>
              <w:t xml:space="preserve">**</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Obsah NO</w:t>
            </w:r>
            <w:r>
              <w:rPr>
                <w:b/>
                <w:vertAlign w:val="subscript"/>
              </w:rPr>
              <w:t xml:space="preserve">x</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911F90">
        <w:tc>
          <w:tcPr>
            <w:tcW w:w="134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Bosch číslo</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1. měření</w:t>
            </w:r>
          </w:p>
        </w:tc>
        <w:tc>
          <w:tcPr>
            <w:tcW w:w="85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2. měření</w:t>
            </w:r>
          </w:p>
        </w:tc>
        <w:tc>
          <w:tcPr>
            <w:tcW w:w="77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3. měření</w:t>
            </w:r>
          </w:p>
        </w:tc>
        <w:tc>
          <w:tcPr>
            <w:tcW w:w="992"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Střední hodnota</w:t>
            </w:r>
          </w:p>
        </w:tc>
        <w:tc>
          <w:tcPr>
            <w:tcW w:w="105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strike/>
              </w:rPr>
            </w:pP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rPr>
                <w:rStyle w:val="993Fett"/>
                <w:strike/>
              </w:rPr>
            </w:pPr>
            <w:r>
              <w:rPr>
                <w:b/>
              </w:rPr>
              <w:t xml:space="preserve">Teplota spalovacího vzduchu</w:t>
            </w:r>
          </w:p>
        </w:tc>
        <w:tc>
          <w:tcPr>
            <w:tcW w:w="2196" w:type="dxa"/>
            <w:gridSpan w:val="2"/>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pPr>
            <w:r>
              <w:rPr>
                <w:b/>
              </w:rPr>
              <w:t xml:space="preserve">Teplota spalin</w:t>
            </w:r>
          </w:p>
        </w:tc>
        <w:tc>
          <w:tcPr>
            <w:tcW w:w="2208" w:type="dxa"/>
            <w:gridSpan w:val="3"/>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703C97" w:rsidRPr="000736A5" w:rsidTr="00911F90">
        <w:tc>
          <w:tcPr>
            <w:tcW w:w="1473" w:type="dxa"/>
            <w:shd w:val="pct10" w:color="auto" w:fill="auto"/>
            <w:hideMark/>
          </w:tcPr>
          <w:p w:rsidR="00703C97" w:rsidRPr="000736A5" w:rsidRDefault="00703C97" w:rsidP="00E97CAD">
            <w:pPr>
              <w:pStyle w:val="61TabText"/>
              <w:rPr>
                <w:rStyle w:val="993Fett"/>
              </w:rPr>
            </w:pPr>
            <w:r>
              <w:rPr>
                <w:b/>
              </w:rPr>
              <w:t xml:space="preserve">Závady</w:t>
            </w:r>
          </w:p>
        </w:tc>
        <w:tc>
          <w:tcPr>
            <w:tcW w:w="3563" w:type="dxa"/>
            <w:gridSpan w:val="3"/>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ano</w:t>
            </w:r>
            <w:r>
              <w:tab/>
            </w:r>
            <m:oMath>
              <m:r>
                <m:rPr>
                  <m:sty m:val="p"/>
                </m:rPr>
                <w:rPr>
                  <w:rFonts w:ascii="Cambria Math" w:hAnsi="Cambria Math"/>
                </w:rPr>
                <w:sym w:font="Wingdings" w:char="F06F"/>
              </m:r>
            </m:oMath>
            <w:r>
              <w:tab/>
            </w:r>
            <w:r>
              <w:rPr>
                <w:b/>
              </w:rPr>
              <w:t xml:space="preserve">ne</w:t>
            </w:r>
          </w:p>
        </w:tc>
        <w:tc>
          <w:tcPr>
            <w:tcW w:w="2365" w:type="dxa"/>
            <w:shd w:val="pct10" w:color="auto" w:fill="auto"/>
            <w:hideMark/>
          </w:tcPr>
          <w:p w:rsidR="00703C97" w:rsidRPr="000736A5" w:rsidRDefault="00703C97" w:rsidP="00E97CAD">
            <w:pPr>
              <w:pStyle w:val="61TabText"/>
              <w:rPr>
                <w:rStyle w:val="993Fett"/>
              </w:rPr>
            </w:pPr>
            <w:r>
              <w:rPr>
                <w:b/>
              </w:rPr>
              <w:t xml:space="preserve">Odstranění do</w:t>
            </w:r>
          </w:p>
        </w:tc>
        <w:tc>
          <w:tcPr>
            <w:tcW w:w="2529" w:type="dxa"/>
          </w:tcPr>
          <w:p w:rsidR="00703C97" w:rsidRPr="000736A5" w:rsidRDefault="00703C97" w:rsidP="00E97CAD">
            <w:pPr>
              <w:pStyle w:val="09Abstand"/>
              <w:rPr>
                <w:rStyle w:val="993Fett"/>
              </w:rPr>
            </w:pPr>
          </w:p>
        </w:tc>
      </w:tr>
      <w:tr w:rsidR="00703C97" w:rsidRPr="000736A5" w:rsidTr="00911F90">
        <w:tc>
          <w:tcPr>
            <w:tcW w:w="5036" w:type="dxa"/>
            <w:gridSpan w:val="4"/>
            <w:shd w:val="pct10" w:color="auto" w:fill="auto"/>
            <w:hideMark/>
          </w:tcPr>
          <w:p w:rsidR="00703C97" w:rsidRPr="000736A5" w:rsidRDefault="00703C97" w:rsidP="00E97CAD">
            <w:pPr>
              <w:pStyle w:val="61TabText"/>
              <w:rPr>
                <w:rStyle w:val="993Fett"/>
              </w:rPr>
            </w:pPr>
            <w:r>
              <w:rPr>
                <w:b/>
              </w:rPr>
              <w:t xml:space="preserve">Druh závady/poznámka</w:t>
            </w:r>
          </w:p>
        </w:tc>
        <w:tc>
          <w:tcPr>
            <w:tcW w:w="4894" w:type="dxa"/>
            <w:gridSpan w:val="2"/>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pPr>
            <w:r>
              <w:rPr>
                <w:b/>
              </w:rPr>
              <w:t xml:space="preserve">Firemní razítko</w:t>
            </w:r>
            <w:r>
              <w:rPr>
                <w:b/>
              </w:rPr>
              <w:t xml:space="preserve"> </w:t>
            </w:r>
          </w:p>
          <w:p w:rsidR="00703C97" w:rsidRPr="000736A5" w:rsidRDefault="00703C97" w:rsidP="00E97CAD">
            <w:pPr>
              <w:pStyle w:val="61TabText"/>
              <w:rPr>
                <w:rStyle w:val="993Fett"/>
              </w:rPr>
            </w:pPr>
            <w:r>
              <w:rPr>
                <w:b/>
              </w:rPr>
              <w:t xml:space="preserve">Podpis zkušebního orgánu</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Příští kontrola</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Podpis provozovatele</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9930" w:type="dxa"/>
            <w:gridSpan w:val="6"/>
            <w:shd w:val="pct10" w:color="auto" w:fill="auto"/>
            <w:hideMark/>
          </w:tcPr>
          <w:p w:rsidR="00703C97" w:rsidRPr="000736A5" w:rsidRDefault="00703C97" w:rsidP="00E97CAD">
            <w:pPr>
              <w:pStyle w:val="61TabText"/>
              <w:rPr>
                <w:rStyle w:val="993Fett"/>
              </w:rPr>
            </w:pPr>
            <w:r>
              <w:rPr>
                <w:b/>
              </w:rPr>
              <w:t xml:space="preserve">Spotřeba paliva na rok</w:t>
            </w:r>
            <w:r>
              <w:rPr>
                <w:b/>
              </w:rPr>
              <w:t xml:space="preserve"> </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Topný olej (l)</w:t>
            </w:r>
          </w:p>
        </w:tc>
        <w:tc>
          <w:tcPr>
            <w:tcW w:w="4967" w:type="dxa"/>
            <w:gridSpan w:val="3"/>
            <w:hideMark/>
          </w:tcPr>
          <w:p w:rsidR="00703C97" w:rsidRPr="000736A5" w:rsidRDefault="00703C97" w:rsidP="00E97CAD">
            <w:pPr>
              <w:pStyle w:val="61TabText"/>
              <w:rPr>
                <w:rStyle w:val="993Fett"/>
              </w:rPr>
            </w:pPr>
            <w:r>
              <w:rPr>
                <w:b/>
              </w:rPr>
              <w:t xml:space="preserve">Zemní plyn (m³)</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Nafta (l)</w:t>
            </w:r>
          </w:p>
        </w:tc>
        <w:tc>
          <w:tcPr>
            <w:tcW w:w="4967" w:type="dxa"/>
            <w:gridSpan w:val="3"/>
            <w:hideMark/>
          </w:tcPr>
          <w:p w:rsidR="00703C97" w:rsidRPr="000736A5" w:rsidRDefault="00703C97" w:rsidP="00E97CAD">
            <w:pPr>
              <w:pStyle w:val="61TabText"/>
              <w:rPr>
                <w:rStyle w:val="993Fett"/>
              </w:rPr>
            </w:pPr>
            <w:r>
              <w:rPr>
                <w:b/>
              </w:rPr>
              <w:t xml:space="preserve">Zkap. plyn (kg)</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Bionafta (l)</w:t>
            </w:r>
          </w:p>
        </w:tc>
        <w:tc>
          <w:tcPr>
            <w:tcW w:w="4967" w:type="dxa"/>
            <w:gridSpan w:val="3"/>
            <w:hideMark/>
          </w:tcPr>
          <w:p w:rsidR="00703C97" w:rsidRPr="000736A5" w:rsidRDefault="00703C97" w:rsidP="00E97CAD">
            <w:pPr>
              <w:pStyle w:val="61TabText"/>
              <w:rPr>
                <w:rStyle w:val="993Fett"/>
              </w:rPr>
            </w:pPr>
            <w:r>
              <w:rPr>
                <w:b/>
              </w:rPr>
              <w:t xml:space="preserve">Bioplyn (m</w:t>
            </w:r>
            <w:r>
              <w:rPr>
                <w:vertAlign w:val="superscript"/>
              </w:rPr>
              <w:t xml:space="preserve">3</w:t>
            </w:r>
            <w:r>
              <w:rPr>
                <w:b/>
              </w:rPr>
              <w:t xml:space="preserve">)</w:t>
            </w:r>
          </w:p>
        </w:tc>
      </w:tr>
      <w:tr w:rsidR="00703C97" w:rsidRPr="000736A5" w:rsidTr="00911F90">
        <w:tc>
          <w:tcPr>
            <w:tcW w:w="4963" w:type="dxa"/>
            <w:gridSpan w:val="3"/>
            <w:hideMark/>
          </w:tcPr>
          <w:p w:rsidR="00703C97" w:rsidRPr="000736A5" w:rsidRDefault="00703C97" w:rsidP="00E97CAD">
            <w:pPr>
              <w:pStyle w:val="61TabText"/>
            </w:pPr>
            <w:r>
              <w:rPr>
                <w:b/>
              </w:rPr>
              <w:t xml:space="preserve">Rostlinný olej (l)</w:t>
            </w:r>
          </w:p>
        </w:tc>
        <w:tc>
          <w:tcPr>
            <w:tcW w:w="4967" w:type="dxa"/>
            <w:gridSpan w:val="3"/>
            <w:hideMark/>
          </w:tcPr>
          <w:p w:rsidR="00703C97" w:rsidRPr="000736A5" w:rsidRDefault="00703C97" w:rsidP="00E97CAD">
            <w:pPr>
              <w:pStyle w:val="61TabText"/>
              <w:rPr>
                <w:rStyle w:val="993Fett"/>
              </w:rPr>
            </w:pPr>
            <w:r>
              <w:rPr>
                <w:b/>
              </w:rPr>
              <w:t xml:space="preserve">Kalový plyn (m</w:t>
            </w:r>
            <w:r>
              <w:rPr>
                <w:b/>
                <w:vertAlign w:val="superscript"/>
              </w:rPr>
              <w:t xml:space="preserve">3</w:t>
            </w:r>
            <w:r>
              <w:rPr>
                <w:b/>
              </w:rPr>
              <w:t xml:space="preserve">)</w:t>
            </w:r>
          </w:p>
        </w:tc>
      </w:tr>
      <w:tr w:rsidR="00703C97" w:rsidRPr="000736A5" w:rsidTr="00911F90">
        <w:tc>
          <w:tcPr>
            <w:tcW w:w="4963" w:type="dxa"/>
            <w:gridSpan w:val="3"/>
          </w:tcPr>
          <w:p w:rsidR="00703C97" w:rsidRPr="000736A5" w:rsidRDefault="00703C97" w:rsidP="00B06C8E">
            <w:pPr>
              <w:pStyle w:val="61TabText"/>
            </w:pPr>
            <w:r>
              <w:rPr>
                <w:b/>
              </w:rPr>
              <w:t xml:space="preserve">Skládkový plyn (m</w:t>
            </w:r>
            <w:r>
              <w:rPr>
                <w:b/>
                <w:vertAlign w:val="superscript"/>
              </w:rPr>
              <w:t xml:space="preserve">3</w:t>
            </w:r>
            <w:r>
              <w:rPr>
                <w:b/>
              </w:rPr>
              <w:t xml:space="preserve">)</w:t>
            </w:r>
          </w:p>
        </w:tc>
        <w:tc>
          <w:tcPr>
            <w:tcW w:w="4967" w:type="dxa"/>
            <w:gridSpan w:val="3"/>
            <w:hideMark/>
          </w:tcPr>
          <w:p w:rsidR="00703C97" w:rsidRPr="000736A5" w:rsidRDefault="00703C97" w:rsidP="00E97CAD">
            <w:pPr>
              <w:pStyle w:val="61TabText"/>
              <w:rPr>
                <w:rStyle w:val="993Fett"/>
              </w:rPr>
            </w:pPr>
            <w:r>
              <w:rPr>
                <w:b/>
              </w:rPr>
              <w:t xml:space="preserve">Dřevoplyn (m</w:t>
            </w:r>
            <w:r>
              <w:rPr>
                <w:b/>
                <w:vertAlign w:val="superscript"/>
              </w:rPr>
              <w:t xml:space="preserve">3</w:t>
            </w:r>
            <w:r>
              <w:rPr>
                <w:b/>
              </w:rPr>
              <w:t xml:space="preserve">)</w:t>
            </w:r>
          </w:p>
        </w:tc>
      </w:tr>
    </w:tbl>
    <w:p w:rsidR="00C81779" w:rsidRPr="000736A5" w:rsidRDefault="00703C97" w:rsidP="00703C97">
      <w:pPr>
        <w:pStyle w:val="23SatznachNovao"/>
      </w:pPr>
      <w:r>
        <w:t xml:space="preserve">* Pouze při více spalovacích zařízeních.</w:t>
      </w:r>
      <w:r>
        <w:t xml:space="preserve"> </w:t>
      </w:r>
      <w:r>
        <w:t xml:space="preserve">** Pozor, nově:</w:t>
      </w:r>
      <w:r>
        <w:t xml:space="preserve"> </w:t>
      </w:r>
      <w:r>
        <w:t xml:space="preserve">Mezní hodnoty referenčního kyslíku 15 %.</w:t>
      </w:r>
    </w:p>
    <w:p w:rsidR="00703C97" w:rsidRPr="000736A5" w:rsidRDefault="00703C97" w:rsidP="00C81779">
      <w:pPr>
        <w:pStyle w:val="71Anlagenbez"/>
        <w:pageBreakBefore/>
      </w:pPr>
      <w:r>
        <w:t xml:space="preserve">Příloha 3</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703C97" w:rsidRPr="000736A5" w:rsidTr="00911F90">
        <w:tc>
          <w:tcPr>
            <w:tcW w:w="9853" w:type="dxa"/>
            <w:shd w:val="clear" w:color="auto" w:fill="D9D9D9" w:themeFill="background1" w:themeFillShade="D9"/>
            <w:hideMark/>
          </w:tcPr>
          <w:p w:rsidR="00703C97" w:rsidRPr="000736A5" w:rsidRDefault="00703C97" w:rsidP="00E97CAD">
            <w:pPr>
              <w:pStyle w:val="61bTabTextZentriert"/>
            </w:pPr>
            <w:r>
              <w:rPr>
                <w:b/>
              </w:rPr>
              <w:t xml:space="preserve">Inspekční zpráva o pravidelné inspekci</w:t>
            </w:r>
            <w:r>
              <w:rPr>
                <w:b/>
              </w:rPr>
              <w:t xml:space="preserve"> </w:t>
            </w:r>
          </w:p>
          <w:p w:rsidR="00703C97" w:rsidRPr="000736A5" w:rsidRDefault="00703C97" w:rsidP="00E97CAD">
            <w:pPr>
              <w:pStyle w:val="61bTabTextZentriert"/>
              <w:rPr>
                <w:rStyle w:val="993Fett"/>
                <w:b w:val="0"/>
              </w:rPr>
            </w:pPr>
            <w:r>
              <w:rPr>
                <w:b/>
              </w:rPr>
              <w:t xml:space="preserve">podle § 19 K-HeizVO</w:t>
            </w:r>
          </w:p>
        </w:tc>
      </w:tr>
    </w:tbl>
    <w:p w:rsidR="00703C97" w:rsidRPr="000736A5" w:rsidRDefault="00703C97" w:rsidP="00703C97">
      <w:pPr>
        <w:pStyle w:val="23SatznachNovao"/>
      </w:pPr>
      <w:r>
        <w:rPr>
          <w:b/>
        </w:rPr>
        <w:t xml:space="preserve">Všeobecné údaje</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703C97" w:rsidRPr="000736A5" w:rsidTr="00911F90">
        <w:tc>
          <w:tcPr>
            <w:tcW w:w="2765" w:type="dxa"/>
            <w:gridSpan w:val="2"/>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Provozovatel</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2765"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Stanoviště</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1348"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Obytná plocha</w:t>
            </w:r>
            <w:r>
              <w:rPr>
                <w:b/>
              </w:rPr>
              <w:t xml:space="preserve"> </w:t>
            </w:r>
          </w:p>
        </w:tc>
        <w:tc>
          <w:tcPr>
            <w:tcW w:w="1417" w:type="dxa"/>
            <w:vAlign w:val="center"/>
          </w:tcPr>
          <w:p w:rsidR="00703C97" w:rsidRPr="000736A5" w:rsidRDefault="00703C97" w:rsidP="00E97CAD">
            <w:pPr>
              <w:pStyle w:val="61aTabTextRechtsb"/>
              <w:rPr>
                <w:rStyle w:val="993Fett"/>
              </w:rPr>
            </w:pPr>
            <w:r>
              <w:rPr>
                <w:b/>
              </w:rPr>
              <w:t xml:space="preserve">m²</w:t>
            </w:r>
          </w:p>
        </w:tc>
        <w:tc>
          <w:tcPr>
            <w:tcW w:w="219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Rok výstavby budovy</w:t>
            </w:r>
          </w:p>
        </w:tc>
        <w:tc>
          <w:tcPr>
            <w:tcW w:w="1653" w:type="dxa"/>
            <w:vAlign w:val="center"/>
          </w:tcPr>
          <w:p w:rsidR="00703C97" w:rsidRPr="000736A5" w:rsidRDefault="00703C97" w:rsidP="008E58C5">
            <w:pPr>
              <w:pStyle w:val="09Abstand"/>
              <w:jc w:val="righ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Tepelná zátěž budovy</w:t>
            </w:r>
          </w:p>
        </w:tc>
        <w:tc>
          <w:tcPr>
            <w:tcW w:w="1591" w:type="dxa"/>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Údaje o spalovacím zařízení</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703C97" w:rsidRPr="000736A5" w:rsidTr="00911F90">
        <w:tc>
          <w:tcPr>
            <w:tcW w:w="1652" w:type="dxa"/>
            <w:tcBorders>
              <w:bottom w:val="nil"/>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Produkt</w:t>
            </w:r>
          </w:p>
        </w:tc>
        <w:tc>
          <w:tcPr>
            <w:tcW w:w="1653" w:type="dxa"/>
            <w:gridSpan w:val="3"/>
            <w:tcBorders>
              <w:bottom w:val="nil"/>
            </w:tcBorders>
          </w:tcPr>
          <w:p w:rsidR="00703C97" w:rsidRPr="000736A5" w:rsidRDefault="00703C97" w:rsidP="00E97CAD">
            <w:pPr>
              <w:pStyle w:val="09Abstand"/>
              <w:rPr>
                <w:rStyle w:val="993Fett"/>
              </w:rPr>
            </w:pPr>
          </w:p>
        </w:tc>
        <w:tc>
          <w:tcPr>
            <w:tcW w:w="1652" w:type="dxa"/>
            <w:tcBorders>
              <w:bottom w:val="nil"/>
            </w:tcBorders>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Typ</w:t>
            </w:r>
          </w:p>
        </w:tc>
        <w:tc>
          <w:tcPr>
            <w:tcW w:w="1653" w:type="dxa"/>
            <w:tcBorders>
              <w:bottom w:val="nil"/>
            </w:tcBorders>
          </w:tcPr>
          <w:p w:rsidR="00703C97" w:rsidRPr="000736A5" w:rsidRDefault="00703C97" w:rsidP="00E97CAD">
            <w:pPr>
              <w:pStyle w:val="09Abstand"/>
              <w:rPr>
                <w:rStyle w:val="993Fett"/>
              </w:rPr>
            </w:pPr>
          </w:p>
        </w:tc>
        <w:tc>
          <w:tcPr>
            <w:tcW w:w="1652" w:type="dxa"/>
            <w:gridSpan w:val="2"/>
            <w:tcBorders>
              <w:bottom w:val="nil"/>
            </w:tcBorders>
            <w:shd w:val="clear" w:color="auto" w:fill="D9D9D9" w:themeFill="background1" w:themeFillShade="D9"/>
            <w:vAlign w:val="center"/>
          </w:tcPr>
          <w:p w:rsidR="00703C97" w:rsidRPr="000736A5" w:rsidRDefault="00703C97" w:rsidP="00E97CAD">
            <w:pPr>
              <w:pStyle w:val="61TabText"/>
              <w:rPr>
                <w:rStyle w:val="993Fett"/>
              </w:rPr>
            </w:pPr>
            <w:r>
              <w:rPr>
                <w:b/>
              </w:rPr>
              <w:t xml:space="preserve">Rok výroby</w:t>
            </w:r>
          </w:p>
        </w:tc>
        <w:tc>
          <w:tcPr>
            <w:tcW w:w="1591" w:type="dxa"/>
            <w:tcBorders>
              <w:bottom w:val="nil"/>
            </w:tcBorders>
          </w:tcPr>
          <w:p w:rsidR="00703C97" w:rsidRPr="000736A5" w:rsidRDefault="00703C97" w:rsidP="00E97CAD">
            <w:pPr>
              <w:pStyle w:val="09Abstand"/>
              <w:rPr>
                <w:rStyle w:val="993Fett"/>
              </w:rPr>
            </w:pPr>
          </w:p>
        </w:tc>
      </w:tr>
      <w:tr w:rsidR="00703C97" w:rsidRPr="000736A5" w:rsidTr="00911F90">
        <w:tc>
          <w:tcPr>
            <w:tcW w:w="2623"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Použité palivo</w:t>
            </w:r>
          </w:p>
        </w:tc>
        <w:tc>
          <w:tcPr>
            <w:tcW w:w="7230" w:type="dxa"/>
            <w:gridSpan w:val="6"/>
            <w:vAlign w:val="center"/>
          </w:tcPr>
          <w:p w:rsidR="00703C97" w:rsidRPr="000736A5" w:rsidRDefault="00703C97" w:rsidP="00E97CAD">
            <w:pPr>
              <w:pStyle w:val="61cTabTextBlock"/>
            </w:pPr>
            <m:oMath>
              <m:r>
                <m:rPr>
                  <m:sty m:val="b"/>
                </m:rPr>
                <w:rPr>
                  <w:b/>
                </w:rPr>
                <w:sym w:font="Wingdings" w:char="F06F"/>
              </m:r>
            </m:oMath>
            <w:r>
              <w:rPr>
                <w:b/>
              </w:rPr>
              <w:t xml:space="preserve"> ELTO</w:t>
            </w:r>
            <w:r>
              <w:tab/>
              <w:tab/>
            </w:r>
            <m:oMath>
              <m:r>
                <m:rPr>
                  <m:sty m:val="b"/>
                </m:rPr>
                <w:rPr>
                  <w:b/>
                </w:rPr>
                <w:sym w:font="Wingdings" w:char="F06F"/>
              </m:r>
              <m:r>
                <m:rPr>
                  <m:nor/>
                </m:rPr>
                <w:rPr>
                  <w:b/>
                </w:rPr>
                <m:t xml:space="preserve"> </m:t>
              </m:r>
            </m:oMath>
            <w:r>
              <w:rPr>
                <w:b/>
              </w:rPr>
              <w:t xml:space="preserve">LTO</w:t>
            </w:r>
            <w:r>
              <w:tab/>
              <w:tab/>
            </w:r>
            <m:oMath>
              <m:r>
                <m:rPr>
                  <m:sty m:val="b"/>
                </m:rPr>
                <w:rPr>
                  <w:b/>
                </w:rPr>
                <w:sym w:font="Wingdings" w:char="F06F"/>
              </m:r>
            </m:oMath>
            <w:r>
              <w:rPr>
                <w:b/>
              </w:rPr>
              <w:t xml:space="preserve"> Zemní plny</w:t>
            </w:r>
            <w:r>
              <w:tab/>
            </w:r>
            <m:oMath>
              <m:r>
                <m:rPr>
                  <m:sty m:val="b"/>
                </m:rPr>
                <w:rPr>
                  <w:b/>
                </w:rPr>
                <w:sym w:font="Wingdings" w:char="F06F"/>
              </m:r>
            </m:oMath>
            <w:r>
              <w:rPr>
                <w:b/>
              </w:rPr>
              <w:t xml:space="preserve">Kapalný plyn</w:t>
            </w:r>
          </w:p>
          <w:p w:rsidR="00703C97" w:rsidRPr="000736A5" w:rsidRDefault="00703C97" w:rsidP="00E97CAD">
            <w:pPr>
              <w:pStyle w:val="61cTabTextBlock"/>
            </w:pPr>
            <m:oMath>
              <m:r>
                <m:rPr>
                  <m:sty m:val="b"/>
                </m:rPr>
                <w:rPr>
                  <w:b/>
                </w:rPr>
                <w:sym w:font="Wingdings" w:char="F06F"/>
              </m:r>
            </m:oMath>
            <w:r>
              <w:rPr>
                <w:b/>
              </w:rPr>
              <w:t xml:space="preserve"> Kusové dřevo</w:t>
            </w:r>
            <w:r>
              <w:tab/>
            </w:r>
            <m:oMath>
              <m:r>
                <m:rPr>
                  <m:sty m:val="b"/>
                </m:rPr>
                <w:rPr>
                  <w:b/>
                </w:rPr>
                <w:sym w:font="Wingdings" w:char="F06F"/>
              </m:r>
              <m:r>
                <m:rPr>
                  <m:nor/>
                </m:rPr>
                <w:rPr>
                  <w:b/>
                </w:rPr>
                <m:t xml:space="preserve"> </m:t>
              </m:r>
            </m:oMath>
            <w:r>
              <w:rPr>
                <w:b/>
              </w:rPr>
              <w:t xml:space="preserve">Pelety</w:t>
            </w:r>
            <w:r>
              <w:tab/>
            </w:r>
            <m:oMath>
              <m:r>
                <m:rPr>
                  <m:sty m:val="b"/>
                </m:rPr>
                <w:rPr>
                  <w:b/>
                </w:rPr>
                <w:sym w:font="Wingdings" w:char="F06F"/>
              </m:r>
            </m:oMath>
            <w:r>
              <w:rPr>
                <w:b/>
              </w:rPr>
              <w:t xml:space="preserve"> Štípané dřevo </w:t>
            </w:r>
            <w:r>
              <w:tab/>
            </w:r>
            <m:oMath>
              <m:r>
                <m:rPr>
                  <m:sty m:val="b"/>
                </m:rPr>
                <w:rPr>
                  <w:b/>
                </w:rPr>
                <w:sym w:font="Wingdings" w:char="F06F"/>
              </m:r>
              <m:r>
                <m:rPr>
                  <m:nor/>
                </m:rPr>
                <w:rPr>
                  <w:b/>
                </w:rPr>
                <m:t xml:space="preserve"> </m:t>
              </m:r>
            </m:oMath>
            <w:r>
              <w:rPr>
                <w:b/>
              </w:rPr>
              <w:t xml:space="preserve">Uhlí/koks</w:t>
            </w:r>
          </w:p>
          <w:p w:rsidR="00703C97" w:rsidRPr="000736A5" w:rsidRDefault="00703C97" w:rsidP="00E97CAD">
            <w:pPr>
              <w:pStyle w:val="61cTabTextBlock"/>
              <w:rPr>
                <w:rStyle w:val="993Fett"/>
              </w:rPr>
            </w:pPr>
            <m:oMath>
              <m:r>
                <m:rPr>
                  <m:sty m:val="b"/>
                </m:rPr>
                <w:rPr>
                  <w:b/>
                </w:rPr>
                <w:sym w:font="Wingdings" w:char="F06F"/>
              </m:r>
            </m:oMath>
            <w:r>
              <w:rPr>
                <w:b/>
              </w:rPr>
              <w:t xml:space="preserve"> ostatní……………….</w:t>
            </w:r>
          </w:p>
        </w:tc>
      </w:tr>
      <w:tr w:rsidR="00703C97" w:rsidRPr="000736A5" w:rsidTr="00911F90">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Spotřeba paliva/rok</w:t>
            </w:r>
          </w:p>
        </w:tc>
        <w:tc>
          <w:tcPr>
            <w:tcW w:w="1653" w:type="dxa"/>
            <w:gridSpan w:val="3"/>
          </w:tcPr>
          <w:p w:rsidR="00703C97" w:rsidRPr="000736A5" w:rsidRDefault="00703C97" w:rsidP="00E97CAD">
            <w:pPr>
              <w:pStyle w:val="61TabTex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TUV pomocí spalovacího zařízení</w:t>
            </w:r>
          </w:p>
        </w:tc>
        <w:tc>
          <w:tcPr>
            <w:tcW w:w="1653" w:type="dxa"/>
          </w:tcPr>
          <w:p w:rsidR="00703C97" w:rsidRPr="000736A5" w:rsidRDefault="00703C97" w:rsidP="00AC5D34">
            <w:pPr>
              <w:pStyle w:val="61TabText"/>
              <w:rPr>
                <w:rStyle w:val="993Fett"/>
              </w:rPr>
            </w:pPr>
            <m:oMath>
              <m:r>
                <m:rPr>
                  <m:sty m:val="b"/>
                </m:rPr>
                <w:rPr>
                  <w:rFonts w:ascii="Cambria Math" w:hAnsi="Cambria Math"/>
                  <w:b/>
                </w:rPr>
                <w:sym w:font="Wingdings" w:char="F06F"/>
              </m:r>
            </m:oMath>
            <w:r>
              <w:tab/>
            </w:r>
            <w:r>
              <w:rPr>
                <w:b/>
              </w:rPr>
              <w:t xml:space="preserve">ano</w:t>
            </w:r>
            <w:r>
              <w:br/>
            </w:r>
            <m:oMath>
              <m:r>
                <m:rPr>
                  <m:sty m:val="b"/>
                </m:rPr>
                <w:rPr>
                  <w:rFonts w:ascii="Cambria Math" w:hAnsi="Cambria Math"/>
                  <w:b/>
                </w:rPr>
                <w:sym w:font="Wingdings" w:char="F06F"/>
              </m:r>
            </m:oMath>
            <w:r>
              <w:tab/>
            </w:r>
            <w:r>
              <w:rPr>
                <w:b/>
              </w:rPr>
              <w:t xml:space="preserve">ne</w:t>
            </w:r>
          </w:p>
        </w:tc>
        <w:tc>
          <w:tcPr>
            <w:tcW w:w="1652" w:type="dxa"/>
            <w:gridSpan w:val="2"/>
            <w:shd w:val="clear" w:color="auto" w:fill="D9D9D9" w:themeFill="background1" w:themeFillShade="D9"/>
            <w:vAlign w:val="center"/>
          </w:tcPr>
          <w:p w:rsidR="00703C97" w:rsidRPr="000736A5" w:rsidRDefault="00703C97" w:rsidP="00E97CAD">
            <w:pPr>
              <w:pStyle w:val="61aTabTextRechtsb"/>
              <w:rPr>
                <w:rStyle w:val="993Fett"/>
              </w:rPr>
            </w:pPr>
            <w:r>
              <w:rPr>
                <w:b/>
              </w:rPr>
              <w:t xml:space="preserve">Objem zásobní nádoby</w:t>
            </w:r>
          </w:p>
        </w:tc>
        <w:tc>
          <w:tcPr>
            <w:tcW w:w="1591" w:type="dxa"/>
            <w:vAlign w:val="bottom"/>
          </w:tcPr>
          <w:p w:rsidR="00703C97" w:rsidRPr="000736A5" w:rsidRDefault="00703C97" w:rsidP="00E97CAD">
            <w:pPr>
              <w:pStyle w:val="61aTabTextRechtsb"/>
              <w:rPr>
                <w:rStyle w:val="993Fett"/>
              </w:rPr>
            </w:pPr>
            <w:r>
              <w:rPr>
                <w:b/>
              </w:rPr>
              <w:t xml:space="preserve">m³</w:t>
            </w:r>
          </w:p>
        </w:tc>
      </w:tr>
      <w:tr w:rsidR="00703C97" w:rsidRPr="000736A5" w:rsidTr="00911F90">
        <w:tc>
          <w:tcPr>
            <w:tcW w:w="2482"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Tepelný technický stupeň účinnosti</w:t>
            </w:r>
            <w:r>
              <w:rPr>
                <w:b/>
              </w:rPr>
              <w:t xml:space="preserve"> </w:t>
            </w:r>
          </w:p>
        </w:tc>
        <w:tc>
          <w:tcPr>
            <w:tcW w:w="2475" w:type="dxa"/>
            <w:gridSpan w:val="3"/>
            <w:vAlign w:val="center"/>
          </w:tcPr>
          <w:p w:rsidR="00703C97" w:rsidRPr="000736A5" w:rsidRDefault="00703C97" w:rsidP="00E97CAD">
            <w:pPr>
              <w:pStyle w:val="61aTabTextRechtsb"/>
              <w:rPr>
                <w:rStyle w:val="993Fett"/>
              </w:rPr>
            </w:pPr>
            <w:r>
              <w:rPr>
                <w:b/>
              </w:rPr>
              <w:t xml:space="preserve">%</w:t>
            </w:r>
          </w:p>
        </w:tc>
        <w:tc>
          <w:tcPr>
            <w:tcW w:w="2628"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Jmenovitý tepelný výkon</w:t>
            </w:r>
            <w:r>
              <w:rPr>
                <w:b/>
              </w:rPr>
              <w:t xml:space="preserve"> </w:t>
            </w:r>
          </w:p>
        </w:tc>
        <w:tc>
          <w:tcPr>
            <w:tcW w:w="2268" w:type="dxa"/>
            <w:gridSpan w:val="2"/>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Jiná topeniště</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88"/>
        <w:gridCol w:w="851"/>
        <w:gridCol w:w="142"/>
        <w:gridCol w:w="992"/>
        <w:gridCol w:w="25"/>
        <w:gridCol w:w="1392"/>
        <w:gridCol w:w="37"/>
        <w:gridCol w:w="32"/>
        <w:gridCol w:w="2626"/>
        <w:gridCol w:w="2268"/>
      </w:tblGrid>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Další topeniště</w:t>
            </w:r>
            <w:r>
              <w:rPr>
                <w:b/>
              </w:rPr>
              <w:t xml:space="preserve"> </w:t>
            </w:r>
          </w:p>
        </w:tc>
        <w:tc>
          <w:tcPr>
            <w:tcW w:w="2478" w:type="dxa"/>
            <w:gridSpan w:val="5"/>
            <w:vAlign w:val="center"/>
          </w:tcPr>
          <w:p w:rsidR="00703C97" w:rsidRPr="000736A5" w:rsidRDefault="00703C97" w:rsidP="00E97CAD">
            <w:pPr>
              <w:pStyle w:val="61aTabTextRechtsb"/>
            </w:pPr>
            <m:oMath>
              <m:r>
                <m:rPr>
                  <m:sty m:val="b"/>
                </m:rPr>
                <w:rPr>
                  <w:b/>
                </w:rPr>
                <w:sym w:font="Wingdings" w:char="F06F"/>
              </m:r>
            </m:oMath>
            <w:r>
              <w:rPr>
                <w:b/>
              </w:rPr>
              <w:t xml:space="preserve">         ano</w:t>
            </w:r>
          </w:p>
          <w:p w:rsidR="00703C97" w:rsidRPr="000736A5" w:rsidRDefault="00703C97" w:rsidP="00E97CAD">
            <w:pPr>
              <w:pStyle w:val="61aTabTextRechtsb"/>
              <w:rPr>
                <w:rStyle w:val="993Fett"/>
              </w:rPr>
            </w:pPr>
            <m:oMath>
              <m:r>
                <m:rPr>
                  <m:sty m:val="b"/>
                </m:rPr>
                <w:rPr>
                  <w:b/>
                </w:rPr>
                <w:sym w:font="Wingdings" w:char="F06F"/>
              </m:r>
            </m:oMath>
            <w:r>
              <w:rPr>
                <w:b/>
              </w:rPr>
              <w:t xml:space="preserve">     ne</w:t>
            </w:r>
          </w:p>
        </w:tc>
        <w:tc>
          <w:tcPr>
            <w:tcW w:w="2626" w:type="dxa"/>
            <w:shd w:val="clear" w:color="auto" w:fill="D9D9D9" w:themeFill="background1" w:themeFillShade="D9"/>
            <w:vAlign w:val="center"/>
          </w:tcPr>
          <w:p w:rsidR="00703C97" w:rsidRPr="000736A5" w:rsidRDefault="00703C97" w:rsidP="00E97CAD">
            <w:pPr>
              <w:pStyle w:val="61TabText"/>
              <w:rPr>
                <w:b/>
              </w:rPr>
            </w:pPr>
            <w:r>
              <w:rPr>
                <w:b/>
              </w:rPr>
              <w:t xml:space="preserve"> </w:t>
            </w:r>
            <w:r>
              <w:rPr>
                <w:b/>
              </w:rPr>
              <w:t xml:space="preserve">Spotřeba paliva/rok</w:t>
            </w:r>
          </w:p>
        </w:tc>
        <w:tc>
          <w:tcPr>
            <w:tcW w:w="2268" w:type="dxa"/>
            <w:vAlign w:val="center"/>
          </w:tcPr>
          <w:p w:rsidR="00703C97" w:rsidRPr="000736A5" w:rsidRDefault="00703C97" w:rsidP="00E97CAD">
            <w:pPr>
              <w:pStyle w:val="61aTabTextRechtsb"/>
              <w:rPr>
                <w:rStyle w:val="993Fett"/>
              </w:rPr>
            </w:pPr>
          </w:p>
        </w:tc>
      </w:tr>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Použité palivo</w:t>
            </w:r>
          </w:p>
        </w:tc>
        <w:tc>
          <w:tcPr>
            <w:tcW w:w="7372" w:type="dxa"/>
            <w:gridSpan w:val="7"/>
          </w:tcPr>
          <w:p w:rsidR="00703C97" w:rsidRPr="000736A5" w:rsidRDefault="00703C97" w:rsidP="00E97CAD">
            <w:pPr>
              <w:pStyle w:val="61cTabTextBlock"/>
            </w:pPr>
            <m:oMath>
              <m:r>
                <m:rPr>
                  <m:sty m:val="b"/>
                </m:rPr>
                <w:rPr>
                  <w:b/>
                </w:rPr>
                <w:sym w:font="Wingdings" w:char="F06F"/>
              </m:r>
            </m:oMath>
            <w:r>
              <w:rPr>
                <w:b/>
              </w:rPr>
              <w:t xml:space="preserve"> ELTO</w:t>
            </w:r>
            <w:r>
              <w:tab/>
              <w:tab/>
            </w:r>
            <m:oMath>
              <m:r>
                <m:rPr>
                  <m:sty m:val="b"/>
                </m:rPr>
                <w:rPr>
                  <w:b/>
                </w:rPr>
                <w:sym w:font="Wingdings" w:char="F06F"/>
              </m:r>
            </m:oMath>
            <w:r>
              <w:rPr>
                <w:b/>
              </w:rPr>
              <w:t xml:space="preserve"> Zemní plyn</w:t>
            </w:r>
            <w:r>
              <w:tab/>
            </w:r>
            <m:oMath>
              <m:r>
                <m:rPr>
                  <m:sty m:val="b"/>
                </m:rPr>
                <w:rPr>
                  <w:b/>
                </w:rPr>
                <w:sym w:font="Wingdings" w:char="F06F"/>
              </m:r>
            </m:oMath>
            <w:r>
              <w:rPr>
                <w:b/>
              </w:rPr>
              <w:t xml:space="preserve"> Kapalný plyn</w:t>
            </w:r>
            <w:r>
              <w:tab/>
            </w:r>
            <m:oMath>
              <m:r>
                <m:rPr>
                  <m:sty m:val="b"/>
                </m:rPr>
                <w:rPr>
                  <w:b/>
                </w:rPr>
                <w:sym w:font="Wingdings" w:char="F06F"/>
              </m:r>
            </m:oMath>
            <w:r>
              <w:rPr>
                <w:b/>
              </w:rPr>
              <w:t xml:space="preserve"> Kusové dřevo</w:t>
            </w:r>
            <w:r>
              <w:tab/>
            </w:r>
            <m:oMath>
              <m:r>
                <m:rPr>
                  <m:sty m:val="b"/>
                </m:rPr>
                <w:rPr>
                  <w:b/>
                </w:rPr>
                <w:sym w:font="Wingdings" w:char="F06F"/>
              </m:r>
              <m:r>
                <m:rPr>
                  <m:nor/>
                </m:rPr>
                <w:rPr>
                  <w:b/>
                </w:rPr>
                <m:t xml:space="preserve"> </m:t>
              </m:r>
            </m:oMath>
            <w:r>
              <w:rPr>
                <w:b/>
              </w:rPr>
              <w:t xml:space="preserve">Pelety</w:t>
            </w:r>
          </w:p>
          <w:p w:rsidR="00703C97" w:rsidRPr="000736A5" w:rsidRDefault="00703C97" w:rsidP="00E97CAD">
            <w:pPr>
              <w:pStyle w:val="61cTabTextBlock"/>
              <w:rPr>
                <w:rStyle w:val="993Fett"/>
              </w:rPr>
            </w:pPr>
            <m:oMath>
              <m:r>
                <m:rPr>
                  <m:sty m:val="b"/>
                </m:rPr>
                <w:rPr>
                  <w:b/>
                </w:rPr>
                <w:sym w:font="Wingdings" w:char="F06F"/>
              </m:r>
              <m:r>
                <m:rPr>
                  <m:nor/>
                </m:rPr>
                <w:rPr>
                  <w:b/>
                </w:rPr>
                <m:t xml:space="preserve"> </m:t>
              </m:r>
            </m:oMath>
            <w:r>
              <w:rPr>
                <w:b/>
              </w:rPr>
              <w:t xml:space="preserve">Uhlí/koks</w:t>
            </w:r>
            <w:r>
              <w:tab/>
            </w:r>
            <m:oMath>
              <m:r>
                <m:rPr>
                  <m:sty m:val="b"/>
                </m:rPr>
                <w:rPr>
                  <w:b/>
                </w:rPr>
                <w:sym w:font="Wingdings" w:char="F06F"/>
              </m:r>
            </m:oMath>
            <w:r>
              <w:rPr>
                <w:b/>
              </w:rPr>
              <w:t xml:space="preserve"> ostatní</w:t>
            </w:r>
            <w:r>
              <w:rPr>
                <w:b/>
              </w:rPr>
              <w:t xml:space="preserve"> </w:t>
            </w:r>
            <w:r>
              <w:tab/>
            </w:r>
          </w:p>
        </w:tc>
      </w:tr>
      <w:tr w:rsidR="00703C97" w:rsidRPr="000736A5" w:rsidTr="0036162C">
        <w:tc>
          <w:tcPr>
            <w:tcW w:w="9853" w:type="dxa"/>
            <w:gridSpan w:val="10"/>
            <w:tcBorders>
              <w:left w:val="nil"/>
              <w:right w:val="nil"/>
            </w:tcBorders>
          </w:tcPr>
          <w:p w:rsidR="00703C97" w:rsidRPr="000736A5" w:rsidRDefault="00703C97" w:rsidP="008E58C5">
            <w:pPr>
              <w:pStyle w:val="61TabText"/>
              <w:jc w:val="center"/>
              <w:rPr>
                <w:rStyle w:val="993Fett"/>
              </w:rPr>
            </w:pPr>
          </w:p>
        </w:tc>
      </w:tr>
      <w:tr w:rsidR="00703C97" w:rsidRPr="000736A5" w:rsidTr="0036162C">
        <w:tc>
          <w:tcPr>
            <w:tcW w:w="4927" w:type="dxa"/>
            <w:gridSpan w:val="7"/>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Stav zařízení</w:t>
            </w:r>
          </w:p>
        </w:tc>
        <w:tc>
          <w:tcPr>
            <w:tcW w:w="4926" w:type="dxa"/>
            <w:gridSpan w:val="3"/>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Návrhy zlepšení</w:t>
            </w: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Energetický průkaz je k dispozici</w:t>
            </w:r>
          </w:p>
        </w:tc>
        <w:tc>
          <w:tcPr>
            <w:tcW w:w="1429" w:type="dxa"/>
            <w:gridSpan w:val="2"/>
          </w:tcPr>
          <w:p w:rsidR="00703C97" w:rsidRPr="000736A5" w:rsidRDefault="00703C97" w:rsidP="00AC5D34">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r>
            <w:r>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Oběhové čerpadlo s regulací a správně nastaveno</w:t>
            </w:r>
          </w:p>
        </w:tc>
        <w:tc>
          <w:tcPr>
            <w:tcW w:w="1429" w:type="dxa"/>
            <w:gridSpan w:val="2"/>
            <w:hideMark/>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Potenciál ke zlepšení regulace</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Měření zplodin</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Regulátor tahu či protiexplozní klapka</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Tepelná izolace topného potrubí v pořádku</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Předimenzování topného kotle &gt;1,5</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Vyrovnáv. zásob. odpovídající systému a řádná izolace</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b/>
              </w:rPr>
            </w:pPr>
            <w:r>
              <w:rPr>
                <w:b/>
              </w:rPr>
              <w:t xml:space="preserve">Doporučuje se energetické poradenství</w:t>
            </w:r>
          </w:p>
        </w:tc>
        <w:tc>
          <w:tcPr>
            <w:tcW w:w="1429" w:type="dxa"/>
            <w:gridSpan w:val="2"/>
          </w:tcPr>
          <w:p w:rsidR="00703C97" w:rsidRPr="000736A5" w:rsidRDefault="00703C97" w:rsidP="008E58C5">
            <w:pPr>
              <w:pStyle w:val="61TabText"/>
              <w:tabs>
                <w:tab w:val="left" w:pos="613"/>
              </w:tabs>
              <w:ind w:left="187"/>
              <w:rPr>
                <w:rStyle w:val="993Fett"/>
                <w:b w:val="0"/>
              </w:rPr>
            </w:pPr>
            <m:oMath>
              <m:r>
                <m:rPr>
                  <m:sty m:val="p"/>
                </m:rPr>
                <w:rPr>
                  <w:rFonts w:ascii="Cambria Math" w:hAnsi="Cambria Math"/>
                </w:rPr>
                <w:sym w:font="Wingdings" w:char="F06F"/>
              </m:r>
            </m:oMath>
            <w:r>
              <w:tab/>
            </w:r>
            <w:r>
              <w:rPr>
                <w:b/>
              </w:rPr>
              <w:t xml:space="preserve">ano</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9853" w:type="dxa"/>
            <w:gridSpan w:val="10"/>
            <w:tcBorders>
              <w:left w:val="nil"/>
              <w:right w:val="nil"/>
            </w:tcBorders>
            <w:noWrap/>
            <w:vAlign w:val="center"/>
          </w:tcPr>
          <w:p w:rsidR="00703C97" w:rsidRPr="000736A5" w:rsidRDefault="00703C97" w:rsidP="00E97CAD">
            <w:pPr>
              <w:pStyle w:val="61bTabTextZentriert"/>
              <w:rPr>
                <w:b/>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Zkušební číslo</w:t>
            </w:r>
          </w:p>
        </w:tc>
        <w:tc>
          <w:tcPr>
            <w:tcW w:w="1985" w:type="dxa"/>
            <w:gridSpan w:val="3"/>
            <w:noWrap/>
          </w:tcPr>
          <w:p w:rsidR="00703C97" w:rsidRPr="000736A5" w:rsidRDefault="00703C97" w:rsidP="00E97CAD">
            <w:pPr>
              <w:pStyle w:val="61TabText"/>
              <w:rPr>
                <w:rStyle w:val="993Fett"/>
              </w:rPr>
            </w:pPr>
          </w:p>
        </w:tc>
        <w:tc>
          <w:tcPr>
            <w:tcW w:w="6380" w:type="dxa"/>
            <w:gridSpan w:val="6"/>
            <w:vMerge w:val="restart"/>
            <w:noWrap/>
            <w:vAlign w:val="bottom"/>
          </w:tcPr>
          <w:p w:rsidR="00703C97" w:rsidRPr="000736A5" w:rsidRDefault="00703C97" w:rsidP="00E97CAD">
            <w:pPr>
              <w:pStyle w:val="61bTabTextZentriert"/>
              <w:rPr>
                <w:b/>
              </w:rPr>
            </w:pPr>
            <w:r>
              <w:rPr>
                <w:b/>
              </w:rPr>
              <w:t xml:space="preserve">Razítko a podpis</w:t>
            </w: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Zkušební orgán</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b/>
              </w:rPr>
            </w:pPr>
            <w:r>
              <w:rPr>
                <w:b/>
              </w:rPr>
              <w:t xml:space="preserve">Název firmy</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tcBorders>
              <w:bottom w:val="single" w:sz="4" w:space="0" w:color="auto"/>
            </w:tcBorders>
            <w:shd w:val="clear" w:color="auto" w:fill="D9D9D9" w:themeFill="background1" w:themeFillShade="D9"/>
            <w:noWrap/>
            <w:vAlign w:val="center"/>
          </w:tcPr>
          <w:p w:rsidR="00703C97" w:rsidRPr="000736A5" w:rsidRDefault="00703C97" w:rsidP="00E97CAD">
            <w:pPr>
              <w:pStyle w:val="61TabText"/>
              <w:rPr>
                <w:b/>
              </w:rPr>
            </w:pPr>
            <w:r>
              <w:rPr>
                <w:b/>
              </w:rPr>
              <w:t xml:space="preserve">Datum zkoušky</w:t>
            </w:r>
          </w:p>
        </w:tc>
        <w:tc>
          <w:tcPr>
            <w:tcW w:w="1985" w:type="dxa"/>
            <w:gridSpan w:val="3"/>
            <w:tcBorders>
              <w:bottom w:val="single" w:sz="4" w:space="0" w:color="auto"/>
            </w:tcBorders>
            <w:noWrap/>
          </w:tcPr>
          <w:p w:rsidR="00703C97" w:rsidRPr="000736A5" w:rsidRDefault="00703C97" w:rsidP="00E97CAD">
            <w:pPr>
              <w:pStyle w:val="61TabText"/>
              <w:rPr>
                <w:rStyle w:val="993Fett"/>
                <w:b w:val="0"/>
              </w:rPr>
            </w:pPr>
          </w:p>
        </w:tc>
        <w:tc>
          <w:tcPr>
            <w:tcW w:w="6380" w:type="dxa"/>
            <w:gridSpan w:val="6"/>
            <w:vMerge/>
            <w:tcBorders>
              <w:bottom w:val="single" w:sz="4" w:space="0" w:color="auto"/>
            </w:tcBorders>
            <w:noWrap/>
          </w:tcPr>
          <w:p w:rsidR="00703C97" w:rsidRPr="000736A5" w:rsidRDefault="00703C97" w:rsidP="00E97CAD">
            <w:pPr>
              <w:pStyle w:val="61TabText"/>
              <w:rPr>
                <w:rStyle w:val="993Fett"/>
                <w:b w:val="0"/>
              </w:rPr>
            </w:pPr>
          </w:p>
        </w:tc>
      </w:tr>
      <w:tr w:rsidR="00703C97" w:rsidRPr="000736A5" w:rsidTr="0036162C">
        <w:tc>
          <w:tcPr>
            <w:tcW w:w="9853" w:type="dxa"/>
            <w:gridSpan w:val="10"/>
            <w:tcBorders>
              <w:top w:val="nil"/>
              <w:left w:val="nil"/>
              <w:bottom w:val="single" w:sz="4" w:space="0" w:color="auto"/>
              <w:right w:val="nil"/>
            </w:tcBorders>
            <w:vAlign w:val="center"/>
          </w:tcPr>
          <w:p w:rsidR="00703C97" w:rsidRPr="000736A5" w:rsidRDefault="00703C97" w:rsidP="00E97CAD">
            <w:pPr>
              <w:pStyle w:val="61cTabTextBlock"/>
            </w:pPr>
          </w:p>
        </w:tc>
      </w:tr>
      <w:tr w:rsidR="00703C97" w:rsidRPr="000736A5" w:rsidTr="0036162C">
        <w:tc>
          <w:tcPr>
            <w:tcW w:w="2339" w:type="dxa"/>
            <w:gridSpan w:val="2"/>
            <w:tcBorders>
              <w:top w:val="single" w:sz="4" w:space="0" w:color="auto"/>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Příští kontrola</w:t>
            </w:r>
          </w:p>
        </w:tc>
        <w:tc>
          <w:tcPr>
            <w:tcW w:w="2551" w:type="dxa"/>
            <w:gridSpan w:val="4"/>
            <w:tcBorders>
              <w:top w:val="single" w:sz="4" w:space="0" w:color="auto"/>
            </w:tcBorders>
            <w:vAlign w:val="center"/>
          </w:tcPr>
          <w:p w:rsidR="00703C97" w:rsidRPr="000736A5" w:rsidRDefault="00703C97" w:rsidP="00E97CAD">
            <w:pPr>
              <w:pStyle w:val="09Abstand"/>
              <w:rPr>
                <w:rStyle w:val="993Fett"/>
              </w:rPr>
            </w:pPr>
          </w:p>
        </w:tc>
        <w:tc>
          <w:tcPr>
            <w:tcW w:w="4963" w:type="dxa"/>
            <w:gridSpan w:val="4"/>
            <w:vMerge w:val="restart"/>
            <w:tcBorders>
              <w:top w:val="single" w:sz="4" w:space="0" w:color="auto"/>
            </w:tcBorders>
            <w:vAlign w:val="center"/>
          </w:tcPr>
          <w:p w:rsidR="00703C97" w:rsidRPr="000736A5" w:rsidRDefault="00703C97" w:rsidP="00E97CAD">
            <w:pPr>
              <w:pStyle w:val="09Abstand"/>
              <w:rPr>
                <w:rStyle w:val="993Fett"/>
              </w:rPr>
            </w:pPr>
          </w:p>
        </w:tc>
      </w:tr>
      <w:tr w:rsidR="00703C97" w:rsidRPr="000736A5" w:rsidTr="0036162C">
        <w:tc>
          <w:tcPr>
            <w:tcW w:w="4890" w:type="dxa"/>
            <w:gridSpan w:val="6"/>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Podpis provozovatele</w:t>
            </w:r>
          </w:p>
        </w:tc>
        <w:tc>
          <w:tcPr>
            <w:tcW w:w="4963" w:type="dxa"/>
            <w:gridSpan w:val="4"/>
            <w:vMerge/>
          </w:tcPr>
          <w:p w:rsidR="00703C97" w:rsidRPr="000736A5" w:rsidRDefault="00703C97" w:rsidP="00E97CAD">
            <w:pPr>
              <w:pStyle w:val="09Abstand"/>
              <w:rPr>
                <w:rStyle w:val="993Fett"/>
              </w:rPr>
            </w:pPr>
          </w:p>
        </w:tc>
      </w:tr>
    </w:tbl>
    <w:p w:rsidR="00703C97" w:rsidRPr="000736A5" w:rsidRDefault="00703C97" w:rsidP="0085308E">
      <w:pPr>
        <w:pStyle w:val="21NovAo1"/>
        <w:pageBreakBefore/>
      </w:pPr>
      <w:r>
        <w:t xml:space="preserve">34.</w:t>
      </w:r>
      <w:r>
        <w:t xml:space="preserve"> </w:t>
      </w:r>
      <w:r>
        <w:t xml:space="preserve">Po příloze č. 3 je připoje příloha č. 4 a č. 5:</w:t>
      </w:r>
    </w:p>
    <w:p w:rsidR="00703C97" w:rsidRPr="000736A5" w:rsidRDefault="00C6640E" w:rsidP="00703C97">
      <w:pPr>
        <w:pStyle w:val="71Anlagenbez"/>
      </w:pPr>
      <w:r>
        <w:t xml:space="preserve">Příloha č. 4 (k § 11a)</w:t>
      </w:r>
    </w:p>
    <w:p w:rsidR="00703C97" w:rsidRPr="000736A5" w:rsidRDefault="00703C97" w:rsidP="00703C97">
      <w:pPr>
        <w:pStyle w:val="83ErlText"/>
      </w:pPr>
      <w:r>
        <w:t xml:space="preserve">Jako mezní emisní hodnota pro zařízení podle §11a platí ta hodnota, která podle následujícího vzorce vyplyne ze sumy dané násobením vždy podílu příslušného paliva s celkovým tepelným výkonem paliva:</w:t>
      </w:r>
    </w:p>
    <w:p w:rsidR="00703C97" w:rsidRPr="000736A5" w:rsidRDefault="00703C97" w:rsidP="00703C97">
      <w:pPr>
        <w:pStyle w:val="09Abstand"/>
      </w:pPr>
    </w:p>
    <w:p w:rsidR="00703C97" w:rsidRPr="000736A5" w:rsidRDefault="00703C97" w:rsidP="00703C97">
      <w:pPr>
        <w:pStyle w:val="83ErlText"/>
      </w:pPr>
      <w:r>
        <w:t xml:space="preserve">1.</w:t>
      </w:r>
      <w:r>
        <w:t xml:space="preserve"> </w:t>
      </w:r>
      <w:r>
        <w:t xml:space="preserve">Určení mezní emisní hodnoty pro každé jednotlivé palivo podle pravidel vyhlášky o spalovacích zařízeních – FAV.</w:t>
      </w:r>
      <w:r>
        <w:t xml:space="preserve"> </w:t>
      </w:r>
      <w:r>
        <w:t xml:space="preserve">U agregovaného spalovacího zařízení je potřeba při určování realizovaných emisních mezních hodnot vzít v úvahu celkový tepelný výkon paliva agregovaného spalovacího zařízení.</w:t>
      </w:r>
      <w:r>
        <w:t xml:space="preserve"> </w:t>
      </w:r>
    </w:p>
    <w:p w:rsidR="00703C97" w:rsidRPr="000736A5" w:rsidRDefault="00703C97" w:rsidP="00703C97">
      <w:pPr>
        <w:pStyle w:val="83ErlText"/>
      </w:pPr>
      <w:r>
        <w:t xml:space="preserve">2.</w:t>
      </w:r>
      <w:r>
        <w:t xml:space="preserve"> </w:t>
      </w:r>
      <w:r>
        <w:t xml:space="preserve">Stanovení vážených emisních mezních hodnot pro jednotlivá paliva.</w:t>
      </w:r>
      <w:r>
        <w:t xml:space="preserve"> </w:t>
      </w:r>
      <w:r>
        <w:t xml:space="preserve">Tyto hodnoty obdržíme, když jsou jednotlivé mezní emisní hodnoty podle ř. 1 násobeny tepelným výkonem paliva jednotlivých paliv a výsledek je dělen sumou tepelného výkonu všech paliv (celkový tepelný výkon paliv u agregovaného spalovacího zařízení).</w:t>
      </w:r>
      <w:r>
        <w:t xml:space="preserve"> </w:t>
      </w:r>
    </w:p>
    <w:p w:rsidR="00703C97" w:rsidRPr="000736A5" w:rsidRDefault="00703C97" w:rsidP="00703C97">
      <w:pPr>
        <w:pStyle w:val="83ErlText"/>
      </w:pPr>
      <w:r>
        <w:t xml:space="preserve">3.</w:t>
      </w:r>
      <w:r>
        <w:t xml:space="preserve"> </w:t>
      </w:r>
      <w:r>
        <w:t xml:space="preserve">Sečtení vážených emisních mezních hodnot pro jednotlivá paliva.</w:t>
      </w:r>
      <w:r>
        <w:t xml:space="preserve"> </w:t>
      </w:r>
      <w:r>
        <w:t xml:space="preserve">Přitom musí být všechny emisní mezní hodnoty dosazeny tím samým referenčním obsahem kyslíku.</w:t>
      </w:r>
      <w:r>
        <w:t xml:space="preserve"> </w:t>
      </w:r>
    </w:p>
    <w:p w:rsidR="00703C97" w:rsidRPr="000736A5" w:rsidRDefault="00703C97" w:rsidP="00703C97">
      <w:pPr>
        <w:pStyle w:val="09Abstand"/>
      </w:pPr>
    </w:p>
    <w:p w:rsidR="00703C97" w:rsidRPr="000736A5" w:rsidRDefault="00703C97" w:rsidP="00703C97">
      <w:pPr>
        <w:pStyle w:val="83ErlText"/>
      </w:pPr>
      <w:r>
        <w:t xml:space="preserve">Předpis propočtu podle ř. 1 až ř. 3 může být znázorněn také následujícím vzorcem:</w:t>
      </w:r>
      <w:r>
        <w:t xml:space="preserve"> </w:t>
      </w:r>
    </w:p>
    <w:p w:rsidR="00703C97" w:rsidRPr="000736A5" w:rsidRDefault="00703C97" w:rsidP="00703C97">
      <w:pPr>
        <w:pStyle w:val="09Abstand"/>
      </w:pPr>
    </w:p>
    <w:p w:rsidR="00703C97" w:rsidRPr="000736A5" w:rsidRDefault="00061F7D" w:rsidP="00703C97">
      <w:pPr>
        <w:pStyle w:val="18AbbildungoderObjekt"/>
      </w:pPr>
      <w:r>
        <w:drawing>
          <wp:inline distT="0" distB="0" distL="0" distR="0">
            <wp:extent cx="2924175"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rsidR="00703C97" w:rsidRPr="000736A5" w:rsidRDefault="00703C97" w:rsidP="00703C97">
      <w:pPr>
        <w:pStyle w:val="09Abstand"/>
      </w:pPr>
    </w:p>
    <w:p w:rsidR="00703C97" w:rsidRPr="000736A5" w:rsidRDefault="00703C97" w:rsidP="00703C97">
      <w:pPr>
        <w:pStyle w:val="83ErlText"/>
      </w:pPr>
      <w:r>
        <w:rPr>
          <w:u w:val="single"/>
        </w:rPr>
        <w:t xml:space="preserve">Legenda:</w:t>
      </w:r>
      <w:r>
        <w:rPr>
          <w:u w:val="single"/>
        </w:rPr>
        <w:t xml:space="preserve"> </w:t>
      </w:r>
    </w:p>
    <w:p w:rsidR="00703C97" w:rsidRPr="000736A5" w:rsidRDefault="00703C97" w:rsidP="00703C97">
      <w:pPr>
        <w:pStyle w:val="83ErlText"/>
      </w:pPr>
      <w:r>
        <w:t xml:space="preserve">EGW tot…emisní mezní hodnota podle pravidla směšování</w:t>
      </w:r>
      <w:r>
        <w:t xml:space="preserve"> </w:t>
      </w:r>
    </w:p>
    <w:p w:rsidR="00703C97" w:rsidRPr="000736A5" w:rsidRDefault="00703C97" w:rsidP="00703C97">
      <w:pPr>
        <w:pStyle w:val="83ErlText"/>
      </w:pPr>
      <w:r>
        <w:t xml:space="preserve">EGW BS1…emisní mezní hodnota paliva 1 s ohledem na rozměr celkového tepelného výkonu paliva (suma BWL všech použitých BS)</w:t>
      </w:r>
      <w:r>
        <w:t xml:space="preserve"> </w:t>
      </w:r>
    </w:p>
    <w:p w:rsidR="00703C97" w:rsidRPr="000736A5" w:rsidRDefault="00703C97" w:rsidP="00703C97">
      <w:pPr>
        <w:pStyle w:val="83ErlText"/>
      </w:pPr>
      <w:r>
        <w:t xml:space="preserve">BS1…palivo 1</w:t>
      </w:r>
      <w:r>
        <w:t xml:space="preserve"> </w:t>
      </w:r>
    </w:p>
    <w:p w:rsidR="00703C97" w:rsidRPr="000736A5" w:rsidRDefault="00703C97" w:rsidP="00703C97">
      <w:pPr>
        <w:pStyle w:val="83ErlText"/>
      </w:pPr>
      <w:r>
        <w:t xml:space="preserve">BWL BS1…tepelný výkon paliva 1</w:t>
      </w:r>
      <w:r>
        <w:t xml:space="preserve"> </w:t>
      </w:r>
    </w:p>
    <w:p w:rsidR="00703C97" w:rsidRPr="000736A5" w:rsidRDefault="00703C97" w:rsidP="00703C97">
      <w:pPr>
        <w:pStyle w:val="83ErlText"/>
      </w:pPr>
      <w:r>
        <w:t xml:space="preserve">BWL tot…suma BWL všech použitých BS</w:t>
      </w:r>
      <w:r>
        <w:t xml:space="preserve"> </w:t>
      </w:r>
    </w:p>
    <w:p w:rsidR="00703C97" w:rsidRPr="000736A5" w:rsidRDefault="00703C97" w:rsidP="00703C97">
      <w:pPr>
        <w:pStyle w:val="83ErlText"/>
      </w:pPr>
      <w:r>
        <w:t xml:space="preserve">EGW BS2…emisní mezní hodnota paliva 2 s ohledem na rozměr celkového tepelného výkonu paliva (suma BWL všech použitých BS)</w:t>
      </w:r>
      <w:r>
        <w:t xml:space="preserve"> </w:t>
      </w:r>
    </w:p>
    <w:p w:rsidR="00703C97" w:rsidRPr="000736A5" w:rsidRDefault="00703C97" w:rsidP="00703C97">
      <w:pPr>
        <w:pStyle w:val="83ErlText"/>
      </w:pPr>
      <w:r>
        <w:t xml:space="preserve">BS2…palivo 2</w:t>
      </w:r>
    </w:p>
    <w:p w:rsidR="00703C97" w:rsidRPr="000736A5" w:rsidRDefault="00703C97" w:rsidP="00703C97">
      <w:pPr>
        <w:pStyle w:val="83ErlText"/>
      </w:pPr>
      <w:r>
        <w:t xml:space="preserve">BWL BS2…tepelný výkon paliva 2</w:t>
      </w:r>
      <w:r>
        <w:t xml:space="preserve"> </w:t>
      </w:r>
    </w:p>
    <w:p w:rsidR="00703C97" w:rsidRPr="000736A5" w:rsidRDefault="00703C97" w:rsidP="00703C97">
      <w:pPr>
        <w:pStyle w:val="83ErlText"/>
      </w:pPr>
      <w:r>
        <w:t xml:space="preserve">O2, BS1 referenční obsah kyslíku pro palivo 1 v procentech</w:t>
      </w:r>
    </w:p>
    <w:p w:rsidR="00703C97" w:rsidRPr="000736A5" w:rsidRDefault="00703C97" w:rsidP="00703C97">
      <w:pPr>
        <w:pStyle w:val="83ErlText"/>
      </w:pPr>
      <w:r>
        <w:t xml:space="preserve">O2, BS2 referenční obsah kyslíku pro palivo 2 v procentech</w:t>
      </w:r>
    </w:p>
    <w:p w:rsidR="00703C97" w:rsidRPr="000736A5" w:rsidRDefault="00703C97" w:rsidP="00C81779">
      <w:pPr>
        <w:pStyle w:val="71Anlagenbez"/>
        <w:pageBreakBefore/>
      </w:pPr>
      <w:r>
        <w:t xml:space="preserve">Příloha 5 (k § 6a)</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83ErlText"/>
      </w:pPr>
      <w:r>
        <w:t xml:space="preserve">Kmenová data pro registraci středně velkých spalovacích zařízení podle § 6a</w:t>
      </w:r>
    </w:p>
    <w:p w:rsidR="00703C97" w:rsidRPr="000736A5" w:rsidRDefault="00703C97" w:rsidP="00703C97">
      <w:pPr>
        <w:pStyle w:val="83ErlText"/>
      </w:pPr>
      <w:r>
        <w:t xml:space="preserve">1.</w:t>
      </w:r>
      <w:r>
        <w:t xml:space="preserve"> </w:t>
      </w:r>
      <w:r>
        <w:t xml:space="preserve">Tepelný výkon paliva (v MW) spalovacího zařízení;</w:t>
      </w:r>
      <w:r>
        <w:t xml:space="preserve"> </w:t>
      </w:r>
    </w:p>
    <w:p w:rsidR="00703C97" w:rsidRPr="000736A5" w:rsidRDefault="00703C97" w:rsidP="00703C97">
      <w:pPr>
        <w:pStyle w:val="83ErlText"/>
      </w:pPr>
      <w:r>
        <w:t xml:space="preserve">2.</w:t>
      </w:r>
      <w:r>
        <w:t xml:space="preserve"> </w:t>
      </w:r>
      <w:r>
        <w:t xml:space="preserve">Druh spalovacího zařízení (dieselový spalovací motor, plynový spalovací motor, spalovací motor na dvě paliva, plynová turbína, ostatní spalovací zařízení);</w:t>
      </w:r>
      <w:r>
        <w:t xml:space="preserve"> </w:t>
      </w:r>
    </w:p>
    <w:p w:rsidR="00703C97" w:rsidRPr="000736A5" w:rsidRDefault="00703C97" w:rsidP="00703C97">
      <w:pPr>
        <w:pStyle w:val="83ErlText"/>
      </w:pPr>
      <w:r>
        <w:t xml:space="preserve">3.</w:t>
      </w:r>
      <w:r>
        <w:t xml:space="preserve"> </w:t>
      </w:r>
      <w:r>
        <w:t xml:space="preserve">Druh a příslušný podíl použitých paliv (udáváno jako podíl tepelného výkonu paliva v MW) rozklíčovaný podle druhů paliv podle vyhlášky o spalovacích zařízeních – FAV;</w:t>
      </w:r>
      <w:r>
        <w:t xml:space="preserve"> </w:t>
      </w:r>
    </w:p>
    <w:p w:rsidR="00703C97" w:rsidRPr="000736A5" w:rsidRDefault="00703C97" w:rsidP="00703C97">
      <w:pPr>
        <w:pStyle w:val="83ErlText"/>
      </w:pPr>
      <w:r>
        <w:t xml:space="preserve">4.</w:t>
      </w:r>
      <w:r>
        <w:t xml:space="preserve"> </w:t>
      </w:r>
      <w:r>
        <w:t xml:space="preserve">Roční hodnoty výskytů škodlivin pro SO</w:t>
      </w:r>
      <w:r>
        <w:rPr>
          <w:vertAlign w:val="subscript"/>
        </w:rPr>
        <w:t xml:space="preserve">2</w:t>
      </w:r>
      <w:r>
        <w:t xml:space="preserve">, NOx, prach a CO.</w:t>
      </w:r>
      <w:r>
        <w:t xml:space="preserve"> </w:t>
      </w:r>
      <w:r>
        <w:t xml:space="preserve">Pokud neproběhnou dvě kontinuální měření emisí, je nutno tyto výskyty škodlivin udávat na základě propočtených, příp. odhadnutých hodnot;</w:t>
      </w:r>
      <w:r>
        <w:t xml:space="preserve"> </w:t>
      </w:r>
    </w:p>
    <w:p w:rsidR="00703C97" w:rsidRPr="000736A5" w:rsidRDefault="00703C97" w:rsidP="00703C97">
      <w:pPr>
        <w:pStyle w:val="83ErlText"/>
      </w:pPr>
      <w:r>
        <w:t xml:space="preserve">5.</w:t>
      </w:r>
      <w:r>
        <w:t xml:space="preserve"> </w:t>
      </w:r>
      <w:r>
        <w:t xml:space="preserve">Datum uvedení spalovacího zařízení do provozu, nebo, pokud není známo přesné datum uvedení do provozu, doklady o tom, že byl provoz zahájen před 20. prosincem 2018;</w:t>
      </w:r>
      <w:r>
        <w:t xml:space="preserve"> </w:t>
      </w:r>
    </w:p>
    <w:p w:rsidR="00703C97" w:rsidRPr="000736A5" w:rsidRDefault="00703C97" w:rsidP="00703C97">
      <w:pPr>
        <w:pStyle w:val="83ErlText"/>
      </w:pPr>
      <w:r>
        <w:t xml:space="preserve">6.</w:t>
      </w:r>
      <w:r>
        <w:t xml:space="preserve"> </w:t>
      </w:r>
      <w:r>
        <w:t xml:space="preserve">Ekonomické odvětví spalovacích zařízení nebo provozního zařízení, ve kterém je zabudováno (kód NACE);</w:t>
      </w:r>
      <w:r>
        <w:t xml:space="preserve"> </w:t>
      </w:r>
    </w:p>
    <w:p w:rsidR="00703C97" w:rsidRPr="000736A5" w:rsidRDefault="00703C97" w:rsidP="00703C97">
      <w:pPr>
        <w:pStyle w:val="83ErlText"/>
      </w:pPr>
      <w:r>
        <w:t xml:space="preserve">7. Předběžný počet provozních hodin spalovacího zařízení za rok a předběžné provozní zatížení v rámci ročního průměru (procenta celkového zatížení);</w:t>
      </w:r>
      <w:r>
        <w:t xml:space="preserve"> </w:t>
      </w:r>
    </w:p>
    <w:p w:rsidR="00703C97" w:rsidRPr="000736A5" w:rsidRDefault="00703C97" w:rsidP="00703C97">
      <w:pPr>
        <w:pStyle w:val="83ErlText"/>
      </w:pPr>
      <w:r>
        <w:t xml:space="preserve">8.</w:t>
      </w:r>
      <w:r>
        <w:t xml:space="preserve"> </w:t>
      </w:r>
      <w:r>
        <w:t xml:space="preserve">Název a obchodní sídlo provozovatele, a rovněž – při stacionárních spalovacích zařízeních – stanoviště zařízení s adresou.</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44UeberschrArt"/>
      </w:pPr>
      <w:r>
        <w:t xml:space="preserve">Článek II</w:t>
      </w:r>
    </w:p>
    <w:p w:rsidR="00703C97" w:rsidRPr="000736A5" w:rsidRDefault="00703C97" w:rsidP="00703C97">
      <w:pPr>
        <w:pStyle w:val="51Abs"/>
      </w:pPr>
      <w:r>
        <w:t xml:space="preserve">(1) Tato vyhláška vstupuje v platnost prvním dnem měsíce následujícího po zveřejnění v Zemském věstníku.</w:t>
      </w:r>
    </w:p>
    <w:p w:rsidR="00703C97" w:rsidRPr="000736A5" w:rsidRDefault="00703C97" w:rsidP="00703C97">
      <w:pPr>
        <w:pStyle w:val="51Abs"/>
      </w:pPr>
      <w:r>
        <w:t xml:space="preserve">(2) Toto nařízení bylo postoupeno informačnímu postupu ve smyslu směrnice  Evropského parlamentu a Rady (EU) 2015/1535 ze dne 9. září 2015 o postupu při poskytování informací v oblasti norem a technických předpisů a předpisů pro služby informační společnosti, Úř. věst. L 241 ze dne 17.9.2015, s. 1, (notifikační číslo 2019/0178/A).</w:t>
      </w:r>
    </w:p>
    <w:p w:rsidR="00703C97" w:rsidRPr="000736A5" w:rsidRDefault="00703C97" w:rsidP="00703C97">
      <w:pPr>
        <w:pStyle w:val="51Abs"/>
      </w:pPr>
      <w:r>
        <w:t xml:space="preserve">3) Tímto nařízení se realizují následující směrnice:</w:t>
      </w:r>
    </w:p>
    <w:p w:rsidR="00703C97" w:rsidRPr="000736A5" w:rsidRDefault="00703C97" w:rsidP="00703C97">
      <w:pPr>
        <w:pStyle w:val="52Aufzaehle1Ziffer"/>
      </w:pPr>
      <w:r>
        <w:tab/>
      </w:r>
      <w:r>
        <w:t xml:space="preserve">– </w:t>
        <w:tab/>
        <w:t xml:space="preserve">směrnice Evropského parlamentu a Rady 2015/2193/EU ze dne 25. listopadu 2015 o omezení emisí některých znečišťujících látek ze středně velkých topenišť do ovzduší, Úř. věst. L 313 z 28.listopadu 2015, s. 1;</w:t>
      </w:r>
    </w:p>
    <w:p w:rsidR="00703C97" w:rsidRPr="000736A5" w:rsidRDefault="00703C97" w:rsidP="00703C97">
      <w:pPr>
        <w:pStyle w:val="52Aufzaehle1Ziffer"/>
      </w:pPr>
      <w:r>
        <w:tab/>
      </w:r>
      <w:r>
        <w:t xml:space="preserve">–</w:t>
        <w:tab/>
        <w:t xml:space="preserve">směrnice Evropského parlamentu a Rady 2016/802/EU ze dne 11. května 2016 o snižování obsahu síry v některých kapalných palivech, Úř. věst. L 132 z 21. května 2016.</w:t>
      </w:r>
    </w:p>
    <w:p w:rsidR="00703C97" w:rsidRPr="000736A5" w:rsidRDefault="00703C97" w:rsidP="00703C97">
      <w:pPr>
        <w:pStyle w:val="69UnterschrM"/>
      </w:pPr>
      <w:r>
        <w:t xml:space="preserve">Za vládu spolkové země Korutany:</w:t>
      </w:r>
      <w:r>
        <w:br/>
      </w:r>
      <w:r>
        <w:t xml:space="preserve">Zemský hejtman</w:t>
        <w:br/>
        <w:t xml:space="preserve">Mag.</w:t>
      </w:r>
      <w:r>
        <w:t xml:space="preserve"> </w:t>
      </w:r>
      <w:r>
        <w:t xml:space="preserve">Dr. K a i s e r</w:t>
      </w:r>
    </w:p>
    <w:sectPr w:rsidR="00703C97" w:rsidRPr="000736A5" w:rsidSect="0044125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7D" w:rsidRDefault="00061F7D" w:rsidP="00364F8D">
      <w:r>
        <w:separator/>
      </w:r>
    </w:p>
  </w:endnote>
  <w:endnote w:type="continuationSeparator" w:id="0">
    <w:p w:rsidR="00061F7D" w:rsidRDefault="00061F7D" w:rsidP="00364F8D">
      <w:r>
        <w:continuationSeparator/>
      </w:r>
    </w:p>
  </w:endnote>
  <w:endnote w:type="continuationNotice" w:id="1">
    <w:p w:rsidR="00061F7D" w:rsidRDefault="0006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7D" w:rsidRDefault="00061F7D" w:rsidP="00364F8D">
      <w:r>
        <w:separator/>
      </w:r>
    </w:p>
  </w:footnote>
  <w:footnote w:type="continuationSeparator" w:id="0">
    <w:p w:rsidR="00061F7D" w:rsidRDefault="00061F7D" w:rsidP="00364F8D">
      <w:r>
        <w:continuationSeparator/>
      </w:r>
    </w:p>
  </w:footnote>
  <w:footnote w:type="continuationNotice" w:id="1">
    <w:p w:rsidR="00061F7D" w:rsidRDefault="00061F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Korutanský</w:t>
    </w:r>
    <w:r>
      <w:t xml:space="preserve"> </w:t>
    </w:r>
    <w:r>
      <w:t xml:space="preserve">Zemsk. věst.</w:t>
    </w:r>
    <w:r>
      <w:t xml:space="preserve"> </w:t>
    </w:r>
    <w:r>
      <w:t xml:space="preserve">č. 86/2019 – vydáno dne 8. listopadu 2019</w:t>
      <w:tab/>
    </w:r>
    <w:r w:rsidRPr="000258D6">
      <w:fldChar w:fldCharType="begin"/>
    </w:r>
    <w:r w:rsidRPr="000258D6">
      <w:instrText xml:space="preserve"> PAGE  \* Arabic  \* MERGEFORMAT </w:instrText>
    </w:r>
    <w:r w:rsidRPr="000258D6">
      <w:fldChar w:fldCharType="separate"/>
    </w:r>
    <w:r w:rsidR="00DB76EF">
      <w:t>2</w:t>
    </w:r>
    <w:r w:rsidRPr="000258D6">
      <w:fldChar w:fldCharType="end"/>
    </w:r>
    <w:r>
      <w:t xml:space="preserve"> z </w:t>
    </w:r>
    <w:r w:rsidR="00930598">
      <w:fldChar w:fldCharType="begin" w:dirty="true"/>
    </w:r>
    <w:r w:rsidR="00930598">
      <w:instrText xml:space="preserve"> NUMPAGES  \* Arabic  \* MERGEFORMAT </w:instrText>
    </w:r>
    <w:r w:rsidR="00930598">
      <w:fldChar w:fldCharType="separate"/>
    </w:r>
    <w:r w:rsidR="00DB76EF">
      <w:t>2</w:t>
    </w:r>
    <w:r w:rsidR="0093059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Korutanský</w:t>
    </w:r>
    <w:r>
      <w:t xml:space="preserve"> </w:t>
    </w:r>
    <w:r>
      <w:t xml:space="preserve">Zemsk. věst.</w:t>
    </w:r>
    <w:r>
      <w:t xml:space="preserve"> </w:t>
    </w:r>
    <w:r>
      <w:t xml:space="preserve">č. 86/2019 – vydáno dne 8. listopadu 2019</w:t>
      <w:tab/>
    </w:r>
    <w:r w:rsidRPr="000258D6">
      <w:fldChar w:fldCharType="begin"/>
    </w:r>
    <w:r w:rsidRPr="000258D6">
      <w:instrText xml:space="preserve"> PAGE  \* Arabic  \* MERGEFORMAT </w:instrText>
    </w:r>
    <w:r w:rsidRPr="000258D6">
      <w:fldChar w:fldCharType="separate"/>
    </w:r>
    <w:r w:rsidR="001F24BE">
      <w:t>2</w:t>
    </w:r>
    <w:r w:rsidRPr="000258D6">
      <w:fldChar w:fldCharType="end"/>
    </w:r>
    <w:r>
      <w:t xml:space="preserve"> z </w:t>
    </w:r>
    <w:r w:rsidR="00930598">
      <w:fldChar w:fldCharType="begin" w:dirty="true"/>
    </w:r>
    <w:r w:rsidR="00930598">
      <w:instrText xml:space="preserve"> NUMPAGES  \* Arabic  \* MERGEFORMAT </w:instrText>
    </w:r>
    <w:r w:rsidR="00930598">
      <w:fldChar w:fldCharType="separate"/>
    </w:r>
    <w:r w:rsidR="001F24BE">
      <w:t>18</w:t>
    </w:r>
    <w:r w:rsidR="0093059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0830C5">
    <w:pPr>
      <w:pStyle w:val="62Kopfzeile"/>
      <w:jc w:val="right"/>
    </w:pPr>
    <w:r w:rsidRPr="000258D6">
      <w:fldChar w:fldCharType="begin"/>
    </w:r>
    <w:r w:rsidRPr="000258D6">
      <w:instrText xml:space="preserve"> PAGE  \* MERGEFORMAT </w:instrText>
    </w:r>
    <w:r w:rsidRPr="000258D6">
      <w:fldChar w:fldCharType="separate"/>
    </w:r>
    <w:r w:rsidR="001F24BE">
      <w:t>1</w:t>
    </w:r>
    <w:r w:rsidRPr="000258D6">
      <w:fldChar w:fldCharType="end"/>
    </w:r>
    <w:r>
      <w:t xml:space="preserve"> Z </w:t>
    </w:r>
    <w:r w:rsidR="00930598">
      <w:fldChar w:fldCharType="begin" w:dirty="true"/>
    </w:r>
    <w:r w:rsidR="00930598">
      <w:instrText xml:space="preserve"> NUMPAGES  \* MERGEFORMAT </w:instrText>
    </w:r>
    <w:r w:rsidR="00930598">
      <w:fldChar w:fldCharType="separate"/>
    </w:r>
    <w:r w:rsidR="001F24BE">
      <w:t>18</w:t>
    </w:r>
    <w:r w:rsidR="0093059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C54226F"/>
    <w:multiLevelType w:val="hybridMultilevel"/>
    <w:tmpl w:val="711822E8"/>
    <w:lvl w:ilvl="0" w:tplc="41E8CB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41F051BC"/>
    <w:multiLevelType w:val="hybridMultilevel"/>
    <w:tmpl w:val="D53E43EC"/>
    <w:lvl w:ilvl="0" w:tplc="CE3A2922">
      <w:start w:val="1"/>
      <w:numFmt w:val="bullet"/>
      <w:lvlText w:val=""/>
      <w:lvlJc w:val="left"/>
      <w:pPr>
        <w:ind w:left="1117"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6"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9"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0"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21"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2"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77B123C2"/>
    <w:multiLevelType w:val="hybridMultilevel"/>
    <w:tmpl w:val="1E3C5D32"/>
    <w:lvl w:ilvl="0" w:tplc="CB5C07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6"/>
  </w:num>
  <w:num w:numId="2">
    <w:abstractNumId w:val="0"/>
  </w:num>
  <w:num w:numId="3">
    <w:abstractNumId w:val="19"/>
  </w:num>
  <w:num w:numId="4">
    <w:abstractNumId w:val="23"/>
  </w:num>
  <w:num w:numId="5">
    <w:abstractNumId w:val="24"/>
  </w:num>
  <w:num w:numId="6">
    <w:abstractNumId w:val="3"/>
  </w:num>
  <w:num w:numId="7">
    <w:abstractNumId w:val="5"/>
  </w:num>
  <w:num w:numId="8">
    <w:abstractNumId w:val="7"/>
  </w:num>
  <w:num w:numId="9">
    <w:abstractNumId w:val="4"/>
  </w:num>
  <w:num w:numId="10">
    <w:abstractNumId w:val="22"/>
  </w:num>
  <w:num w:numId="11">
    <w:abstractNumId w:val="15"/>
  </w:num>
  <w:num w:numId="12">
    <w:abstractNumId w:val="9"/>
  </w:num>
  <w:num w:numId="13">
    <w:abstractNumId w:val="17"/>
  </w:num>
  <w:num w:numId="14">
    <w:abstractNumId w:val="8"/>
  </w:num>
  <w:num w:numId="15">
    <w:abstractNumId w:val="1"/>
  </w:num>
  <w:num w:numId="16">
    <w:abstractNumId w:val="6"/>
  </w:num>
  <w:num w:numId="17">
    <w:abstractNumId w:val="12"/>
  </w:num>
  <w:num w:numId="18">
    <w:abstractNumId w:val="13"/>
  </w:num>
  <w:num w:numId="19">
    <w:abstractNumId w:val="18"/>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6F"/>
    <w:rsid w:val="0000164A"/>
    <w:rsid w:val="00003120"/>
    <w:rsid w:val="0000372D"/>
    <w:rsid w:val="00003D91"/>
    <w:rsid w:val="0000429C"/>
    <w:rsid w:val="0000438E"/>
    <w:rsid w:val="00004DBE"/>
    <w:rsid w:val="00005382"/>
    <w:rsid w:val="00005C33"/>
    <w:rsid w:val="00005C90"/>
    <w:rsid w:val="00006AB0"/>
    <w:rsid w:val="00014730"/>
    <w:rsid w:val="0001533F"/>
    <w:rsid w:val="00015A4C"/>
    <w:rsid w:val="00015D86"/>
    <w:rsid w:val="00021636"/>
    <w:rsid w:val="00021818"/>
    <w:rsid w:val="000228B9"/>
    <w:rsid w:val="0002320B"/>
    <w:rsid w:val="00023853"/>
    <w:rsid w:val="0002588E"/>
    <w:rsid w:val="000258D6"/>
    <w:rsid w:val="000265B1"/>
    <w:rsid w:val="00026D24"/>
    <w:rsid w:val="00026F1B"/>
    <w:rsid w:val="0003112E"/>
    <w:rsid w:val="00032BBC"/>
    <w:rsid w:val="00033176"/>
    <w:rsid w:val="000333E2"/>
    <w:rsid w:val="0003369C"/>
    <w:rsid w:val="0003377E"/>
    <w:rsid w:val="000341C5"/>
    <w:rsid w:val="00034B0A"/>
    <w:rsid w:val="00036C4F"/>
    <w:rsid w:val="000404F3"/>
    <w:rsid w:val="000407A4"/>
    <w:rsid w:val="00043C8D"/>
    <w:rsid w:val="00044630"/>
    <w:rsid w:val="00044E3A"/>
    <w:rsid w:val="000459E4"/>
    <w:rsid w:val="00046222"/>
    <w:rsid w:val="000462C9"/>
    <w:rsid w:val="00047502"/>
    <w:rsid w:val="0004761B"/>
    <w:rsid w:val="000500BB"/>
    <w:rsid w:val="00050FE9"/>
    <w:rsid w:val="00051DE5"/>
    <w:rsid w:val="00052056"/>
    <w:rsid w:val="00053BB2"/>
    <w:rsid w:val="00055769"/>
    <w:rsid w:val="00055947"/>
    <w:rsid w:val="00056B69"/>
    <w:rsid w:val="00056E1E"/>
    <w:rsid w:val="00060C1B"/>
    <w:rsid w:val="00061F7D"/>
    <w:rsid w:val="0006441C"/>
    <w:rsid w:val="00064A03"/>
    <w:rsid w:val="00064D1D"/>
    <w:rsid w:val="000659E3"/>
    <w:rsid w:val="00066176"/>
    <w:rsid w:val="00067BB2"/>
    <w:rsid w:val="000712A0"/>
    <w:rsid w:val="000718DE"/>
    <w:rsid w:val="000736A5"/>
    <w:rsid w:val="00074804"/>
    <w:rsid w:val="000766E3"/>
    <w:rsid w:val="00077439"/>
    <w:rsid w:val="00077C74"/>
    <w:rsid w:val="000800F3"/>
    <w:rsid w:val="00081376"/>
    <w:rsid w:val="0008140D"/>
    <w:rsid w:val="00081626"/>
    <w:rsid w:val="0008241C"/>
    <w:rsid w:val="000830C5"/>
    <w:rsid w:val="00092F5F"/>
    <w:rsid w:val="000949BE"/>
    <w:rsid w:val="00096578"/>
    <w:rsid w:val="0009768C"/>
    <w:rsid w:val="00097C5B"/>
    <w:rsid w:val="000A0CDD"/>
    <w:rsid w:val="000A0E99"/>
    <w:rsid w:val="000A10B0"/>
    <w:rsid w:val="000A3163"/>
    <w:rsid w:val="000A33E1"/>
    <w:rsid w:val="000A4D0E"/>
    <w:rsid w:val="000A4E28"/>
    <w:rsid w:val="000A5B10"/>
    <w:rsid w:val="000A785F"/>
    <w:rsid w:val="000B007F"/>
    <w:rsid w:val="000B0733"/>
    <w:rsid w:val="000B131C"/>
    <w:rsid w:val="000B1442"/>
    <w:rsid w:val="000B1751"/>
    <w:rsid w:val="000B37FC"/>
    <w:rsid w:val="000B3971"/>
    <w:rsid w:val="000B473B"/>
    <w:rsid w:val="000B4A77"/>
    <w:rsid w:val="000C120C"/>
    <w:rsid w:val="000C245A"/>
    <w:rsid w:val="000C3C85"/>
    <w:rsid w:val="000C4BDA"/>
    <w:rsid w:val="000C4FE9"/>
    <w:rsid w:val="000C54D5"/>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969"/>
    <w:rsid w:val="00122AD6"/>
    <w:rsid w:val="00122DD6"/>
    <w:rsid w:val="001230D8"/>
    <w:rsid w:val="00123106"/>
    <w:rsid w:val="00123BE6"/>
    <w:rsid w:val="00123EE7"/>
    <w:rsid w:val="00124A5C"/>
    <w:rsid w:val="00125655"/>
    <w:rsid w:val="001271BC"/>
    <w:rsid w:val="001318B3"/>
    <w:rsid w:val="00131C8E"/>
    <w:rsid w:val="001320B9"/>
    <w:rsid w:val="00132366"/>
    <w:rsid w:val="00133150"/>
    <w:rsid w:val="00133159"/>
    <w:rsid w:val="001333B5"/>
    <w:rsid w:val="00135D57"/>
    <w:rsid w:val="0013720F"/>
    <w:rsid w:val="0013734B"/>
    <w:rsid w:val="001376B1"/>
    <w:rsid w:val="001407E1"/>
    <w:rsid w:val="001412FC"/>
    <w:rsid w:val="0014219F"/>
    <w:rsid w:val="001429F0"/>
    <w:rsid w:val="00144693"/>
    <w:rsid w:val="00144B6F"/>
    <w:rsid w:val="00146D0B"/>
    <w:rsid w:val="0014762F"/>
    <w:rsid w:val="0015018D"/>
    <w:rsid w:val="00152426"/>
    <w:rsid w:val="001557B6"/>
    <w:rsid w:val="001561DE"/>
    <w:rsid w:val="00164048"/>
    <w:rsid w:val="0016581F"/>
    <w:rsid w:val="00166CD7"/>
    <w:rsid w:val="0017090A"/>
    <w:rsid w:val="00171A22"/>
    <w:rsid w:val="00171B84"/>
    <w:rsid w:val="00173AD4"/>
    <w:rsid w:val="00174FFF"/>
    <w:rsid w:val="001750B2"/>
    <w:rsid w:val="001750BE"/>
    <w:rsid w:val="001828BF"/>
    <w:rsid w:val="00182966"/>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32F2"/>
    <w:rsid w:val="001A4786"/>
    <w:rsid w:val="001A62E6"/>
    <w:rsid w:val="001A6592"/>
    <w:rsid w:val="001A7528"/>
    <w:rsid w:val="001A7734"/>
    <w:rsid w:val="001B02D3"/>
    <w:rsid w:val="001B056D"/>
    <w:rsid w:val="001B0EA0"/>
    <w:rsid w:val="001B24DE"/>
    <w:rsid w:val="001B5690"/>
    <w:rsid w:val="001B5FF6"/>
    <w:rsid w:val="001B6223"/>
    <w:rsid w:val="001B7071"/>
    <w:rsid w:val="001B7166"/>
    <w:rsid w:val="001C10A0"/>
    <w:rsid w:val="001C1B21"/>
    <w:rsid w:val="001C2013"/>
    <w:rsid w:val="001C6849"/>
    <w:rsid w:val="001C7C62"/>
    <w:rsid w:val="001D0062"/>
    <w:rsid w:val="001D0575"/>
    <w:rsid w:val="001D0581"/>
    <w:rsid w:val="001D0CA2"/>
    <w:rsid w:val="001D0FAF"/>
    <w:rsid w:val="001D1298"/>
    <w:rsid w:val="001D2D53"/>
    <w:rsid w:val="001D48FA"/>
    <w:rsid w:val="001D4E25"/>
    <w:rsid w:val="001D528C"/>
    <w:rsid w:val="001D63DE"/>
    <w:rsid w:val="001E01D8"/>
    <w:rsid w:val="001E2D52"/>
    <w:rsid w:val="001E3A06"/>
    <w:rsid w:val="001E475D"/>
    <w:rsid w:val="001E6C19"/>
    <w:rsid w:val="001E6F32"/>
    <w:rsid w:val="001E7492"/>
    <w:rsid w:val="001E78E2"/>
    <w:rsid w:val="001E7C34"/>
    <w:rsid w:val="001F08BF"/>
    <w:rsid w:val="001F1402"/>
    <w:rsid w:val="001F24BE"/>
    <w:rsid w:val="001F2FC9"/>
    <w:rsid w:val="001F44B1"/>
    <w:rsid w:val="001F4D71"/>
    <w:rsid w:val="001F539D"/>
    <w:rsid w:val="001F5412"/>
    <w:rsid w:val="001F55F6"/>
    <w:rsid w:val="001F6A82"/>
    <w:rsid w:val="001F6A9D"/>
    <w:rsid w:val="001F74CC"/>
    <w:rsid w:val="001F7658"/>
    <w:rsid w:val="001F7C98"/>
    <w:rsid w:val="00201FEA"/>
    <w:rsid w:val="00202532"/>
    <w:rsid w:val="00203947"/>
    <w:rsid w:val="002047C8"/>
    <w:rsid w:val="00204A3A"/>
    <w:rsid w:val="00204AB3"/>
    <w:rsid w:val="00204EF4"/>
    <w:rsid w:val="0020519A"/>
    <w:rsid w:val="00205EEB"/>
    <w:rsid w:val="00205F2D"/>
    <w:rsid w:val="00206130"/>
    <w:rsid w:val="0021058C"/>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54FE"/>
    <w:rsid w:val="00296C0F"/>
    <w:rsid w:val="0029758D"/>
    <w:rsid w:val="002A5501"/>
    <w:rsid w:val="002A55D0"/>
    <w:rsid w:val="002A5689"/>
    <w:rsid w:val="002A5966"/>
    <w:rsid w:val="002A7176"/>
    <w:rsid w:val="002A7383"/>
    <w:rsid w:val="002A7A7E"/>
    <w:rsid w:val="002B1F9B"/>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4684"/>
    <w:rsid w:val="002E05AC"/>
    <w:rsid w:val="002E1081"/>
    <w:rsid w:val="002E2D1B"/>
    <w:rsid w:val="002E33DF"/>
    <w:rsid w:val="002E70CB"/>
    <w:rsid w:val="002F0133"/>
    <w:rsid w:val="002F0C79"/>
    <w:rsid w:val="002F289D"/>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2A1C"/>
    <w:rsid w:val="00324B33"/>
    <w:rsid w:val="00324EF5"/>
    <w:rsid w:val="003258EC"/>
    <w:rsid w:val="003260CD"/>
    <w:rsid w:val="00326964"/>
    <w:rsid w:val="00330E6E"/>
    <w:rsid w:val="0033156B"/>
    <w:rsid w:val="00331A27"/>
    <w:rsid w:val="00332C37"/>
    <w:rsid w:val="00332E96"/>
    <w:rsid w:val="00332EE8"/>
    <w:rsid w:val="00333638"/>
    <w:rsid w:val="003342AC"/>
    <w:rsid w:val="00336542"/>
    <w:rsid w:val="00336B27"/>
    <w:rsid w:val="0033759B"/>
    <w:rsid w:val="00337652"/>
    <w:rsid w:val="00337B75"/>
    <w:rsid w:val="00341DD9"/>
    <w:rsid w:val="00343040"/>
    <w:rsid w:val="003440AC"/>
    <w:rsid w:val="00344219"/>
    <w:rsid w:val="00344AD2"/>
    <w:rsid w:val="00346E06"/>
    <w:rsid w:val="003473FF"/>
    <w:rsid w:val="0034753D"/>
    <w:rsid w:val="00347FAC"/>
    <w:rsid w:val="00350058"/>
    <w:rsid w:val="00350D93"/>
    <w:rsid w:val="00350ED0"/>
    <w:rsid w:val="0035104C"/>
    <w:rsid w:val="00353676"/>
    <w:rsid w:val="00356CD0"/>
    <w:rsid w:val="00357590"/>
    <w:rsid w:val="0036162C"/>
    <w:rsid w:val="003618CE"/>
    <w:rsid w:val="00361A11"/>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11D0"/>
    <w:rsid w:val="003B3778"/>
    <w:rsid w:val="003B48FC"/>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1CD"/>
    <w:rsid w:val="003D0875"/>
    <w:rsid w:val="003D18FD"/>
    <w:rsid w:val="003D1AD3"/>
    <w:rsid w:val="003D2668"/>
    <w:rsid w:val="003D38F4"/>
    <w:rsid w:val="003D62E7"/>
    <w:rsid w:val="003D6480"/>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273C5"/>
    <w:rsid w:val="00430325"/>
    <w:rsid w:val="004306E0"/>
    <w:rsid w:val="004306F0"/>
    <w:rsid w:val="00431EFF"/>
    <w:rsid w:val="00432FD7"/>
    <w:rsid w:val="00433536"/>
    <w:rsid w:val="00433EF4"/>
    <w:rsid w:val="00434D1A"/>
    <w:rsid w:val="00435AFF"/>
    <w:rsid w:val="00435F1A"/>
    <w:rsid w:val="00440608"/>
    <w:rsid w:val="0044125B"/>
    <w:rsid w:val="00443183"/>
    <w:rsid w:val="004437BF"/>
    <w:rsid w:val="00443C8B"/>
    <w:rsid w:val="00443DA6"/>
    <w:rsid w:val="00444467"/>
    <w:rsid w:val="00444858"/>
    <w:rsid w:val="00444B8F"/>
    <w:rsid w:val="00444D39"/>
    <w:rsid w:val="00446021"/>
    <w:rsid w:val="00446286"/>
    <w:rsid w:val="00446475"/>
    <w:rsid w:val="00446685"/>
    <w:rsid w:val="00446EDE"/>
    <w:rsid w:val="00450132"/>
    <w:rsid w:val="0045039B"/>
    <w:rsid w:val="00452216"/>
    <w:rsid w:val="00452C4F"/>
    <w:rsid w:val="0045491E"/>
    <w:rsid w:val="00455B3B"/>
    <w:rsid w:val="00457CC4"/>
    <w:rsid w:val="00457E0E"/>
    <w:rsid w:val="00460346"/>
    <w:rsid w:val="00460504"/>
    <w:rsid w:val="00461099"/>
    <w:rsid w:val="00461134"/>
    <w:rsid w:val="00463351"/>
    <w:rsid w:val="00463A3B"/>
    <w:rsid w:val="00464698"/>
    <w:rsid w:val="004655A0"/>
    <w:rsid w:val="0046605D"/>
    <w:rsid w:val="004660FA"/>
    <w:rsid w:val="00466D13"/>
    <w:rsid w:val="00467044"/>
    <w:rsid w:val="004677D8"/>
    <w:rsid w:val="00470EC8"/>
    <w:rsid w:val="004710FE"/>
    <w:rsid w:val="00471B6D"/>
    <w:rsid w:val="00472445"/>
    <w:rsid w:val="0047371D"/>
    <w:rsid w:val="00473B6F"/>
    <w:rsid w:val="004745CE"/>
    <w:rsid w:val="00476E81"/>
    <w:rsid w:val="004776FD"/>
    <w:rsid w:val="00480A9E"/>
    <w:rsid w:val="00483FCE"/>
    <w:rsid w:val="0048515E"/>
    <w:rsid w:val="004851E8"/>
    <w:rsid w:val="00490A3B"/>
    <w:rsid w:val="00493CDF"/>
    <w:rsid w:val="0049477A"/>
    <w:rsid w:val="00495DE9"/>
    <w:rsid w:val="004A092D"/>
    <w:rsid w:val="004A0B5E"/>
    <w:rsid w:val="004A2365"/>
    <w:rsid w:val="004A35E1"/>
    <w:rsid w:val="004A3FB1"/>
    <w:rsid w:val="004A5770"/>
    <w:rsid w:val="004A5C69"/>
    <w:rsid w:val="004A5DA3"/>
    <w:rsid w:val="004B034B"/>
    <w:rsid w:val="004B5C50"/>
    <w:rsid w:val="004B69BE"/>
    <w:rsid w:val="004B779E"/>
    <w:rsid w:val="004B7AC2"/>
    <w:rsid w:val="004B7BE5"/>
    <w:rsid w:val="004C0D2B"/>
    <w:rsid w:val="004C41D5"/>
    <w:rsid w:val="004C4FF0"/>
    <w:rsid w:val="004C5266"/>
    <w:rsid w:val="004C7EAB"/>
    <w:rsid w:val="004D0501"/>
    <w:rsid w:val="004D2462"/>
    <w:rsid w:val="004D2CDC"/>
    <w:rsid w:val="004D2E61"/>
    <w:rsid w:val="004D47AB"/>
    <w:rsid w:val="004D52A5"/>
    <w:rsid w:val="004E0AA8"/>
    <w:rsid w:val="004E0DD0"/>
    <w:rsid w:val="004E176C"/>
    <w:rsid w:val="004E17BD"/>
    <w:rsid w:val="004E1D06"/>
    <w:rsid w:val="004E2729"/>
    <w:rsid w:val="004E2F4F"/>
    <w:rsid w:val="004E3C55"/>
    <w:rsid w:val="004E54DB"/>
    <w:rsid w:val="004E562F"/>
    <w:rsid w:val="004E7964"/>
    <w:rsid w:val="004F08BC"/>
    <w:rsid w:val="004F492E"/>
    <w:rsid w:val="004F4D62"/>
    <w:rsid w:val="004F6478"/>
    <w:rsid w:val="0050165C"/>
    <w:rsid w:val="005019DC"/>
    <w:rsid w:val="005029C7"/>
    <w:rsid w:val="0050321F"/>
    <w:rsid w:val="005042F1"/>
    <w:rsid w:val="00504D05"/>
    <w:rsid w:val="00504E09"/>
    <w:rsid w:val="00505220"/>
    <w:rsid w:val="00505FAB"/>
    <w:rsid w:val="00510E91"/>
    <w:rsid w:val="0051132D"/>
    <w:rsid w:val="0051309D"/>
    <w:rsid w:val="00514155"/>
    <w:rsid w:val="0051436B"/>
    <w:rsid w:val="00514EA8"/>
    <w:rsid w:val="005153F1"/>
    <w:rsid w:val="005156D6"/>
    <w:rsid w:val="00515FE3"/>
    <w:rsid w:val="00517009"/>
    <w:rsid w:val="00517225"/>
    <w:rsid w:val="0052172B"/>
    <w:rsid w:val="00521C4C"/>
    <w:rsid w:val="00522043"/>
    <w:rsid w:val="005234E8"/>
    <w:rsid w:val="00524DC6"/>
    <w:rsid w:val="00525544"/>
    <w:rsid w:val="00525585"/>
    <w:rsid w:val="00527243"/>
    <w:rsid w:val="00527688"/>
    <w:rsid w:val="00527A02"/>
    <w:rsid w:val="00535965"/>
    <w:rsid w:val="005369AC"/>
    <w:rsid w:val="00536A54"/>
    <w:rsid w:val="005426F9"/>
    <w:rsid w:val="0054334E"/>
    <w:rsid w:val="00543A02"/>
    <w:rsid w:val="00544A66"/>
    <w:rsid w:val="0054607B"/>
    <w:rsid w:val="0055049C"/>
    <w:rsid w:val="005531D0"/>
    <w:rsid w:val="00555623"/>
    <w:rsid w:val="0055580C"/>
    <w:rsid w:val="00556308"/>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5BF2"/>
    <w:rsid w:val="00586D3C"/>
    <w:rsid w:val="00587E99"/>
    <w:rsid w:val="0059075F"/>
    <w:rsid w:val="00591429"/>
    <w:rsid w:val="00592ABD"/>
    <w:rsid w:val="00594128"/>
    <w:rsid w:val="005945D9"/>
    <w:rsid w:val="005967ED"/>
    <w:rsid w:val="0059787C"/>
    <w:rsid w:val="005979E5"/>
    <w:rsid w:val="00597C22"/>
    <w:rsid w:val="005A0B94"/>
    <w:rsid w:val="005A1505"/>
    <w:rsid w:val="005A22C2"/>
    <w:rsid w:val="005A3C67"/>
    <w:rsid w:val="005A3F7F"/>
    <w:rsid w:val="005A681B"/>
    <w:rsid w:val="005A7737"/>
    <w:rsid w:val="005A7A37"/>
    <w:rsid w:val="005B02A4"/>
    <w:rsid w:val="005B0F0C"/>
    <w:rsid w:val="005B3AE3"/>
    <w:rsid w:val="005B43F2"/>
    <w:rsid w:val="005B6870"/>
    <w:rsid w:val="005C0796"/>
    <w:rsid w:val="005C1B5A"/>
    <w:rsid w:val="005C1DDF"/>
    <w:rsid w:val="005C1FBA"/>
    <w:rsid w:val="005C29A4"/>
    <w:rsid w:val="005C48BB"/>
    <w:rsid w:val="005C621C"/>
    <w:rsid w:val="005C67D3"/>
    <w:rsid w:val="005C75C9"/>
    <w:rsid w:val="005C7B33"/>
    <w:rsid w:val="005D13FF"/>
    <w:rsid w:val="005D1497"/>
    <w:rsid w:val="005D200F"/>
    <w:rsid w:val="005D2443"/>
    <w:rsid w:val="005D2A98"/>
    <w:rsid w:val="005D2B4F"/>
    <w:rsid w:val="005D3F70"/>
    <w:rsid w:val="005D5F99"/>
    <w:rsid w:val="005E02F2"/>
    <w:rsid w:val="005E2BB3"/>
    <w:rsid w:val="005E311E"/>
    <w:rsid w:val="005E3EEE"/>
    <w:rsid w:val="005E687D"/>
    <w:rsid w:val="005E7D1F"/>
    <w:rsid w:val="005F02BC"/>
    <w:rsid w:val="005F2E40"/>
    <w:rsid w:val="005F3052"/>
    <w:rsid w:val="005F314D"/>
    <w:rsid w:val="005F3E34"/>
    <w:rsid w:val="005F4CCF"/>
    <w:rsid w:val="00600D59"/>
    <w:rsid w:val="00601DEC"/>
    <w:rsid w:val="006030AB"/>
    <w:rsid w:val="006031C0"/>
    <w:rsid w:val="006033BD"/>
    <w:rsid w:val="006036CF"/>
    <w:rsid w:val="0060757B"/>
    <w:rsid w:val="00610965"/>
    <w:rsid w:val="006110A3"/>
    <w:rsid w:val="00611E4D"/>
    <w:rsid w:val="0061289A"/>
    <w:rsid w:val="00612A6D"/>
    <w:rsid w:val="006134C6"/>
    <w:rsid w:val="00613F92"/>
    <w:rsid w:val="0061493B"/>
    <w:rsid w:val="00615621"/>
    <w:rsid w:val="00616559"/>
    <w:rsid w:val="006167F1"/>
    <w:rsid w:val="006178C2"/>
    <w:rsid w:val="00617DAC"/>
    <w:rsid w:val="00620040"/>
    <w:rsid w:val="00623209"/>
    <w:rsid w:val="00626D3E"/>
    <w:rsid w:val="00627CF1"/>
    <w:rsid w:val="006301CC"/>
    <w:rsid w:val="0063147B"/>
    <w:rsid w:val="00631E2E"/>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47A7"/>
    <w:rsid w:val="0068488C"/>
    <w:rsid w:val="0068516D"/>
    <w:rsid w:val="006855FF"/>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1D8D"/>
    <w:rsid w:val="006D20CB"/>
    <w:rsid w:val="006D3F8E"/>
    <w:rsid w:val="006D47A2"/>
    <w:rsid w:val="006D643C"/>
    <w:rsid w:val="006D75B6"/>
    <w:rsid w:val="006D7722"/>
    <w:rsid w:val="006E0577"/>
    <w:rsid w:val="006E0D0C"/>
    <w:rsid w:val="006E13BB"/>
    <w:rsid w:val="006E23E2"/>
    <w:rsid w:val="006E2989"/>
    <w:rsid w:val="006E3BB3"/>
    <w:rsid w:val="006E3D13"/>
    <w:rsid w:val="006E572C"/>
    <w:rsid w:val="006E5739"/>
    <w:rsid w:val="006E6005"/>
    <w:rsid w:val="006E65DB"/>
    <w:rsid w:val="006E74EE"/>
    <w:rsid w:val="006E7E88"/>
    <w:rsid w:val="006F1707"/>
    <w:rsid w:val="006F2639"/>
    <w:rsid w:val="006F488D"/>
    <w:rsid w:val="006F5559"/>
    <w:rsid w:val="006F5776"/>
    <w:rsid w:val="006F7606"/>
    <w:rsid w:val="007016A8"/>
    <w:rsid w:val="007029F9"/>
    <w:rsid w:val="00703C97"/>
    <w:rsid w:val="0070548D"/>
    <w:rsid w:val="00711C0B"/>
    <w:rsid w:val="00712B79"/>
    <w:rsid w:val="007150F3"/>
    <w:rsid w:val="007159BD"/>
    <w:rsid w:val="00716A50"/>
    <w:rsid w:val="007200A7"/>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1B3B"/>
    <w:rsid w:val="00762D07"/>
    <w:rsid w:val="007633AA"/>
    <w:rsid w:val="0076369B"/>
    <w:rsid w:val="00763862"/>
    <w:rsid w:val="007652CA"/>
    <w:rsid w:val="0076587C"/>
    <w:rsid w:val="007668AA"/>
    <w:rsid w:val="00772A93"/>
    <w:rsid w:val="00772B15"/>
    <w:rsid w:val="00773A4B"/>
    <w:rsid w:val="00773D40"/>
    <w:rsid w:val="0077476B"/>
    <w:rsid w:val="00777008"/>
    <w:rsid w:val="007770F4"/>
    <w:rsid w:val="007821F5"/>
    <w:rsid w:val="007825C2"/>
    <w:rsid w:val="00783C78"/>
    <w:rsid w:val="00790A5C"/>
    <w:rsid w:val="0079242E"/>
    <w:rsid w:val="00792AFB"/>
    <w:rsid w:val="00793184"/>
    <w:rsid w:val="0079474C"/>
    <w:rsid w:val="00794756"/>
    <w:rsid w:val="00796E03"/>
    <w:rsid w:val="00797A88"/>
    <w:rsid w:val="00797B8E"/>
    <w:rsid w:val="007A03EB"/>
    <w:rsid w:val="007A31E3"/>
    <w:rsid w:val="007A4EE3"/>
    <w:rsid w:val="007A6C1D"/>
    <w:rsid w:val="007A7647"/>
    <w:rsid w:val="007B0630"/>
    <w:rsid w:val="007B0B1F"/>
    <w:rsid w:val="007B11DC"/>
    <w:rsid w:val="007B398F"/>
    <w:rsid w:val="007B42A9"/>
    <w:rsid w:val="007B4D1D"/>
    <w:rsid w:val="007B75BB"/>
    <w:rsid w:val="007B7A3F"/>
    <w:rsid w:val="007C013D"/>
    <w:rsid w:val="007C0930"/>
    <w:rsid w:val="007C4BCB"/>
    <w:rsid w:val="007C54E0"/>
    <w:rsid w:val="007C58B3"/>
    <w:rsid w:val="007C6148"/>
    <w:rsid w:val="007C63D4"/>
    <w:rsid w:val="007C7492"/>
    <w:rsid w:val="007D1804"/>
    <w:rsid w:val="007D2118"/>
    <w:rsid w:val="007D323F"/>
    <w:rsid w:val="007D3E6A"/>
    <w:rsid w:val="007D4FF8"/>
    <w:rsid w:val="007D521A"/>
    <w:rsid w:val="007D55E6"/>
    <w:rsid w:val="007D5891"/>
    <w:rsid w:val="007D6057"/>
    <w:rsid w:val="007D6B20"/>
    <w:rsid w:val="007D6B6C"/>
    <w:rsid w:val="007E03F8"/>
    <w:rsid w:val="007E069F"/>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B3A"/>
    <w:rsid w:val="00837F64"/>
    <w:rsid w:val="00840120"/>
    <w:rsid w:val="00840E7A"/>
    <w:rsid w:val="00841677"/>
    <w:rsid w:val="00841B58"/>
    <w:rsid w:val="00843F60"/>
    <w:rsid w:val="008445B7"/>
    <w:rsid w:val="00844608"/>
    <w:rsid w:val="0084464F"/>
    <w:rsid w:val="0084497F"/>
    <w:rsid w:val="008456A0"/>
    <w:rsid w:val="00846D0C"/>
    <w:rsid w:val="00850A78"/>
    <w:rsid w:val="00850DC9"/>
    <w:rsid w:val="00851A51"/>
    <w:rsid w:val="00851AE8"/>
    <w:rsid w:val="00852DD4"/>
    <w:rsid w:val="0085308E"/>
    <w:rsid w:val="00854214"/>
    <w:rsid w:val="00854EDA"/>
    <w:rsid w:val="00855015"/>
    <w:rsid w:val="00856457"/>
    <w:rsid w:val="008621AA"/>
    <w:rsid w:val="0086246F"/>
    <w:rsid w:val="00863399"/>
    <w:rsid w:val="008635B3"/>
    <w:rsid w:val="00863FAA"/>
    <w:rsid w:val="00864BFF"/>
    <w:rsid w:val="00866345"/>
    <w:rsid w:val="008676C0"/>
    <w:rsid w:val="00867B26"/>
    <w:rsid w:val="00867DD1"/>
    <w:rsid w:val="0087049C"/>
    <w:rsid w:val="008707AD"/>
    <w:rsid w:val="00870E84"/>
    <w:rsid w:val="008724B6"/>
    <w:rsid w:val="00873FB2"/>
    <w:rsid w:val="00874348"/>
    <w:rsid w:val="00874C21"/>
    <w:rsid w:val="00875B26"/>
    <w:rsid w:val="00876309"/>
    <w:rsid w:val="008769B4"/>
    <w:rsid w:val="00877909"/>
    <w:rsid w:val="00877BE5"/>
    <w:rsid w:val="008800DD"/>
    <w:rsid w:val="008806A3"/>
    <w:rsid w:val="0088281B"/>
    <w:rsid w:val="008832DE"/>
    <w:rsid w:val="00884870"/>
    <w:rsid w:val="00884E04"/>
    <w:rsid w:val="008855B8"/>
    <w:rsid w:val="00886F77"/>
    <w:rsid w:val="008900B2"/>
    <w:rsid w:val="00890152"/>
    <w:rsid w:val="00890527"/>
    <w:rsid w:val="008907DE"/>
    <w:rsid w:val="00892E90"/>
    <w:rsid w:val="00892F1B"/>
    <w:rsid w:val="00893162"/>
    <w:rsid w:val="00895C0C"/>
    <w:rsid w:val="0089765D"/>
    <w:rsid w:val="00897D2C"/>
    <w:rsid w:val="008A035F"/>
    <w:rsid w:val="008A27EE"/>
    <w:rsid w:val="008A2BDC"/>
    <w:rsid w:val="008A4DEF"/>
    <w:rsid w:val="008A5DE9"/>
    <w:rsid w:val="008A7767"/>
    <w:rsid w:val="008B1254"/>
    <w:rsid w:val="008B1303"/>
    <w:rsid w:val="008B1583"/>
    <w:rsid w:val="008B172E"/>
    <w:rsid w:val="008B1989"/>
    <w:rsid w:val="008B36F1"/>
    <w:rsid w:val="008B3C47"/>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1831"/>
    <w:rsid w:val="008E2A81"/>
    <w:rsid w:val="008E438D"/>
    <w:rsid w:val="008E44C0"/>
    <w:rsid w:val="008E4D95"/>
    <w:rsid w:val="008E4F51"/>
    <w:rsid w:val="008E58C5"/>
    <w:rsid w:val="008E6A34"/>
    <w:rsid w:val="008F08E9"/>
    <w:rsid w:val="008F3B33"/>
    <w:rsid w:val="008F56E8"/>
    <w:rsid w:val="008F5A54"/>
    <w:rsid w:val="008F5B60"/>
    <w:rsid w:val="009013E2"/>
    <w:rsid w:val="00901D23"/>
    <w:rsid w:val="009027C3"/>
    <w:rsid w:val="00902927"/>
    <w:rsid w:val="00902E85"/>
    <w:rsid w:val="00903C71"/>
    <w:rsid w:val="00904208"/>
    <w:rsid w:val="0090490F"/>
    <w:rsid w:val="009070BA"/>
    <w:rsid w:val="0091032F"/>
    <w:rsid w:val="00911336"/>
    <w:rsid w:val="00911B1C"/>
    <w:rsid w:val="00911F90"/>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0598"/>
    <w:rsid w:val="0093284F"/>
    <w:rsid w:val="009332EF"/>
    <w:rsid w:val="009346E8"/>
    <w:rsid w:val="009347A6"/>
    <w:rsid w:val="00935CA2"/>
    <w:rsid w:val="00935DFC"/>
    <w:rsid w:val="00940DF9"/>
    <w:rsid w:val="00940EE7"/>
    <w:rsid w:val="0094156E"/>
    <w:rsid w:val="00941C44"/>
    <w:rsid w:val="0094279F"/>
    <w:rsid w:val="0094511E"/>
    <w:rsid w:val="00945BDE"/>
    <w:rsid w:val="0094614C"/>
    <w:rsid w:val="0094702A"/>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3AC0"/>
    <w:rsid w:val="00963EFE"/>
    <w:rsid w:val="00964E1A"/>
    <w:rsid w:val="00965F7F"/>
    <w:rsid w:val="0096606E"/>
    <w:rsid w:val="00966109"/>
    <w:rsid w:val="00966350"/>
    <w:rsid w:val="00967E46"/>
    <w:rsid w:val="00970A81"/>
    <w:rsid w:val="00970F6B"/>
    <w:rsid w:val="00971086"/>
    <w:rsid w:val="00971B7E"/>
    <w:rsid w:val="00971D96"/>
    <w:rsid w:val="00972761"/>
    <w:rsid w:val="009731A5"/>
    <w:rsid w:val="00976791"/>
    <w:rsid w:val="009773E5"/>
    <w:rsid w:val="009842E7"/>
    <w:rsid w:val="009845FC"/>
    <w:rsid w:val="00984B01"/>
    <w:rsid w:val="00986624"/>
    <w:rsid w:val="00987445"/>
    <w:rsid w:val="00990840"/>
    <w:rsid w:val="00991983"/>
    <w:rsid w:val="0099293E"/>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D6597"/>
    <w:rsid w:val="009D7641"/>
    <w:rsid w:val="009E0404"/>
    <w:rsid w:val="009E0AC1"/>
    <w:rsid w:val="009E0FA1"/>
    <w:rsid w:val="009E2F02"/>
    <w:rsid w:val="009E36B2"/>
    <w:rsid w:val="009E568C"/>
    <w:rsid w:val="009F0507"/>
    <w:rsid w:val="009F1024"/>
    <w:rsid w:val="009F3118"/>
    <w:rsid w:val="009F381F"/>
    <w:rsid w:val="009F3C2D"/>
    <w:rsid w:val="009F5831"/>
    <w:rsid w:val="009F6767"/>
    <w:rsid w:val="00A00DD3"/>
    <w:rsid w:val="00A02FAB"/>
    <w:rsid w:val="00A03325"/>
    <w:rsid w:val="00A034C2"/>
    <w:rsid w:val="00A0462D"/>
    <w:rsid w:val="00A046C0"/>
    <w:rsid w:val="00A0591E"/>
    <w:rsid w:val="00A05C5F"/>
    <w:rsid w:val="00A06141"/>
    <w:rsid w:val="00A0773A"/>
    <w:rsid w:val="00A07968"/>
    <w:rsid w:val="00A10AC0"/>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60E1"/>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21A"/>
    <w:rsid w:val="00A675DB"/>
    <w:rsid w:val="00A7122C"/>
    <w:rsid w:val="00A72B64"/>
    <w:rsid w:val="00A7362A"/>
    <w:rsid w:val="00A73EB1"/>
    <w:rsid w:val="00A74522"/>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063"/>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92F"/>
    <w:rsid w:val="00AC4AEB"/>
    <w:rsid w:val="00AC54C7"/>
    <w:rsid w:val="00AC5618"/>
    <w:rsid w:val="00AC5884"/>
    <w:rsid w:val="00AC5D34"/>
    <w:rsid w:val="00AD0134"/>
    <w:rsid w:val="00AD023C"/>
    <w:rsid w:val="00AD07B5"/>
    <w:rsid w:val="00AD0D80"/>
    <w:rsid w:val="00AD1B68"/>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6C8E"/>
    <w:rsid w:val="00B07DB2"/>
    <w:rsid w:val="00B07EF1"/>
    <w:rsid w:val="00B10050"/>
    <w:rsid w:val="00B103DC"/>
    <w:rsid w:val="00B10925"/>
    <w:rsid w:val="00B10FD6"/>
    <w:rsid w:val="00B1139D"/>
    <w:rsid w:val="00B13182"/>
    <w:rsid w:val="00B1351F"/>
    <w:rsid w:val="00B13E55"/>
    <w:rsid w:val="00B159EF"/>
    <w:rsid w:val="00B15BB9"/>
    <w:rsid w:val="00B160D7"/>
    <w:rsid w:val="00B1687F"/>
    <w:rsid w:val="00B175AC"/>
    <w:rsid w:val="00B17F36"/>
    <w:rsid w:val="00B20733"/>
    <w:rsid w:val="00B225A4"/>
    <w:rsid w:val="00B22F40"/>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3B0"/>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55E1"/>
    <w:rsid w:val="00B65929"/>
    <w:rsid w:val="00B66661"/>
    <w:rsid w:val="00B675CD"/>
    <w:rsid w:val="00B677C1"/>
    <w:rsid w:val="00B71B7C"/>
    <w:rsid w:val="00B71C54"/>
    <w:rsid w:val="00B72866"/>
    <w:rsid w:val="00B72945"/>
    <w:rsid w:val="00B73922"/>
    <w:rsid w:val="00B74E49"/>
    <w:rsid w:val="00B773DE"/>
    <w:rsid w:val="00B77993"/>
    <w:rsid w:val="00B814AA"/>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5EF9"/>
    <w:rsid w:val="00BF6051"/>
    <w:rsid w:val="00BF6C62"/>
    <w:rsid w:val="00BF7918"/>
    <w:rsid w:val="00BF7C66"/>
    <w:rsid w:val="00C0351A"/>
    <w:rsid w:val="00C040A6"/>
    <w:rsid w:val="00C050A6"/>
    <w:rsid w:val="00C0692E"/>
    <w:rsid w:val="00C076E2"/>
    <w:rsid w:val="00C077A0"/>
    <w:rsid w:val="00C102DA"/>
    <w:rsid w:val="00C109D2"/>
    <w:rsid w:val="00C10D25"/>
    <w:rsid w:val="00C1117D"/>
    <w:rsid w:val="00C114BA"/>
    <w:rsid w:val="00C12115"/>
    <w:rsid w:val="00C12777"/>
    <w:rsid w:val="00C1356F"/>
    <w:rsid w:val="00C142C3"/>
    <w:rsid w:val="00C1692E"/>
    <w:rsid w:val="00C17BA2"/>
    <w:rsid w:val="00C20077"/>
    <w:rsid w:val="00C20212"/>
    <w:rsid w:val="00C21101"/>
    <w:rsid w:val="00C220EF"/>
    <w:rsid w:val="00C24095"/>
    <w:rsid w:val="00C275A6"/>
    <w:rsid w:val="00C31497"/>
    <w:rsid w:val="00C31C1D"/>
    <w:rsid w:val="00C325BA"/>
    <w:rsid w:val="00C36967"/>
    <w:rsid w:val="00C373E7"/>
    <w:rsid w:val="00C4072F"/>
    <w:rsid w:val="00C40BBD"/>
    <w:rsid w:val="00C4140E"/>
    <w:rsid w:val="00C4142A"/>
    <w:rsid w:val="00C42734"/>
    <w:rsid w:val="00C42EC7"/>
    <w:rsid w:val="00C523E5"/>
    <w:rsid w:val="00C52C4D"/>
    <w:rsid w:val="00C52EB8"/>
    <w:rsid w:val="00C54F13"/>
    <w:rsid w:val="00C55289"/>
    <w:rsid w:val="00C565D4"/>
    <w:rsid w:val="00C5770E"/>
    <w:rsid w:val="00C61777"/>
    <w:rsid w:val="00C62C13"/>
    <w:rsid w:val="00C64518"/>
    <w:rsid w:val="00C650CC"/>
    <w:rsid w:val="00C650FC"/>
    <w:rsid w:val="00C658E6"/>
    <w:rsid w:val="00C661E2"/>
    <w:rsid w:val="00C6640E"/>
    <w:rsid w:val="00C66945"/>
    <w:rsid w:val="00C67784"/>
    <w:rsid w:val="00C67D82"/>
    <w:rsid w:val="00C7163C"/>
    <w:rsid w:val="00C72021"/>
    <w:rsid w:val="00C73E98"/>
    <w:rsid w:val="00C74442"/>
    <w:rsid w:val="00C76C83"/>
    <w:rsid w:val="00C77C5C"/>
    <w:rsid w:val="00C808D9"/>
    <w:rsid w:val="00C81779"/>
    <w:rsid w:val="00C82348"/>
    <w:rsid w:val="00C844BD"/>
    <w:rsid w:val="00C865C1"/>
    <w:rsid w:val="00C86914"/>
    <w:rsid w:val="00C87CFC"/>
    <w:rsid w:val="00C87F29"/>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21C"/>
    <w:rsid w:val="00CC2C04"/>
    <w:rsid w:val="00CC2D84"/>
    <w:rsid w:val="00CC4B53"/>
    <w:rsid w:val="00CC4E0C"/>
    <w:rsid w:val="00CC5636"/>
    <w:rsid w:val="00CC6843"/>
    <w:rsid w:val="00CC725E"/>
    <w:rsid w:val="00CD089A"/>
    <w:rsid w:val="00CD0C0F"/>
    <w:rsid w:val="00CD0F1E"/>
    <w:rsid w:val="00CD1E42"/>
    <w:rsid w:val="00CD2FB6"/>
    <w:rsid w:val="00CD3F57"/>
    <w:rsid w:val="00CD455A"/>
    <w:rsid w:val="00CD521D"/>
    <w:rsid w:val="00CD5748"/>
    <w:rsid w:val="00CD5957"/>
    <w:rsid w:val="00CD5FA2"/>
    <w:rsid w:val="00CD6515"/>
    <w:rsid w:val="00CD6E80"/>
    <w:rsid w:val="00CD7DDB"/>
    <w:rsid w:val="00CE0FF7"/>
    <w:rsid w:val="00CE10E4"/>
    <w:rsid w:val="00CE16C7"/>
    <w:rsid w:val="00CE2BA4"/>
    <w:rsid w:val="00CE32DC"/>
    <w:rsid w:val="00CE5271"/>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2F0A"/>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2FA1"/>
    <w:rsid w:val="00D64F39"/>
    <w:rsid w:val="00D66B2D"/>
    <w:rsid w:val="00D6743B"/>
    <w:rsid w:val="00D70945"/>
    <w:rsid w:val="00D7150F"/>
    <w:rsid w:val="00D71E58"/>
    <w:rsid w:val="00D71F78"/>
    <w:rsid w:val="00D72FA2"/>
    <w:rsid w:val="00D73AE5"/>
    <w:rsid w:val="00D74498"/>
    <w:rsid w:val="00D7502B"/>
    <w:rsid w:val="00D7646A"/>
    <w:rsid w:val="00D80A26"/>
    <w:rsid w:val="00D81A09"/>
    <w:rsid w:val="00D83191"/>
    <w:rsid w:val="00D84A0A"/>
    <w:rsid w:val="00D84FCB"/>
    <w:rsid w:val="00D86A7D"/>
    <w:rsid w:val="00D87C87"/>
    <w:rsid w:val="00D91838"/>
    <w:rsid w:val="00D91FF3"/>
    <w:rsid w:val="00D920E9"/>
    <w:rsid w:val="00D94811"/>
    <w:rsid w:val="00D96A5C"/>
    <w:rsid w:val="00D97BCE"/>
    <w:rsid w:val="00DA000F"/>
    <w:rsid w:val="00DA2735"/>
    <w:rsid w:val="00DA37D1"/>
    <w:rsid w:val="00DA7A11"/>
    <w:rsid w:val="00DB090B"/>
    <w:rsid w:val="00DB164A"/>
    <w:rsid w:val="00DB4124"/>
    <w:rsid w:val="00DB54AF"/>
    <w:rsid w:val="00DB5BE4"/>
    <w:rsid w:val="00DB6325"/>
    <w:rsid w:val="00DB68E8"/>
    <w:rsid w:val="00DB76EF"/>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2D0B"/>
    <w:rsid w:val="00DD3B5E"/>
    <w:rsid w:val="00DD47E4"/>
    <w:rsid w:val="00DD620C"/>
    <w:rsid w:val="00DD7136"/>
    <w:rsid w:val="00DD7776"/>
    <w:rsid w:val="00DE014A"/>
    <w:rsid w:val="00DE0CBE"/>
    <w:rsid w:val="00DE2275"/>
    <w:rsid w:val="00DE3F18"/>
    <w:rsid w:val="00DE51D9"/>
    <w:rsid w:val="00DE6682"/>
    <w:rsid w:val="00DF0415"/>
    <w:rsid w:val="00DF06D4"/>
    <w:rsid w:val="00DF088E"/>
    <w:rsid w:val="00DF10B2"/>
    <w:rsid w:val="00DF1991"/>
    <w:rsid w:val="00DF27F4"/>
    <w:rsid w:val="00DF2C31"/>
    <w:rsid w:val="00DF31CF"/>
    <w:rsid w:val="00DF4705"/>
    <w:rsid w:val="00DF7DB0"/>
    <w:rsid w:val="00E01914"/>
    <w:rsid w:val="00E02231"/>
    <w:rsid w:val="00E04C15"/>
    <w:rsid w:val="00E05280"/>
    <w:rsid w:val="00E06AB1"/>
    <w:rsid w:val="00E06EB7"/>
    <w:rsid w:val="00E06FCA"/>
    <w:rsid w:val="00E106E0"/>
    <w:rsid w:val="00E13BF9"/>
    <w:rsid w:val="00E14296"/>
    <w:rsid w:val="00E164C3"/>
    <w:rsid w:val="00E16BFB"/>
    <w:rsid w:val="00E17E05"/>
    <w:rsid w:val="00E20AAC"/>
    <w:rsid w:val="00E21AF7"/>
    <w:rsid w:val="00E22BDE"/>
    <w:rsid w:val="00E244A3"/>
    <w:rsid w:val="00E2631E"/>
    <w:rsid w:val="00E30CF1"/>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0781"/>
    <w:rsid w:val="00E61313"/>
    <w:rsid w:val="00E61821"/>
    <w:rsid w:val="00E61B28"/>
    <w:rsid w:val="00E62400"/>
    <w:rsid w:val="00E62A0A"/>
    <w:rsid w:val="00E64D63"/>
    <w:rsid w:val="00E66BF2"/>
    <w:rsid w:val="00E66FEC"/>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97CAD"/>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4E29"/>
    <w:rsid w:val="00EC50C7"/>
    <w:rsid w:val="00EC5162"/>
    <w:rsid w:val="00EC561E"/>
    <w:rsid w:val="00EC6741"/>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10F"/>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4B4"/>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63B"/>
    <w:rsid w:val="00F83EB3"/>
    <w:rsid w:val="00F84020"/>
    <w:rsid w:val="00F84D75"/>
    <w:rsid w:val="00F850CD"/>
    <w:rsid w:val="00F87F4C"/>
    <w:rsid w:val="00F90596"/>
    <w:rsid w:val="00F90FB0"/>
    <w:rsid w:val="00F91B3C"/>
    <w:rsid w:val="00F924ED"/>
    <w:rsid w:val="00F93959"/>
    <w:rsid w:val="00F939D7"/>
    <w:rsid w:val="00F95352"/>
    <w:rsid w:val="00FA1D4E"/>
    <w:rsid w:val="00FA2134"/>
    <w:rsid w:val="00FA2FDF"/>
    <w:rsid w:val="00FA371F"/>
    <w:rsid w:val="00FA60AA"/>
    <w:rsid w:val="00FA63D6"/>
    <w:rsid w:val="00FA666D"/>
    <w:rsid w:val="00FB0E36"/>
    <w:rsid w:val="00FB1F6A"/>
    <w:rsid w:val="00FB6931"/>
    <w:rsid w:val="00FB7265"/>
    <w:rsid w:val="00FC03ED"/>
    <w:rsid w:val="00FC272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locked="0" w:semiHidden="1"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Body Text" w:locked="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locked="0"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semiHidden="1" w:unhideWhenUsed="1"/>
    <w:lsdException w:name="No List"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0B1751"/>
    <w:pPr>
      <w:spacing w:after="0" w:line="240" w:lineRule="auto"/>
    </w:pPr>
    <w:rPr>
      <w:rFonts w:ascii="Calibri" w:eastAsiaTheme="minorEastAsia" w:hAnsi="Calibri" w:cs="Calibri"/>
      <w:szCs w:val="20"/>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and">
    <w:name w:val="09_Abstand"/>
    <w:basedOn w:val="00LegStandard"/>
    <w:rsid w:val="000B1751"/>
    <w:pPr>
      <w:spacing w:line="200" w:lineRule="exact"/>
      <w:jc w:val="left"/>
    </w:pPr>
  </w:style>
  <w:style w:type="paragraph" w:customStyle="1" w:styleId="45UeberschrPara">
    <w:name w:val="45_UeberschrPara"/>
    <w:basedOn w:val="00LegStandard"/>
    <w:next w:val="51Abs"/>
    <w:qFormat/>
    <w:rsid w:val="000B1751"/>
    <w:pPr>
      <w:keepNext/>
      <w:spacing w:before="80"/>
      <w:jc w:val="center"/>
    </w:pPr>
    <w:rPr>
      <w:b/>
    </w:rPr>
  </w:style>
  <w:style w:type="paragraph" w:customStyle="1" w:styleId="51Abs">
    <w:name w:val="51_Abs"/>
    <w:basedOn w:val="00LegStandard"/>
    <w:qFormat/>
    <w:rsid w:val="000B1751"/>
    <w:pPr>
      <w:spacing w:before="80"/>
      <w:ind w:firstLine="397"/>
    </w:pPr>
  </w:style>
  <w:style w:type="paragraph" w:customStyle="1" w:styleId="52Ziffere1">
    <w:name w:val="52_Ziffer_e1"/>
    <w:basedOn w:val="00LegStandard"/>
    <w:qFormat/>
    <w:rsid w:val="000B1751"/>
    <w:pPr>
      <w:tabs>
        <w:tab w:val="right" w:pos="624"/>
        <w:tab w:val="left" w:pos="680"/>
      </w:tabs>
      <w:spacing w:before="40"/>
      <w:ind w:left="680" w:hanging="680"/>
    </w:pPr>
  </w:style>
  <w:style w:type="paragraph" w:customStyle="1" w:styleId="83ErlText">
    <w:name w:val="83_ErlText"/>
    <w:basedOn w:val="00LegStandard"/>
    <w:rsid w:val="000B1751"/>
    <w:pPr>
      <w:spacing w:before="80"/>
    </w:pPr>
  </w:style>
  <w:style w:type="paragraph" w:customStyle="1" w:styleId="99PreformattedText">
    <w:name w:val="99_PreformattedText"/>
    <w:rsid w:val="000B1751"/>
    <w:pPr>
      <w:spacing w:after="0" w:line="240" w:lineRule="auto"/>
    </w:pPr>
    <w:rPr>
      <w:rFonts w:ascii="Courier New" w:hAnsi="Courier New" w:cs="Times New Roman"/>
      <w:color w:val="000000"/>
      <w:sz w:val="20"/>
      <w:szCs w:val="20"/>
      <w:lang w:eastAsia="de-AT"/>
    </w:rPr>
  </w:style>
  <w:style w:type="paragraph" w:customStyle="1" w:styleId="02BDGesBlatt">
    <w:name w:val="02_BDGesBlatt"/>
    <w:basedOn w:val="00LegStandard"/>
    <w:next w:val="03RepOesterr"/>
    <w:rsid w:val="000B1751"/>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0B1751"/>
    <w:pPr>
      <w:spacing w:before="40"/>
    </w:pPr>
  </w:style>
  <w:style w:type="paragraph" w:customStyle="1" w:styleId="56SchlussteilZiff">
    <w:name w:val="56_SchlussteilZiff"/>
    <w:basedOn w:val="00LegStandard"/>
    <w:next w:val="51Abs"/>
    <w:rsid w:val="000B1751"/>
    <w:pPr>
      <w:spacing w:before="40"/>
      <w:ind w:left="680"/>
    </w:pPr>
  </w:style>
  <w:style w:type="paragraph" w:customStyle="1" w:styleId="53Literae2">
    <w:name w:val="53_Litera_e2"/>
    <w:basedOn w:val="00LegStandard"/>
    <w:qFormat/>
    <w:rsid w:val="000B1751"/>
    <w:pPr>
      <w:tabs>
        <w:tab w:val="right" w:pos="851"/>
        <w:tab w:val="left" w:pos="907"/>
      </w:tabs>
      <w:spacing w:before="40"/>
      <w:ind w:left="907" w:hanging="907"/>
    </w:pPr>
  </w:style>
  <w:style w:type="paragraph" w:styleId="ListParagraph">
    <w:name w:val="List Paragraph"/>
    <w:basedOn w:val="Normal"/>
    <w:uiPriority w:val="34"/>
    <w:qFormat/>
    <w:locked/>
    <w:rsid w:val="007E5BD4"/>
    <w:pPr>
      <w:ind w:left="720"/>
      <w:contextualSpacing/>
    </w:pPr>
  </w:style>
  <w:style w:type="paragraph" w:styleId="BodyText">
    <w:name w:val="Body Text"/>
    <w:basedOn w:val="Normal"/>
    <w:link w:val="BodyTextChar"/>
    <w:uiPriority w:val="99"/>
    <w:unhideWhenUsed/>
    <w:locked/>
    <w:rsid w:val="007402AC"/>
    <w:pPr>
      <w:spacing w:after="120" w:line="360" w:lineRule="atLeast"/>
    </w:pPr>
    <w:rPr>
      <w:rFonts w:ascii="Arial" w:eastAsia="Times New Roman" w:hAnsi="Arial"/>
      <w:lang w:val="cs-CZ" w:eastAsia="de-DE"/>
    </w:rPr>
  </w:style>
  <w:style w:type="character" w:customStyle="1" w:styleId="BodyTextChar">
    <w:name w:val="Body Text Char"/>
    <w:basedOn w:val="DefaultParagraphFont"/>
    <w:link w:val="BodyText"/>
    <w:uiPriority w:val="99"/>
    <w:locked/>
    <w:rsid w:val="007402AC"/>
    <w:rPr>
      <w:rFonts w:ascii="Arial" w:hAnsi="Arial" w:cs="Times New Roman"/>
      <w:sz w:val="20"/>
      <w:szCs w:val="20"/>
      <w:lang w:val="cs-CZ" w:eastAsia="de-DE"/>
    </w:rPr>
  </w:style>
  <w:style w:type="paragraph" w:styleId="Footer">
    <w:name w:val="footer"/>
    <w:basedOn w:val="Normal"/>
    <w:link w:val="FooterChar"/>
    <w:uiPriority w:val="99"/>
    <w:unhideWhenUsed/>
    <w:locked/>
    <w:rsid w:val="000B1751"/>
    <w:pPr>
      <w:tabs>
        <w:tab w:val="center" w:pos="4536"/>
        <w:tab w:val="right" w:pos="9072"/>
      </w:tabs>
    </w:pPr>
  </w:style>
  <w:style w:type="character" w:customStyle="1" w:styleId="FooterChar">
    <w:name w:val="Footer Char"/>
    <w:basedOn w:val="DefaultParagraphFont"/>
    <w:link w:val="Footer"/>
    <w:uiPriority w:val="99"/>
    <w:locked/>
    <w:rsid w:val="000B1751"/>
    <w:rPr>
      <w:rFonts w:ascii="Times New Roman" w:eastAsiaTheme="minorEastAsia" w:hAnsi="Times New Roman" w:cs="Times New Roman"/>
      <w:sz w:val="20"/>
      <w:szCs w:val="20"/>
      <w:lang w:val="cs-CZ" w:eastAsia="de-AT"/>
    </w:rPr>
  </w:style>
  <w:style w:type="paragraph" w:styleId="CommentText">
    <w:name w:val="annotation text"/>
    <w:basedOn w:val="Normal"/>
    <w:link w:val="CommentTextChar"/>
    <w:uiPriority w:val="99"/>
    <w:semiHidden/>
    <w:unhideWhenUsed/>
    <w:locked/>
    <w:rsid w:val="001D48FA"/>
    <w:rPr>
      <w:sz w:val="20"/>
    </w:rPr>
  </w:style>
  <w:style w:type="character" w:customStyle="1" w:styleId="CommentTextChar">
    <w:name w:val="Comment Text Char"/>
    <w:basedOn w:val="DefaultParagraphFont"/>
    <w:link w:val="CommentText"/>
    <w:uiPriority w:val="99"/>
    <w:semiHidden/>
    <w:locked/>
    <w:rsid w:val="001D48FA"/>
    <w:rPr>
      <w:rFonts w:cs="Times New Roman"/>
      <w:sz w:val="20"/>
      <w:szCs w:val="20"/>
    </w:rPr>
  </w:style>
  <w:style w:type="paragraph" w:styleId="BalloonText">
    <w:name w:val="Balloon Text"/>
    <w:basedOn w:val="Normal"/>
    <w:link w:val="BalloonTextChar"/>
    <w:uiPriority w:val="99"/>
    <w:semiHidden/>
    <w:unhideWhenUsed/>
    <w:locked/>
    <w:rsid w:val="00D474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452"/>
    <w:rPr>
      <w:rFonts w:ascii="Tahoma" w:hAnsi="Tahoma" w:cs="Tahoma"/>
      <w:sz w:val="16"/>
      <w:szCs w:val="16"/>
    </w:rPr>
  </w:style>
  <w:style w:type="character" w:styleId="Hyperlink">
    <w:name w:val="Hyperlink"/>
    <w:basedOn w:val="DefaultParagraphFon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0B1751"/>
    <w:pPr>
      <w:spacing w:after="0" w:line="220" w:lineRule="exact"/>
      <w:jc w:val="both"/>
    </w:pPr>
    <w:rPr>
      <w:rFonts w:ascii="Times New Roman" w:hAnsi="Times New Roman" w:cs="Times New Roman"/>
      <w:color w:val="000000"/>
      <w:sz w:val="20"/>
      <w:szCs w:val="20"/>
      <w:lang w:eastAsia="de-AT"/>
    </w:rPr>
  </w:style>
  <w:style w:type="paragraph" w:customStyle="1" w:styleId="01Undefiniert">
    <w:name w:val="01_Undefiniert"/>
    <w:basedOn w:val="00LegStandard"/>
    <w:semiHidden/>
    <w:locked/>
    <w:rsid w:val="000B1751"/>
  </w:style>
  <w:style w:type="paragraph" w:customStyle="1" w:styleId="03RepOesterr">
    <w:name w:val="03_RepOesterr"/>
    <w:basedOn w:val="00LegStandard"/>
    <w:next w:val="04AusgabeDaten"/>
    <w:rsid w:val="000B1751"/>
    <w:pPr>
      <w:spacing w:before="100" w:line="440" w:lineRule="exact"/>
      <w:jc w:val="center"/>
    </w:pPr>
    <w:rPr>
      <w:b/>
      <w:caps/>
      <w:spacing w:val="20"/>
      <w:sz w:val="40"/>
    </w:rPr>
  </w:style>
  <w:style w:type="paragraph" w:customStyle="1" w:styleId="04AusgabeDaten">
    <w:name w:val="04_AusgabeDaten"/>
    <w:basedOn w:val="00LegStandard"/>
    <w:next w:val="05Kurztitel"/>
    <w:rsid w:val="000B175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0B1751"/>
    <w:pPr>
      <w:suppressAutoHyphens/>
      <w:spacing w:before="480"/>
    </w:pPr>
    <w:rPr>
      <w:b/>
      <w:sz w:val="22"/>
    </w:rPr>
  </w:style>
  <w:style w:type="paragraph" w:customStyle="1" w:styleId="05Kurztitel">
    <w:name w:val="05_Kurztitel"/>
    <w:basedOn w:val="11Titel"/>
    <w:rsid w:val="000B175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0B1751"/>
    <w:pPr>
      <w:spacing w:before="1600" w:after="1570"/>
      <w:jc w:val="center"/>
    </w:pPr>
    <w:rPr>
      <w:spacing w:val="26"/>
    </w:rPr>
  </w:style>
  <w:style w:type="paragraph" w:customStyle="1" w:styleId="12PromKlEinlSatz">
    <w:name w:val="12_PromKl_EinlSatz"/>
    <w:basedOn w:val="00LegStandard"/>
    <w:next w:val="41UeberschrG1"/>
    <w:rsid w:val="000B1751"/>
    <w:pPr>
      <w:keepNext/>
      <w:spacing w:before="160"/>
      <w:ind w:firstLine="397"/>
    </w:pPr>
  </w:style>
  <w:style w:type="paragraph" w:customStyle="1" w:styleId="18AbbildungoderObjekt">
    <w:name w:val="18_Abbildung_oder_Objekt"/>
    <w:basedOn w:val="00LegStandard"/>
    <w:next w:val="51Abs"/>
    <w:rsid w:val="000B1751"/>
    <w:pPr>
      <w:spacing w:before="120" w:after="120" w:line="240" w:lineRule="auto"/>
      <w:jc w:val="left"/>
    </w:pPr>
  </w:style>
  <w:style w:type="paragraph" w:customStyle="1" w:styleId="19Beschriftung">
    <w:name w:val="19_Beschriftung"/>
    <w:basedOn w:val="00LegStandard"/>
    <w:next w:val="51Abs"/>
    <w:rsid w:val="000B1751"/>
    <w:pPr>
      <w:spacing w:after="120"/>
      <w:jc w:val="left"/>
    </w:pPr>
  </w:style>
  <w:style w:type="paragraph" w:customStyle="1" w:styleId="21NovAo1">
    <w:name w:val="21_NovAo1"/>
    <w:basedOn w:val="00LegStandard"/>
    <w:next w:val="23SatznachNovao"/>
    <w:qFormat/>
    <w:rsid w:val="000B1751"/>
    <w:pPr>
      <w:keepNext/>
      <w:spacing w:before="160"/>
      <w:outlineLvl w:val="2"/>
    </w:pPr>
    <w:rPr>
      <w:i/>
    </w:rPr>
  </w:style>
  <w:style w:type="paragraph" w:customStyle="1" w:styleId="22NovAo2">
    <w:name w:val="22_NovAo2"/>
    <w:basedOn w:val="21NovAo1"/>
    <w:qFormat/>
    <w:rsid w:val="000B1751"/>
    <w:pPr>
      <w:keepNext w:val="0"/>
    </w:pPr>
  </w:style>
  <w:style w:type="paragraph" w:customStyle="1" w:styleId="23SatznachNovao">
    <w:name w:val="23_Satz_(nach_Novao)"/>
    <w:basedOn w:val="00LegStandard"/>
    <w:next w:val="21NovAo1"/>
    <w:qFormat/>
    <w:rsid w:val="000B1751"/>
    <w:pPr>
      <w:spacing w:before="80"/>
    </w:pPr>
  </w:style>
  <w:style w:type="paragraph" w:customStyle="1" w:styleId="30InhaltUeberschrift">
    <w:name w:val="30_InhaltUeberschrift"/>
    <w:basedOn w:val="00LegStandard"/>
    <w:next w:val="31InhaltSpalte"/>
    <w:rsid w:val="000B1751"/>
    <w:pPr>
      <w:keepNext/>
      <w:spacing w:before="320" w:after="160"/>
      <w:jc w:val="center"/>
      <w:outlineLvl w:val="0"/>
    </w:pPr>
    <w:rPr>
      <w:b/>
    </w:rPr>
  </w:style>
  <w:style w:type="paragraph" w:customStyle="1" w:styleId="31InhaltSpalte">
    <w:name w:val="31_InhaltSpalte"/>
    <w:basedOn w:val="00LegStandard"/>
    <w:next w:val="32InhaltEintrag"/>
    <w:rsid w:val="000B175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0B1751"/>
    <w:pPr>
      <w:jc w:val="left"/>
    </w:pPr>
    <w:rPr>
      <w:lang w:val="cs-CZ" w:eastAsia="de-DE"/>
    </w:rPr>
  </w:style>
  <w:style w:type="paragraph" w:customStyle="1" w:styleId="41UeberschrG1">
    <w:name w:val="41_UeberschrG1"/>
    <w:basedOn w:val="00LegStandard"/>
    <w:next w:val="42UeberschrG1-"/>
    <w:rsid w:val="000B1751"/>
    <w:pPr>
      <w:keepNext/>
      <w:spacing w:before="320"/>
      <w:jc w:val="center"/>
      <w:outlineLvl w:val="0"/>
    </w:pPr>
    <w:rPr>
      <w:b/>
      <w:sz w:val="22"/>
    </w:rPr>
  </w:style>
  <w:style w:type="paragraph" w:customStyle="1" w:styleId="42UeberschrG1-">
    <w:name w:val="42_UeberschrG1-"/>
    <w:basedOn w:val="00LegStandard"/>
    <w:next w:val="43UeberschrG2"/>
    <w:rsid w:val="000B1751"/>
    <w:pPr>
      <w:keepNext/>
      <w:spacing w:before="160"/>
      <w:jc w:val="center"/>
      <w:outlineLvl w:val="0"/>
    </w:pPr>
    <w:rPr>
      <w:b/>
      <w:sz w:val="22"/>
    </w:rPr>
  </w:style>
  <w:style w:type="paragraph" w:customStyle="1" w:styleId="43UeberschrG2">
    <w:name w:val="43_UeberschrG2"/>
    <w:basedOn w:val="00LegStandard"/>
    <w:next w:val="45UeberschrPara"/>
    <w:rsid w:val="000B1751"/>
    <w:pPr>
      <w:keepNext/>
      <w:spacing w:before="80" w:after="160"/>
      <w:jc w:val="center"/>
      <w:outlineLvl w:val="1"/>
    </w:pPr>
    <w:rPr>
      <w:b/>
      <w:sz w:val="22"/>
    </w:rPr>
  </w:style>
  <w:style w:type="paragraph" w:customStyle="1" w:styleId="44UeberschrArt">
    <w:name w:val="44_UeberschrArt+"/>
    <w:basedOn w:val="00LegStandard"/>
    <w:next w:val="51Abs"/>
    <w:rsid w:val="000B1751"/>
    <w:pPr>
      <w:keepNext/>
      <w:spacing w:before="160"/>
      <w:jc w:val="center"/>
      <w:outlineLvl w:val="2"/>
    </w:pPr>
    <w:rPr>
      <w:b/>
    </w:rPr>
  </w:style>
  <w:style w:type="paragraph" w:customStyle="1" w:styleId="52Ziffere2">
    <w:name w:val="52_Ziffer_e2"/>
    <w:basedOn w:val="00LegStandard"/>
    <w:rsid w:val="000B1751"/>
    <w:pPr>
      <w:tabs>
        <w:tab w:val="right" w:pos="851"/>
        <w:tab w:val="left" w:pos="907"/>
      </w:tabs>
      <w:spacing w:before="40"/>
      <w:ind w:left="907" w:hanging="907"/>
    </w:pPr>
  </w:style>
  <w:style w:type="paragraph" w:customStyle="1" w:styleId="52Ziffere3">
    <w:name w:val="52_Ziffer_e3"/>
    <w:basedOn w:val="00LegStandard"/>
    <w:rsid w:val="000B1751"/>
    <w:pPr>
      <w:tabs>
        <w:tab w:val="right" w:pos="1191"/>
        <w:tab w:val="left" w:pos="1247"/>
      </w:tabs>
      <w:spacing w:before="40"/>
      <w:ind w:left="1247" w:hanging="1247"/>
    </w:pPr>
  </w:style>
  <w:style w:type="paragraph" w:customStyle="1" w:styleId="52Ziffere4">
    <w:name w:val="52_Ziffer_e4"/>
    <w:basedOn w:val="00LegStandard"/>
    <w:rsid w:val="000B1751"/>
    <w:pPr>
      <w:tabs>
        <w:tab w:val="right" w:pos="1588"/>
        <w:tab w:val="left" w:pos="1644"/>
      </w:tabs>
      <w:spacing w:before="40"/>
      <w:ind w:left="1644" w:hanging="1644"/>
    </w:pPr>
  </w:style>
  <w:style w:type="paragraph" w:customStyle="1" w:styleId="52Ziffere5">
    <w:name w:val="52_Ziffer_e5"/>
    <w:basedOn w:val="00LegStandard"/>
    <w:rsid w:val="000B1751"/>
    <w:pPr>
      <w:tabs>
        <w:tab w:val="right" w:pos="1928"/>
        <w:tab w:val="left" w:pos="1985"/>
      </w:tabs>
      <w:spacing w:before="40"/>
      <w:ind w:left="1985" w:hanging="1985"/>
    </w:pPr>
  </w:style>
  <w:style w:type="paragraph" w:customStyle="1" w:styleId="52ZiffermitBetrag">
    <w:name w:val="52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0B1751"/>
    <w:pPr>
      <w:tabs>
        <w:tab w:val="clear" w:pos="6663"/>
        <w:tab w:val="clear" w:pos="8505"/>
        <w:tab w:val="right" w:leader="dot" w:pos="4678"/>
        <w:tab w:val="right" w:leader="dot" w:pos="6521"/>
      </w:tabs>
    </w:pPr>
  </w:style>
  <w:style w:type="paragraph" w:customStyle="1" w:styleId="53Literae1">
    <w:name w:val="53_Litera_e1"/>
    <w:basedOn w:val="00LegStandard"/>
    <w:rsid w:val="000B1751"/>
    <w:pPr>
      <w:tabs>
        <w:tab w:val="right" w:pos="624"/>
        <w:tab w:val="left" w:pos="680"/>
      </w:tabs>
      <w:spacing w:before="40"/>
      <w:ind w:left="680" w:hanging="680"/>
    </w:pPr>
  </w:style>
  <w:style w:type="paragraph" w:customStyle="1" w:styleId="53Literae3">
    <w:name w:val="53_Litera_e3"/>
    <w:basedOn w:val="00LegStandard"/>
    <w:rsid w:val="000B1751"/>
    <w:pPr>
      <w:tabs>
        <w:tab w:val="right" w:pos="1191"/>
        <w:tab w:val="left" w:pos="1247"/>
      </w:tabs>
      <w:spacing w:before="40"/>
      <w:ind w:left="1247" w:hanging="1247"/>
    </w:pPr>
  </w:style>
  <w:style w:type="paragraph" w:customStyle="1" w:styleId="53Literae4">
    <w:name w:val="53_Litera_e4"/>
    <w:basedOn w:val="00LegStandard"/>
    <w:rsid w:val="000B1751"/>
    <w:pPr>
      <w:tabs>
        <w:tab w:val="right" w:pos="1588"/>
        <w:tab w:val="left" w:pos="1644"/>
      </w:tabs>
      <w:spacing w:before="40"/>
      <w:ind w:left="1644" w:hanging="1644"/>
    </w:pPr>
  </w:style>
  <w:style w:type="paragraph" w:customStyle="1" w:styleId="53Literae5">
    <w:name w:val="53_Litera_e5"/>
    <w:basedOn w:val="00LegStandard"/>
    <w:rsid w:val="000B1751"/>
    <w:pPr>
      <w:tabs>
        <w:tab w:val="right" w:pos="1928"/>
        <w:tab w:val="left" w:pos="1985"/>
      </w:tabs>
      <w:spacing w:before="40"/>
      <w:ind w:left="1985" w:hanging="1985"/>
    </w:pPr>
  </w:style>
  <w:style w:type="paragraph" w:customStyle="1" w:styleId="53LiteramitBetrag">
    <w:name w:val="53_Litera_mit_Betrag"/>
    <w:basedOn w:val="52ZiffermitBetrag"/>
    <w:rsid w:val="000B175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0B1751"/>
    <w:pPr>
      <w:tabs>
        <w:tab w:val="clear" w:pos="6663"/>
        <w:tab w:val="clear" w:pos="8505"/>
        <w:tab w:val="right" w:leader="dot" w:pos="4678"/>
        <w:tab w:val="right" w:leader="dot" w:pos="6521"/>
      </w:tabs>
    </w:pPr>
  </w:style>
  <w:style w:type="paragraph" w:customStyle="1" w:styleId="54Subliterae1">
    <w:name w:val="54_Sublitera_e1"/>
    <w:basedOn w:val="00LegStandard"/>
    <w:rsid w:val="000B1751"/>
    <w:pPr>
      <w:tabs>
        <w:tab w:val="right" w:pos="624"/>
        <w:tab w:val="left" w:pos="680"/>
      </w:tabs>
      <w:spacing w:before="40"/>
      <w:ind w:left="680" w:hanging="680"/>
    </w:pPr>
  </w:style>
  <w:style w:type="paragraph" w:customStyle="1" w:styleId="54Subliterae2">
    <w:name w:val="54_Sublitera_e2"/>
    <w:basedOn w:val="00LegStandard"/>
    <w:rsid w:val="000B1751"/>
    <w:pPr>
      <w:tabs>
        <w:tab w:val="right" w:pos="851"/>
        <w:tab w:val="left" w:pos="907"/>
      </w:tabs>
      <w:spacing w:before="40"/>
      <w:ind w:left="907" w:hanging="907"/>
    </w:pPr>
  </w:style>
  <w:style w:type="paragraph" w:customStyle="1" w:styleId="54Subliterae3">
    <w:name w:val="54_Sublitera_e3"/>
    <w:basedOn w:val="00LegStandard"/>
    <w:rsid w:val="000B1751"/>
    <w:pPr>
      <w:tabs>
        <w:tab w:val="right" w:pos="1191"/>
        <w:tab w:val="left" w:pos="1247"/>
      </w:tabs>
      <w:spacing w:before="40"/>
      <w:ind w:left="1247" w:hanging="1247"/>
    </w:pPr>
  </w:style>
  <w:style w:type="paragraph" w:customStyle="1" w:styleId="54Subliterae4">
    <w:name w:val="54_Sublitera_e4"/>
    <w:basedOn w:val="00LegStandard"/>
    <w:rsid w:val="000B1751"/>
    <w:pPr>
      <w:tabs>
        <w:tab w:val="right" w:pos="1588"/>
        <w:tab w:val="left" w:pos="1644"/>
      </w:tabs>
      <w:spacing w:before="40"/>
      <w:ind w:left="1644" w:hanging="1644"/>
    </w:pPr>
  </w:style>
  <w:style w:type="paragraph" w:customStyle="1" w:styleId="54Subliterae5">
    <w:name w:val="54_Sublitera_e5"/>
    <w:basedOn w:val="00LegStandard"/>
    <w:rsid w:val="000B1751"/>
    <w:pPr>
      <w:tabs>
        <w:tab w:val="right" w:pos="1928"/>
        <w:tab w:val="left" w:pos="1985"/>
      </w:tabs>
      <w:spacing w:before="40"/>
      <w:ind w:left="1985" w:hanging="1985"/>
    </w:pPr>
  </w:style>
  <w:style w:type="paragraph" w:customStyle="1" w:styleId="54SubliteramitBetrag">
    <w:name w:val="54_Sublitera_mit_Betrag"/>
    <w:basedOn w:val="52ZiffermitBetrag"/>
    <w:rsid w:val="000B175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0B1751"/>
    <w:pPr>
      <w:tabs>
        <w:tab w:val="right" w:pos="624"/>
        <w:tab w:val="left" w:pos="680"/>
      </w:tabs>
      <w:spacing w:before="40"/>
      <w:ind w:left="680" w:hanging="680"/>
    </w:pPr>
  </w:style>
  <w:style w:type="paragraph" w:customStyle="1" w:styleId="54aStriche2">
    <w:name w:val="54a_Strich_e2"/>
    <w:basedOn w:val="00LegStandard"/>
    <w:rsid w:val="000B1751"/>
    <w:pPr>
      <w:tabs>
        <w:tab w:val="right" w:pos="851"/>
        <w:tab w:val="left" w:pos="907"/>
      </w:tabs>
      <w:spacing w:before="40"/>
      <w:ind w:left="907" w:hanging="907"/>
    </w:pPr>
  </w:style>
  <w:style w:type="paragraph" w:customStyle="1" w:styleId="54aStriche3">
    <w:name w:val="54a_Strich_e3"/>
    <w:basedOn w:val="00LegStandard"/>
    <w:qFormat/>
    <w:rsid w:val="000B1751"/>
    <w:pPr>
      <w:tabs>
        <w:tab w:val="right" w:pos="1191"/>
        <w:tab w:val="left" w:pos="1247"/>
      </w:tabs>
      <w:spacing w:before="40"/>
      <w:ind w:left="1247" w:hanging="1247"/>
    </w:pPr>
  </w:style>
  <w:style w:type="paragraph" w:customStyle="1" w:styleId="54aStriche4">
    <w:name w:val="54a_Strich_e4"/>
    <w:basedOn w:val="00LegStandard"/>
    <w:rsid w:val="000B1751"/>
    <w:pPr>
      <w:tabs>
        <w:tab w:val="right" w:pos="1588"/>
        <w:tab w:val="left" w:pos="1644"/>
      </w:tabs>
      <w:spacing w:before="40"/>
      <w:ind w:left="1644" w:hanging="1644"/>
    </w:pPr>
  </w:style>
  <w:style w:type="paragraph" w:customStyle="1" w:styleId="54aStriche5">
    <w:name w:val="54a_Strich_e5"/>
    <w:basedOn w:val="00LegStandard"/>
    <w:rsid w:val="000B1751"/>
    <w:pPr>
      <w:tabs>
        <w:tab w:val="right" w:pos="1928"/>
        <w:tab w:val="left" w:pos="1985"/>
      </w:tabs>
      <w:spacing w:before="40"/>
      <w:ind w:left="1985" w:hanging="1985"/>
    </w:pPr>
  </w:style>
  <w:style w:type="paragraph" w:customStyle="1" w:styleId="54aStriche6">
    <w:name w:val="54a_Strich_e6"/>
    <w:basedOn w:val="00LegStandard"/>
    <w:rsid w:val="000B1751"/>
    <w:pPr>
      <w:tabs>
        <w:tab w:val="right" w:pos="2268"/>
        <w:tab w:val="left" w:pos="2325"/>
      </w:tabs>
      <w:spacing w:before="40"/>
      <w:ind w:left="2325" w:hanging="2325"/>
    </w:pPr>
  </w:style>
  <w:style w:type="paragraph" w:customStyle="1" w:styleId="54aStriche7">
    <w:name w:val="54a_Strich_e7"/>
    <w:basedOn w:val="00LegStandard"/>
    <w:rsid w:val="000B175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0B1751"/>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0B1751"/>
    <w:pPr>
      <w:spacing w:before="40"/>
      <w:ind w:left="907"/>
    </w:pPr>
  </w:style>
  <w:style w:type="paragraph" w:customStyle="1" w:styleId="61TabText">
    <w:name w:val="61_TabText"/>
    <w:basedOn w:val="00LegStandard"/>
    <w:rsid w:val="000B1751"/>
    <w:pPr>
      <w:jc w:val="left"/>
    </w:pPr>
  </w:style>
  <w:style w:type="paragraph" w:customStyle="1" w:styleId="61aTabTextRechtsb">
    <w:name w:val="61a_TabTextRechtsb"/>
    <w:basedOn w:val="61TabText"/>
    <w:rsid w:val="000B1751"/>
    <w:pPr>
      <w:jc w:val="right"/>
    </w:pPr>
  </w:style>
  <w:style w:type="paragraph" w:customStyle="1" w:styleId="61bTabTextZentriert">
    <w:name w:val="61b_TabTextZentriert"/>
    <w:basedOn w:val="61TabText"/>
    <w:rsid w:val="000B1751"/>
    <w:pPr>
      <w:jc w:val="center"/>
    </w:pPr>
  </w:style>
  <w:style w:type="paragraph" w:customStyle="1" w:styleId="61cTabTextBlock">
    <w:name w:val="61c_TabTextBlock"/>
    <w:basedOn w:val="61TabText"/>
    <w:rsid w:val="000B1751"/>
    <w:pPr>
      <w:jc w:val="both"/>
    </w:pPr>
  </w:style>
  <w:style w:type="paragraph" w:customStyle="1" w:styleId="62Kopfzeile">
    <w:name w:val="62_Kopfzeile"/>
    <w:basedOn w:val="51Abs"/>
    <w:rsid w:val="000B1751"/>
    <w:pPr>
      <w:tabs>
        <w:tab w:val="center" w:pos="4253"/>
        <w:tab w:val="right" w:pos="8505"/>
      </w:tabs>
      <w:ind w:firstLine="0"/>
    </w:pPr>
  </w:style>
  <w:style w:type="paragraph" w:customStyle="1" w:styleId="65FNText">
    <w:name w:val="65_FN_Text"/>
    <w:basedOn w:val="00LegStandard"/>
    <w:rsid w:val="000B1751"/>
    <w:rPr>
      <w:sz w:val="18"/>
    </w:rPr>
  </w:style>
  <w:style w:type="paragraph" w:customStyle="1" w:styleId="63Fuzeile">
    <w:name w:val="63_Fußzeile"/>
    <w:basedOn w:val="65FNText"/>
    <w:rsid w:val="000B1751"/>
    <w:pPr>
      <w:tabs>
        <w:tab w:val="center" w:pos="4253"/>
        <w:tab w:val="right" w:pos="8505"/>
      </w:tabs>
    </w:pPr>
  </w:style>
  <w:style w:type="character" w:customStyle="1" w:styleId="66FNZeichen">
    <w:name w:val="66_FN_Zeichen"/>
    <w:rsid w:val="000B1751"/>
    <w:rPr>
      <w:sz w:val="20"/>
      <w:vertAlign w:val="superscript"/>
    </w:rPr>
  </w:style>
  <w:style w:type="paragraph" w:customStyle="1" w:styleId="68UnterschrL">
    <w:name w:val="68_UnterschrL"/>
    <w:basedOn w:val="00LegStandard"/>
    <w:rsid w:val="000B1751"/>
    <w:pPr>
      <w:spacing w:before="160"/>
      <w:jc w:val="left"/>
    </w:pPr>
    <w:rPr>
      <w:b/>
    </w:rPr>
  </w:style>
  <w:style w:type="paragraph" w:customStyle="1" w:styleId="69UnterschrM">
    <w:name w:val="69_UnterschrM"/>
    <w:basedOn w:val="68UnterschrL"/>
    <w:rsid w:val="000B1751"/>
    <w:pPr>
      <w:jc w:val="center"/>
    </w:pPr>
  </w:style>
  <w:style w:type="paragraph" w:customStyle="1" w:styleId="71Anlagenbez">
    <w:name w:val="71_Anlagenbez"/>
    <w:basedOn w:val="00LegStandard"/>
    <w:rsid w:val="000B1751"/>
    <w:pPr>
      <w:spacing w:before="160"/>
      <w:jc w:val="right"/>
      <w:outlineLvl w:val="0"/>
    </w:pPr>
    <w:rPr>
      <w:b/>
      <w:sz w:val="22"/>
    </w:rPr>
  </w:style>
  <w:style w:type="paragraph" w:customStyle="1" w:styleId="81ErlUeberschrZ">
    <w:name w:val="81_ErlUeberschrZ"/>
    <w:basedOn w:val="00LegStandard"/>
    <w:next w:val="83ErlText"/>
    <w:rsid w:val="000B1751"/>
    <w:pPr>
      <w:keepNext/>
      <w:spacing w:before="320"/>
      <w:jc w:val="center"/>
      <w:outlineLvl w:val="0"/>
    </w:pPr>
    <w:rPr>
      <w:b/>
      <w:sz w:val="22"/>
    </w:rPr>
  </w:style>
  <w:style w:type="paragraph" w:customStyle="1" w:styleId="82ErlUeberschrL">
    <w:name w:val="82_ErlUeberschrL"/>
    <w:basedOn w:val="00LegStandard"/>
    <w:next w:val="83ErlText"/>
    <w:rsid w:val="000B1751"/>
    <w:pPr>
      <w:keepNext/>
      <w:spacing w:before="80"/>
      <w:outlineLvl w:val="1"/>
    </w:pPr>
    <w:rPr>
      <w:b/>
    </w:rPr>
  </w:style>
  <w:style w:type="paragraph" w:customStyle="1" w:styleId="85ErlAufzaehlg">
    <w:name w:val="85_ErlAufzaehlg"/>
    <w:basedOn w:val="83ErlText"/>
    <w:rsid w:val="000B1751"/>
    <w:pPr>
      <w:tabs>
        <w:tab w:val="left" w:pos="397"/>
      </w:tabs>
      <w:ind w:left="397" w:hanging="397"/>
    </w:pPr>
  </w:style>
  <w:style w:type="paragraph" w:customStyle="1" w:styleId="89TGUEUeberschrSpalte">
    <w:name w:val="89_TGUE_UeberschrSpalte"/>
    <w:basedOn w:val="00LegStandard"/>
    <w:rsid w:val="000B1751"/>
    <w:pPr>
      <w:keepNext/>
      <w:spacing w:before="80"/>
      <w:jc w:val="center"/>
    </w:pPr>
    <w:rPr>
      <w:b/>
    </w:rPr>
  </w:style>
  <w:style w:type="character" w:customStyle="1" w:styleId="990Fehler">
    <w:name w:val="990_Fehler"/>
    <w:basedOn w:val="DefaultParagraphFont"/>
    <w:semiHidden/>
    <w:locked/>
    <w:rsid w:val="000B1751"/>
    <w:rPr>
      <w:rFonts w:cs="Times New Roman"/>
      <w:color w:val="FF0000"/>
    </w:rPr>
  </w:style>
  <w:style w:type="character" w:customStyle="1" w:styleId="991GldSymbol">
    <w:name w:val="991_GldSymbol"/>
    <w:rsid w:val="000B1751"/>
    <w:rPr>
      <w:b/>
      <w:color w:val="000000"/>
    </w:rPr>
  </w:style>
  <w:style w:type="character" w:customStyle="1" w:styleId="992Normal">
    <w:name w:val="992_Normal"/>
    <w:rsid w:val="000B1751"/>
    <w:rPr>
      <w:vertAlign w:val="baseline"/>
    </w:rPr>
  </w:style>
  <w:style w:type="character" w:customStyle="1" w:styleId="992bNormalundFett">
    <w:name w:val="992b_Normal_und_Fett"/>
    <w:basedOn w:val="992Normal"/>
    <w:rsid w:val="000B1751"/>
    <w:rPr>
      <w:rFonts w:cs="Times New Roman"/>
      <w:b/>
      <w:vertAlign w:val="baseline"/>
    </w:rPr>
  </w:style>
  <w:style w:type="character" w:customStyle="1" w:styleId="993Fett">
    <w:name w:val="993_Fett"/>
    <w:rsid w:val="000B1751"/>
    <w:rPr>
      <w:b/>
    </w:rPr>
  </w:style>
  <w:style w:type="character" w:customStyle="1" w:styleId="994Kursiv">
    <w:name w:val="994_Kursiv"/>
    <w:rsid w:val="000B1751"/>
    <w:rPr>
      <w:i/>
    </w:rPr>
  </w:style>
  <w:style w:type="character" w:customStyle="1" w:styleId="995Unterstrichen">
    <w:name w:val="995_Unterstrichen"/>
    <w:rsid w:val="000B1751"/>
    <w:rPr>
      <w:u w:val="single"/>
    </w:rPr>
  </w:style>
  <w:style w:type="character" w:customStyle="1" w:styleId="996Gesperrt">
    <w:name w:val="996_Gesperrt"/>
    <w:rsid w:val="000B1751"/>
    <w:rPr>
      <w:spacing w:val="26"/>
    </w:rPr>
  </w:style>
  <w:style w:type="character" w:customStyle="1" w:styleId="997Hoch">
    <w:name w:val="997_Hoch"/>
    <w:rsid w:val="000B1751"/>
    <w:rPr>
      <w:vertAlign w:val="superscript"/>
    </w:rPr>
  </w:style>
  <w:style w:type="character" w:customStyle="1" w:styleId="998Tief">
    <w:name w:val="998_Tief"/>
    <w:rsid w:val="000B1751"/>
    <w:rPr>
      <w:vertAlign w:val="subscript"/>
    </w:rPr>
  </w:style>
  <w:style w:type="character" w:customStyle="1" w:styleId="999FettundKursiv">
    <w:name w:val="999_Fett_und_Kursiv"/>
    <w:basedOn w:val="DefaultParagraphFont"/>
    <w:rsid w:val="000B1751"/>
    <w:rPr>
      <w:rFonts w:cs="Times New Roman"/>
      <w:b/>
      <w:i/>
    </w:rPr>
  </w:style>
  <w:style w:type="character" w:styleId="EndnoteReference">
    <w:name w:val="endnote reference"/>
    <w:basedOn w:val="DefaultParagraphFont"/>
    <w:uiPriority w:val="99"/>
    <w:rsid w:val="000B1751"/>
    <w:rPr>
      <w:rFonts w:cs="Times New Roman"/>
      <w:sz w:val="20"/>
      <w:vertAlign w:val="baseline"/>
    </w:rPr>
  </w:style>
  <w:style w:type="character" w:styleId="FootnoteReference">
    <w:name w:val="footnote reference"/>
    <w:basedOn w:val="DefaultParagraphFont"/>
    <w:uiPriority w:val="99"/>
    <w:rsid w:val="000B1751"/>
    <w:rPr>
      <w:rFonts w:cs="Times New Roman"/>
      <w:sz w:val="20"/>
      <w:vertAlign w:val="baseline"/>
    </w:rPr>
  </w:style>
  <w:style w:type="character" w:styleId="CommentReference">
    <w:name w:val="annotation reference"/>
    <w:basedOn w:val="DefaultParagraphFont"/>
    <w:uiPriority w:val="99"/>
    <w:semiHidden/>
    <w:locked/>
    <w:rsid w:val="000B1751"/>
    <w:rPr>
      <w:rFonts w:cs="Times New Roman"/>
      <w:color w:val="FF0000"/>
      <w:sz w:val="16"/>
      <w:szCs w:val="16"/>
    </w:rPr>
  </w:style>
  <w:style w:type="paragraph" w:customStyle="1" w:styleId="PDAntragsformel">
    <w:name w:val="PD_Antragsformel"/>
    <w:basedOn w:val="Normal"/>
    <w:rsid w:val="000B1751"/>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0B1751"/>
    <w:pPr>
      <w:spacing w:after="200" w:line="240" w:lineRule="auto"/>
      <w:jc w:val="center"/>
    </w:pPr>
    <w:rPr>
      <w:sz w:val="28"/>
    </w:rPr>
  </w:style>
  <w:style w:type="paragraph" w:customStyle="1" w:styleId="PDAllongeB">
    <w:name w:val="PD_Allonge_B"/>
    <w:basedOn w:val="PDAllonge"/>
    <w:rsid w:val="000B1751"/>
    <w:pPr>
      <w:jc w:val="both"/>
    </w:pPr>
  </w:style>
  <w:style w:type="paragraph" w:customStyle="1" w:styleId="PDAllongeL">
    <w:name w:val="PD_Allonge_L"/>
    <w:basedOn w:val="PDAllonge"/>
    <w:rsid w:val="000B1751"/>
    <w:pPr>
      <w:jc w:val="left"/>
    </w:pPr>
  </w:style>
  <w:style w:type="paragraph" w:customStyle="1" w:styleId="PDBrief">
    <w:name w:val="PD_Brief"/>
    <w:basedOn w:val="00LegStandard"/>
    <w:rsid w:val="000B1751"/>
    <w:pPr>
      <w:spacing w:before="80" w:line="240" w:lineRule="auto"/>
    </w:pPr>
    <w:rPr>
      <w:sz w:val="22"/>
      <w:lang w:eastAsia="de-DE"/>
    </w:rPr>
  </w:style>
  <w:style w:type="paragraph" w:customStyle="1" w:styleId="PDDatum">
    <w:name w:val="PD_Datum"/>
    <w:basedOn w:val="PDAntragsformel"/>
    <w:next w:val="Normal"/>
    <w:rsid w:val="000B1751"/>
  </w:style>
  <w:style w:type="paragraph" w:customStyle="1" w:styleId="PDEntschliessung">
    <w:name w:val="PD_Entschliessung"/>
    <w:basedOn w:val="00LegStandard"/>
    <w:rsid w:val="000B1751"/>
    <w:pPr>
      <w:spacing w:before="160"/>
    </w:pPr>
    <w:rPr>
      <w:b/>
      <w:sz w:val="22"/>
      <w:lang w:eastAsia="en-US"/>
    </w:rPr>
  </w:style>
  <w:style w:type="paragraph" w:customStyle="1" w:styleId="PDK1">
    <w:name w:val="PD_K1"/>
    <w:next w:val="PDK1Ausg"/>
    <w:rsid w:val="000B1751"/>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0B1751"/>
    <w:pPr>
      <w:pBdr>
        <w:bottom w:val="none" w:sz="0" w:space="0" w:color="auto"/>
      </w:pBdr>
      <w:jc w:val="right"/>
    </w:pPr>
  </w:style>
  <w:style w:type="paragraph" w:customStyle="1" w:styleId="PDK1Ausg">
    <w:name w:val="PD_K1Ausg"/>
    <w:next w:val="Normal"/>
    <w:rsid w:val="000B1751"/>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0B1751"/>
    <w:pPr>
      <w:pBdr>
        <w:bottom w:val="none" w:sz="0" w:space="0" w:color="auto"/>
      </w:pBdr>
      <w:spacing w:after="227"/>
      <w:jc w:val="left"/>
    </w:pPr>
    <w:rPr>
      <w:spacing w:val="0"/>
      <w:sz w:val="44"/>
    </w:rPr>
  </w:style>
  <w:style w:type="paragraph" w:customStyle="1" w:styleId="PDK3">
    <w:name w:val="PD_K3"/>
    <w:basedOn w:val="PDK2"/>
    <w:next w:val="PDVorlage"/>
    <w:rsid w:val="000B1751"/>
    <w:pPr>
      <w:spacing w:after="400"/>
    </w:pPr>
    <w:rPr>
      <w:sz w:val="36"/>
    </w:rPr>
  </w:style>
  <w:style w:type="paragraph" w:customStyle="1" w:styleId="PDK4">
    <w:name w:val="PD_K4"/>
    <w:basedOn w:val="PDK3"/>
    <w:rsid w:val="000B1751"/>
    <w:pPr>
      <w:spacing w:after="120"/>
    </w:pPr>
    <w:rPr>
      <w:sz w:val="26"/>
    </w:rPr>
  </w:style>
  <w:style w:type="paragraph" w:customStyle="1" w:styleId="PDKopfzeile">
    <w:name w:val="PD_Kopfzeile"/>
    <w:basedOn w:val="51Abs"/>
    <w:rsid w:val="000B1751"/>
    <w:pPr>
      <w:tabs>
        <w:tab w:val="center" w:pos="4253"/>
        <w:tab w:val="right" w:pos="8505"/>
      </w:tabs>
    </w:pPr>
    <w:rPr>
      <w:lang w:eastAsia="de-DE"/>
    </w:rPr>
  </w:style>
  <w:style w:type="paragraph" w:customStyle="1" w:styleId="PDU1">
    <w:name w:val="PD_U1"/>
    <w:basedOn w:val="00LegStandard"/>
    <w:next w:val="Normal"/>
    <w:rsid w:val="000B1751"/>
    <w:pPr>
      <w:tabs>
        <w:tab w:val="center" w:pos="2126"/>
        <w:tab w:val="center" w:pos="6379"/>
      </w:tabs>
      <w:spacing w:before="440"/>
    </w:pPr>
    <w:rPr>
      <w:b/>
      <w:lang w:eastAsia="de-DE"/>
    </w:rPr>
  </w:style>
  <w:style w:type="paragraph" w:customStyle="1" w:styleId="PDU2">
    <w:name w:val="PD_U2"/>
    <w:basedOn w:val="PDU1"/>
    <w:rsid w:val="000B1751"/>
    <w:pPr>
      <w:spacing w:before="100"/>
    </w:pPr>
    <w:rPr>
      <w:b w:val="0"/>
      <w:sz w:val="18"/>
    </w:rPr>
  </w:style>
  <w:style w:type="paragraph" w:customStyle="1" w:styleId="PDU3">
    <w:name w:val="PD_U3"/>
    <w:basedOn w:val="PDU2"/>
    <w:rsid w:val="000B1751"/>
    <w:pPr>
      <w:tabs>
        <w:tab w:val="clear" w:pos="2126"/>
        <w:tab w:val="clear" w:pos="6379"/>
        <w:tab w:val="center" w:pos="4536"/>
      </w:tabs>
      <w:jc w:val="center"/>
    </w:pPr>
  </w:style>
  <w:style w:type="paragraph" w:customStyle="1" w:styleId="PDVorlage">
    <w:name w:val="PD_Vorlage"/>
    <w:basedOn w:val="11Titel"/>
    <w:next w:val="Normal"/>
    <w:rsid w:val="000B1751"/>
    <w:pPr>
      <w:spacing w:before="0" w:after="360"/>
    </w:pPr>
    <w:rPr>
      <w:lang w:eastAsia="en-US"/>
    </w:rPr>
  </w:style>
  <w:style w:type="paragraph" w:customStyle="1" w:styleId="57Schlussteile1">
    <w:name w:val="57_Schlussteil_e1"/>
    <w:basedOn w:val="00LegStandard"/>
    <w:next w:val="51Abs"/>
    <w:rsid w:val="000B1751"/>
    <w:pPr>
      <w:spacing w:before="40"/>
      <w:ind w:left="454"/>
    </w:pPr>
    <w:rPr>
      <w:lang w:val="cs-CZ" w:eastAsia="de-DE"/>
    </w:rPr>
  </w:style>
  <w:style w:type="paragraph" w:customStyle="1" w:styleId="57Schlussteile4">
    <w:name w:val="57_Schlussteil_e4"/>
    <w:basedOn w:val="00LegStandard"/>
    <w:next w:val="51Abs"/>
    <w:rsid w:val="000B1751"/>
    <w:pPr>
      <w:spacing w:before="40"/>
      <w:ind w:left="1247"/>
    </w:pPr>
    <w:rPr>
      <w:lang w:val="cs-CZ" w:eastAsia="de-DE"/>
    </w:rPr>
  </w:style>
  <w:style w:type="paragraph" w:customStyle="1" w:styleId="57Schlussteile5">
    <w:name w:val="57_Schlussteil_e5"/>
    <w:basedOn w:val="00LegStandard"/>
    <w:next w:val="51Abs"/>
    <w:rsid w:val="000B1751"/>
    <w:pPr>
      <w:spacing w:before="40"/>
      <w:ind w:left="1644"/>
    </w:pPr>
    <w:rPr>
      <w:lang w:val="cs-CZ" w:eastAsia="de-DE"/>
    </w:rPr>
  </w:style>
  <w:style w:type="paragraph" w:customStyle="1" w:styleId="62KopfzeileQuer">
    <w:name w:val="62_KopfzeileQuer"/>
    <w:basedOn w:val="51Abs"/>
    <w:rsid w:val="000B1751"/>
    <w:pPr>
      <w:tabs>
        <w:tab w:val="center" w:pos="6719"/>
        <w:tab w:val="right" w:pos="13438"/>
      </w:tabs>
      <w:ind w:firstLine="0"/>
    </w:pPr>
  </w:style>
  <w:style w:type="paragraph" w:customStyle="1" w:styleId="63FuzeileQuer">
    <w:name w:val="63_FußzeileQuer"/>
    <w:basedOn w:val="65FNText"/>
    <w:rsid w:val="000B1751"/>
    <w:pPr>
      <w:tabs>
        <w:tab w:val="center" w:pos="6719"/>
        <w:tab w:val="right" w:pos="13438"/>
      </w:tabs>
    </w:pPr>
  </w:style>
  <w:style w:type="paragraph" w:customStyle="1" w:styleId="32InhaltEintragEinzug">
    <w:name w:val="32_InhaltEintragEinzug"/>
    <w:basedOn w:val="32InhaltEintrag"/>
    <w:rsid w:val="000B1751"/>
    <w:pPr>
      <w:tabs>
        <w:tab w:val="right" w:pos="1021"/>
        <w:tab w:val="left" w:pos="1191"/>
      </w:tabs>
      <w:ind w:left="1191" w:hanging="1191"/>
    </w:pPr>
  </w:style>
  <w:style w:type="paragraph" w:styleId="Header">
    <w:name w:val="header"/>
    <w:basedOn w:val="Normal"/>
    <w:link w:val="HeaderChar"/>
    <w:uiPriority w:val="99"/>
    <w:unhideWhenUsed/>
    <w:locked/>
    <w:rsid w:val="00364F8D"/>
    <w:pPr>
      <w:tabs>
        <w:tab w:val="center" w:pos="4536"/>
        <w:tab w:val="right" w:pos="9072"/>
      </w:tabs>
    </w:pPr>
  </w:style>
  <w:style w:type="character" w:customStyle="1" w:styleId="HeaderChar">
    <w:name w:val="Header Char"/>
    <w:basedOn w:val="DefaultParagraphFont"/>
    <w:link w:val="Header"/>
    <w:uiPriority w:val="99"/>
    <w:locked/>
    <w:rsid w:val="00364F8D"/>
    <w:rPr>
      <w:rFonts w:ascii="Calibri" w:eastAsiaTheme="minorEastAsia" w:hAnsi="Calibri" w:cs="Calibri"/>
      <w:sz w:val="20"/>
      <w:szCs w:val="20"/>
      <w:lang w:val="cs-CZ" w:eastAsia="de-AT"/>
    </w:rPr>
  </w:style>
  <w:style w:type="paragraph" w:styleId="Revision">
    <w:name w:val="Revision"/>
    <w:hidden/>
    <w:uiPriority w:val="99"/>
    <w:semiHidden/>
    <w:rsid w:val="00930111"/>
    <w:pPr>
      <w:spacing w:after="0" w:line="240" w:lineRule="auto"/>
    </w:pPr>
    <w:rPr>
      <w:rFonts w:ascii="Calibri" w:eastAsiaTheme="minorEastAsia" w:hAnsi="Calibri" w:cs="Calibri"/>
      <w:szCs w:val="20"/>
      <w:lang w:eastAsia="de-AT"/>
    </w:rPr>
  </w:style>
  <w:style w:type="character" w:styleId="FollowedHyperlink">
    <w:name w:val="FollowedHyperlink"/>
    <w:basedOn w:val="DefaultParagraphFont"/>
    <w:uiPriority w:val="99"/>
    <w:semiHidden/>
    <w:unhideWhenUsed/>
    <w:locked/>
    <w:rsid w:val="00051DE5"/>
    <w:rPr>
      <w:rFonts w:cs="Times New Roman"/>
      <w:color w:val="800080" w:themeColor="followedHyperlink"/>
      <w:u w:val="single"/>
    </w:rPr>
  </w:style>
  <w:style w:type="character" w:styleId="BookTitle">
    <w:name w:val="Book Title"/>
    <w:basedOn w:val="DefaultParagraphFont"/>
    <w:uiPriority w:val="33"/>
    <w:qFormat/>
    <w:locked/>
    <w:rsid w:val="00051DE5"/>
    <w:rPr>
      <w:rFonts w:cs="Times New Roman"/>
      <w:b/>
      <w:bCs/>
      <w:smallCaps/>
      <w:spacing w:val="5"/>
    </w:rPr>
  </w:style>
  <w:style w:type="character" w:styleId="Strong">
    <w:name w:val="Strong"/>
    <w:basedOn w:val="DefaultParagraphFont"/>
    <w:uiPriority w:val="22"/>
    <w:qFormat/>
    <w:locked/>
    <w:rsid w:val="00051DE5"/>
    <w:rPr>
      <w:rFonts w:cs="Times New Roman"/>
      <w:b/>
      <w:bCs/>
    </w:rPr>
  </w:style>
  <w:style w:type="character" w:styleId="Emphasis">
    <w:name w:val="Emphasis"/>
    <w:basedOn w:val="DefaultParagraphFont"/>
    <w:uiPriority w:val="20"/>
    <w:qFormat/>
    <w:locked/>
    <w:rsid w:val="00051DE5"/>
    <w:rPr>
      <w:rFonts w:cs="Times New Roman"/>
      <w:i/>
      <w:iCs/>
    </w:rPr>
  </w:style>
  <w:style w:type="character" w:styleId="HTMLAcronym">
    <w:name w:val="HTML Acronym"/>
    <w:basedOn w:val="DefaultParagraphFont"/>
    <w:uiPriority w:val="99"/>
    <w:semiHidden/>
    <w:unhideWhenUsed/>
    <w:locked/>
    <w:rsid w:val="00051DE5"/>
    <w:rPr>
      <w:rFonts w:cs="Times New Roman"/>
    </w:rPr>
  </w:style>
  <w:style w:type="character" w:styleId="HTMLSample">
    <w:name w:val="HTML Sample"/>
    <w:basedOn w:val="DefaultParagraphFont"/>
    <w:uiPriority w:val="99"/>
    <w:semiHidden/>
    <w:unhideWhenUsed/>
    <w:locked/>
    <w:rsid w:val="00051DE5"/>
    <w:rPr>
      <w:rFonts w:ascii="Consolas" w:hAnsi="Consolas" w:cs="Consolas"/>
      <w:sz w:val="24"/>
      <w:szCs w:val="24"/>
    </w:rPr>
  </w:style>
  <w:style w:type="character" w:styleId="HTMLCode">
    <w:name w:val="HTML Code"/>
    <w:basedOn w:val="DefaultParagraphFont"/>
    <w:uiPriority w:val="99"/>
    <w:semiHidden/>
    <w:unhideWhenUsed/>
    <w:locked/>
    <w:rsid w:val="00051DE5"/>
    <w:rPr>
      <w:rFonts w:ascii="Consolas" w:hAnsi="Consolas" w:cs="Consolas"/>
      <w:sz w:val="20"/>
      <w:szCs w:val="20"/>
    </w:rPr>
  </w:style>
  <w:style w:type="character" w:styleId="HTMLDefinition">
    <w:name w:val="HTML Definition"/>
    <w:basedOn w:val="DefaultParagraphFont"/>
    <w:uiPriority w:val="99"/>
    <w:semiHidden/>
    <w:unhideWhenUsed/>
    <w:locked/>
    <w:rsid w:val="00051DE5"/>
    <w:rPr>
      <w:rFonts w:cs="Times New Roman"/>
      <w:i/>
      <w:iCs/>
    </w:rPr>
  </w:style>
  <w:style w:type="character" w:styleId="HTMLTypewriter">
    <w:name w:val="HTML Typewriter"/>
    <w:basedOn w:val="DefaultParagraphFont"/>
    <w:uiPriority w:val="99"/>
    <w:semiHidden/>
    <w:unhideWhenUsed/>
    <w:locked/>
    <w:rsid w:val="00051DE5"/>
    <w:rPr>
      <w:rFonts w:ascii="Consolas" w:hAnsi="Consolas" w:cs="Consolas"/>
      <w:sz w:val="20"/>
      <w:szCs w:val="20"/>
    </w:rPr>
  </w:style>
  <w:style w:type="character" w:styleId="HTMLKeyboard">
    <w:name w:val="HTML Keyboard"/>
    <w:basedOn w:val="DefaultParagraphFont"/>
    <w:uiPriority w:val="99"/>
    <w:semiHidden/>
    <w:unhideWhenUsed/>
    <w:locked/>
    <w:rsid w:val="00051DE5"/>
    <w:rPr>
      <w:rFonts w:ascii="Consolas" w:hAnsi="Consolas" w:cs="Consolas"/>
      <w:sz w:val="20"/>
      <w:szCs w:val="20"/>
    </w:rPr>
  </w:style>
  <w:style w:type="character" w:styleId="HTMLVariable">
    <w:name w:val="HTML Variable"/>
    <w:basedOn w:val="DefaultParagraphFont"/>
    <w:uiPriority w:val="99"/>
    <w:semiHidden/>
    <w:unhideWhenUsed/>
    <w:locked/>
    <w:rsid w:val="00051DE5"/>
    <w:rPr>
      <w:rFonts w:cs="Times New Roman"/>
      <w:i/>
      <w:iCs/>
    </w:rPr>
  </w:style>
  <w:style w:type="character" w:styleId="HTMLCite">
    <w:name w:val="HTML Cite"/>
    <w:basedOn w:val="DefaultParagraphFont"/>
    <w:uiPriority w:val="99"/>
    <w:semiHidden/>
    <w:unhideWhenUsed/>
    <w:locked/>
    <w:rsid w:val="00051DE5"/>
    <w:rPr>
      <w:rFonts w:cs="Times New Roman"/>
      <w:i/>
      <w:iCs/>
    </w:rPr>
  </w:style>
  <w:style w:type="character" w:styleId="IntenseEmphasis">
    <w:name w:val="Intense Emphasis"/>
    <w:basedOn w:val="DefaultParagraphFont"/>
    <w:uiPriority w:val="21"/>
    <w:qFormat/>
    <w:locked/>
    <w:rsid w:val="00051DE5"/>
    <w:rPr>
      <w:rFonts w:cs="Times New Roman"/>
      <w:b/>
      <w:bCs/>
      <w:i/>
      <w:iCs/>
      <w:color w:val="4F81BD" w:themeColor="accent1"/>
    </w:rPr>
  </w:style>
  <w:style w:type="character" w:styleId="IntenseReference">
    <w:name w:val="Intense Reference"/>
    <w:basedOn w:val="DefaultParagraphFont"/>
    <w:uiPriority w:val="32"/>
    <w:qFormat/>
    <w:locked/>
    <w:rsid w:val="00051DE5"/>
    <w:rPr>
      <w:rFonts w:cs="Times New Roman"/>
      <w:b/>
      <w:bCs/>
      <w:smallCaps/>
      <w:color w:val="C0504D" w:themeColor="accent2"/>
      <w:spacing w:val="5"/>
      <w:u w:val="single"/>
    </w:rPr>
  </w:style>
  <w:style w:type="character" w:styleId="SubtleEmphasis">
    <w:name w:val="Subtle Emphasis"/>
    <w:basedOn w:val="DefaultParagraphFont"/>
    <w:uiPriority w:val="19"/>
    <w:qFormat/>
    <w:locked/>
    <w:rsid w:val="00051DE5"/>
    <w:rPr>
      <w:rFonts w:cs="Times New Roman"/>
      <w:i/>
      <w:iCs/>
      <w:color w:val="808080" w:themeColor="text1" w:themeTint="7F"/>
    </w:rPr>
  </w:style>
  <w:style w:type="character" w:styleId="SubtleReference">
    <w:name w:val="Subtle Reference"/>
    <w:basedOn w:val="DefaultParagraphFont"/>
    <w:uiPriority w:val="31"/>
    <w:qFormat/>
    <w:locked/>
    <w:rsid w:val="00051DE5"/>
    <w:rPr>
      <w:rFonts w:cs="Times New Roman"/>
      <w:smallCaps/>
      <w:color w:val="C0504D" w:themeColor="accent2"/>
      <w:u w:val="single"/>
    </w:rPr>
  </w:style>
  <w:style w:type="character" w:styleId="PageNumber">
    <w:name w:val="page number"/>
    <w:basedOn w:val="DefaultParagraphFont"/>
    <w:uiPriority w:val="99"/>
    <w:semiHidden/>
    <w:unhideWhenUsed/>
    <w:locked/>
    <w:rsid w:val="00051DE5"/>
    <w:rPr>
      <w:rFonts w:cs="Times New Roman"/>
    </w:rPr>
  </w:style>
  <w:style w:type="character" w:styleId="LineNumber">
    <w:name w:val="line number"/>
    <w:basedOn w:val="DefaultParagraphFont"/>
    <w:uiPriority w:val="99"/>
    <w:semiHidden/>
    <w:unhideWhenUsed/>
    <w:locked/>
    <w:rsid w:val="00051DE5"/>
    <w:rPr>
      <w:rFonts w:cs="Times New Roman"/>
    </w:rPr>
  </w:style>
  <w:style w:type="paragraph" w:customStyle="1" w:styleId="07Signaturhinweis">
    <w:name w:val="07_Signaturhinweis"/>
    <w:basedOn w:val="00LegStandard"/>
    <w:next w:val="04AusgabeDaten"/>
    <w:rsid w:val="000B1751"/>
    <w:pPr>
      <w:spacing w:after="120"/>
    </w:pPr>
    <w:rPr>
      <w:rFonts w:ascii="Book Antiqua" w:hAnsi="Book Antiqua"/>
      <w:sz w:val="16"/>
    </w:rPr>
  </w:style>
  <w:style w:type="paragraph" w:styleId="CommentSubject">
    <w:name w:val="annotation subject"/>
    <w:basedOn w:val="CommentText"/>
    <w:next w:val="CommentText"/>
    <w:link w:val="CommentSubjectChar"/>
    <w:uiPriority w:val="99"/>
    <w:semiHidden/>
    <w:unhideWhenUsed/>
    <w:locked/>
    <w:rsid w:val="00892F1B"/>
    <w:rPr>
      <w:b/>
      <w:bCs/>
    </w:rPr>
  </w:style>
  <w:style w:type="character" w:customStyle="1" w:styleId="CommentSubjectChar">
    <w:name w:val="Comment Subject Char"/>
    <w:basedOn w:val="CommentTextChar"/>
    <w:link w:val="CommentSubject"/>
    <w:uiPriority w:val="99"/>
    <w:semiHidden/>
    <w:locked/>
    <w:rsid w:val="00892F1B"/>
    <w:rPr>
      <w:rFonts w:ascii="Calibri" w:eastAsiaTheme="minorEastAsia" w:hAnsi="Calibri" w:cs="Times New Roman"/>
      <w:b/>
      <w:bCs/>
      <w:sz w:val="20"/>
      <w:szCs w:val="20"/>
      <w:lang w:val="cs-CZ" w:eastAsia="de-AT"/>
    </w:rPr>
  </w:style>
  <w:style w:type="paragraph" w:customStyle="1" w:styleId="Default">
    <w:name w:val="Default"/>
    <w:qFormat/>
    <w:locked/>
    <w:rsid w:val="00066176"/>
    <w:pPr>
      <w:spacing w:after="0" w:line="240" w:lineRule="auto"/>
    </w:pPr>
    <w:rPr>
      <w:rFonts w:ascii="Arial" w:hAnsi="Arial" w:cs="Arial"/>
      <w:color w:val="000000"/>
      <w:sz w:val="24"/>
      <w:szCs w:val="24"/>
      <w:lang w:val="cs-CZ" w:eastAsia="de-DE"/>
    </w:rPr>
  </w:style>
  <w:style w:type="table" w:styleId="TableGrid">
    <w:name w:val="Table Grid"/>
    <w:basedOn w:val="TableNormal"/>
    <w:uiPriority w:val="59"/>
    <w:locked/>
    <w:rsid w:val="00066176"/>
    <w:pPr>
      <w:spacing w:after="0" w:line="240" w:lineRule="auto"/>
    </w:pPr>
    <w:rPr>
      <w:rFonts w:cs="Times New Roman"/>
      <w:sz w:val="20"/>
      <w:lang w:val="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0B1751"/>
    <w:pPr>
      <w:tabs>
        <w:tab w:val="right" w:pos="624"/>
        <w:tab w:val="left" w:pos="680"/>
      </w:tabs>
      <w:spacing w:before="40"/>
      <w:ind w:left="680" w:hanging="680"/>
    </w:pPr>
  </w:style>
  <w:style w:type="paragraph" w:customStyle="1" w:styleId="52Aufzaehle1ZiffermitBetrag">
    <w:name w:val="52_Aufzaeh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0B1751"/>
    <w:pPr>
      <w:tabs>
        <w:tab w:val="clear" w:pos="6663"/>
        <w:tab w:val="clear" w:pos="8505"/>
        <w:tab w:val="right" w:leader="dot" w:pos="4678"/>
        <w:tab w:val="right" w:leader="dot" w:pos="6521"/>
      </w:tabs>
    </w:pPr>
  </w:style>
  <w:style w:type="paragraph" w:customStyle="1" w:styleId="52Aufzaehle2Lit">
    <w:name w:val="52_Aufzaehl_e2_Lit"/>
    <w:basedOn w:val="00LegStandard"/>
    <w:rsid w:val="000B1751"/>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0B1751"/>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0B175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0B1751"/>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0B1751"/>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0B175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0B1751"/>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0B1751"/>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0B175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0B1751"/>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0B1751"/>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0B1751"/>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0B1751"/>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0B1751"/>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0B1751"/>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0B1751"/>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0B1751"/>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0B1751"/>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0B1751"/>
    <w:pPr>
      <w:spacing w:before="40"/>
      <w:ind w:left="454"/>
    </w:pPr>
    <w:rPr>
      <w:lang w:val="cs-CZ" w:eastAsia="de-DE"/>
    </w:rPr>
  </w:style>
  <w:style w:type="paragraph" w:customStyle="1" w:styleId="58Schlussteile05mitBetrag">
    <w:name w:val="58_Schlussteil_e0.5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0B1751"/>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0B1751"/>
    <w:pPr>
      <w:spacing w:before="40"/>
    </w:pPr>
  </w:style>
  <w:style w:type="paragraph" w:customStyle="1" w:styleId="58Schlussteile0AbsmitBetrag">
    <w:name w:val="58_Schlussteil_e0_Abs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0B175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0B1751"/>
    <w:pPr>
      <w:spacing w:before="40"/>
      <w:ind w:left="680"/>
    </w:pPr>
  </w:style>
  <w:style w:type="paragraph" w:customStyle="1" w:styleId="58Schlussteile1ZiffermitBetrag">
    <w:name w:val="58_Schlusstei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0B175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0B1751"/>
    <w:pPr>
      <w:spacing w:before="40"/>
      <w:ind w:left="907"/>
    </w:pPr>
  </w:style>
  <w:style w:type="paragraph" w:customStyle="1" w:styleId="58Schlussteile2LitmitBetrag">
    <w:name w:val="58_Schlussteil_e2_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0B175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0B1751"/>
    <w:pPr>
      <w:spacing w:before="40"/>
      <w:ind w:left="1247"/>
    </w:pPr>
    <w:rPr>
      <w:lang w:val="cs-CZ" w:eastAsia="de-DE"/>
    </w:rPr>
  </w:style>
  <w:style w:type="paragraph" w:customStyle="1" w:styleId="58Schlussteile3SublitmitBetrag">
    <w:name w:val="58_Schlussteil_e3_Sub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0B175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0B1751"/>
    <w:pPr>
      <w:spacing w:before="40"/>
      <w:ind w:left="1644"/>
    </w:pPr>
    <w:rPr>
      <w:lang w:val="cs-CZ" w:eastAsia="de-DE"/>
    </w:rPr>
  </w:style>
  <w:style w:type="paragraph" w:customStyle="1" w:styleId="58Schlussteile4StrichmitBetrag">
    <w:name w:val="58_Schlussteil_e4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0B175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0B1751"/>
    <w:pPr>
      <w:spacing w:before="40"/>
      <w:ind w:left="1985"/>
    </w:pPr>
    <w:rPr>
      <w:lang w:val="cs-CZ" w:eastAsia="de-DE"/>
    </w:rPr>
  </w:style>
  <w:style w:type="paragraph" w:customStyle="1" w:styleId="58Schlussteile5StrichmitBetrag">
    <w:name w:val="58_Schlussteil_e5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0B175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0B1751"/>
    <w:pPr>
      <w:spacing w:before="40"/>
      <w:ind w:left="2325"/>
    </w:pPr>
    <w:rPr>
      <w:lang w:val="cs-CZ" w:eastAsia="de-DE"/>
    </w:rPr>
  </w:style>
  <w:style w:type="paragraph" w:customStyle="1" w:styleId="58Schlussteile6StrichmitBetrag">
    <w:name w:val="58_Schlussteil_e6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0B175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0B1751"/>
    <w:pPr>
      <w:spacing w:before="40"/>
      <w:ind w:left="2665"/>
    </w:pPr>
    <w:rPr>
      <w:lang w:val="cs-CZ" w:eastAsia="de-DE"/>
    </w:rPr>
  </w:style>
  <w:style w:type="paragraph" w:customStyle="1" w:styleId="58Schlussteile7StrichmitBetrag">
    <w:name w:val="58_Schlussteil_e7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0B1751"/>
    <w:pPr>
      <w:tabs>
        <w:tab w:val="clear" w:pos="6663"/>
        <w:tab w:val="clear" w:pos="8505"/>
        <w:tab w:val="right" w:leader="dot" w:pos="4678"/>
        <w:tab w:val="right" w:leader="dot" w:pos="6521"/>
      </w:tabs>
    </w:pPr>
  </w:style>
  <w:style w:type="paragraph" w:customStyle="1" w:styleId="PDFuzeile">
    <w:name w:val="PD_Fußzeile"/>
    <w:basedOn w:val="Footer"/>
    <w:rsid w:val="000B1751"/>
    <w:pPr>
      <w:shd w:val="clear" w:color="auto" w:fill="CCCCCC"/>
      <w:spacing w:before="120"/>
      <w:jc w:val="center"/>
    </w:pPr>
    <w:rPr>
      <w:rFonts w:ascii="Times" w:eastAsia="Times New Roman" w:hAnsi="Times" w:cs="Times New Roman"/>
      <w:b/>
      <w:color w:val="000000"/>
      <w:sz w:val="18"/>
      <w:lang w:eastAsia="de-DE"/>
    </w:rPr>
  </w:style>
  <w:style w:type="character" w:styleId="PlaceholderText">
    <w:name w:val="Placeholder Text"/>
    <w:basedOn w:val="DefaultParagraphFont"/>
    <w:uiPriority w:val="99"/>
    <w:semiHidden/>
    <w:locked/>
    <w:rsid w:val="00CC221C"/>
    <w:rPr>
      <w:rFonts w:cs="Times New Roman"/>
      <w:color w:val="808080"/>
    </w:rPr>
  </w:style>
  <w:style w:type="paragraph" w:styleId="PlainText">
    <w:name w:val="Plain Text"/>
    <w:basedOn w:val="Normal"/>
    <w:link w:val="PlainTextChar"/>
    <w:uiPriority w:val="99"/>
    <w:unhideWhenUsed/>
    <w:locked/>
    <w:rsid w:val="001F24BE"/>
    <w:rPr>
      <w:rFonts w:ascii="Consolas" w:eastAsia="Times New Roman" w:hAnsi="Consolas" w:cs="Times New Roman"/>
      <w:sz w:val="21"/>
      <w:szCs w:val="21"/>
      <w:lang w:val="cs-CZ" w:eastAsia="en-US"/>
    </w:rPr>
  </w:style>
  <w:style w:type="character" w:customStyle="1" w:styleId="PlainTextChar">
    <w:name w:val="Plain Text Char"/>
    <w:basedOn w:val="DefaultParagraphFont"/>
    <w:link w:val="PlainText"/>
    <w:uiPriority w:val="99"/>
    <w:rsid w:val="001F24BE"/>
    <w:rPr>
      <w:rFonts w:ascii="Consolas" w:hAnsi="Consolas" w:cs="Times New Roman"/>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47162">
      <w:marLeft w:val="0"/>
      <w:marRight w:val="0"/>
      <w:marTop w:val="0"/>
      <w:marBottom w:val="0"/>
      <w:divBdr>
        <w:top w:val="none" w:sz="0" w:space="0" w:color="auto"/>
        <w:left w:val="none" w:sz="0" w:space="0" w:color="auto"/>
        <w:bottom w:val="none" w:sz="0" w:space="0" w:color="auto"/>
        <w:right w:val="none" w:sz="0" w:space="0" w:color="auto"/>
      </w:divBdr>
    </w:div>
    <w:div w:id="1254047163">
      <w:marLeft w:val="0"/>
      <w:marRight w:val="0"/>
      <w:marTop w:val="0"/>
      <w:marBottom w:val="0"/>
      <w:divBdr>
        <w:top w:val="none" w:sz="0" w:space="0" w:color="auto"/>
        <w:left w:val="none" w:sz="0" w:space="0" w:color="auto"/>
        <w:bottom w:val="none" w:sz="0" w:space="0" w:color="auto"/>
        <w:right w:val="none" w:sz="0" w:space="0" w:color="auto"/>
      </w:divBdr>
      <w:divsChild>
        <w:div w:id="1254047176">
          <w:marLeft w:val="0"/>
          <w:marRight w:val="0"/>
          <w:marTop w:val="75"/>
          <w:marBottom w:val="75"/>
          <w:divBdr>
            <w:top w:val="none" w:sz="0" w:space="0" w:color="auto"/>
            <w:left w:val="none" w:sz="0" w:space="0" w:color="auto"/>
            <w:bottom w:val="none" w:sz="0" w:space="0" w:color="auto"/>
            <w:right w:val="none" w:sz="0" w:space="0" w:color="auto"/>
          </w:divBdr>
          <w:divsChild>
            <w:div w:id="1254047165">
              <w:marLeft w:val="0"/>
              <w:marRight w:val="0"/>
              <w:marTop w:val="372"/>
              <w:marBottom w:val="0"/>
              <w:divBdr>
                <w:top w:val="none" w:sz="0" w:space="0" w:color="auto"/>
                <w:left w:val="none" w:sz="0" w:space="0" w:color="auto"/>
                <w:bottom w:val="none" w:sz="0" w:space="0" w:color="auto"/>
                <w:right w:val="none" w:sz="0" w:space="0" w:color="auto"/>
              </w:divBdr>
              <w:divsChild>
                <w:div w:id="125404716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68">
                      <w:marLeft w:val="0"/>
                      <w:marRight w:val="0"/>
                      <w:marTop w:val="0"/>
                      <w:marBottom w:val="0"/>
                      <w:divBdr>
                        <w:top w:val="none" w:sz="0" w:space="0" w:color="auto"/>
                        <w:left w:val="none" w:sz="0" w:space="0" w:color="auto"/>
                        <w:bottom w:val="none" w:sz="0" w:space="0" w:color="auto"/>
                        <w:right w:val="none" w:sz="0" w:space="0" w:color="auto"/>
                      </w:divBdr>
                      <w:divsChild>
                        <w:div w:id="1254047164">
                          <w:marLeft w:val="0"/>
                          <w:marRight w:val="0"/>
                          <w:marTop w:val="240"/>
                          <w:marBottom w:val="0"/>
                          <w:divBdr>
                            <w:top w:val="none" w:sz="0" w:space="0" w:color="auto"/>
                            <w:left w:val="none" w:sz="0" w:space="0" w:color="auto"/>
                            <w:bottom w:val="none" w:sz="0" w:space="0" w:color="auto"/>
                            <w:right w:val="none" w:sz="0" w:space="0" w:color="auto"/>
                          </w:divBdr>
                          <w:divsChild>
                            <w:div w:id="1254047169">
                              <w:marLeft w:val="0"/>
                              <w:marRight w:val="0"/>
                              <w:marTop w:val="0"/>
                              <w:marBottom w:val="0"/>
                              <w:divBdr>
                                <w:top w:val="none" w:sz="0" w:space="0" w:color="auto"/>
                                <w:left w:val="none" w:sz="0" w:space="0" w:color="auto"/>
                                <w:bottom w:val="none" w:sz="0" w:space="0" w:color="auto"/>
                                <w:right w:val="none" w:sz="0" w:space="0" w:color="auto"/>
                              </w:divBdr>
                              <w:divsChild>
                                <w:div w:id="12540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66">
      <w:marLeft w:val="0"/>
      <w:marRight w:val="0"/>
      <w:marTop w:val="0"/>
      <w:marBottom w:val="0"/>
      <w:divBdr>
        <w:top w:val="none" w:sz="0" w:space="0" w:color="auto"/>
        <w:left w:val="none" w:sz="0" w:space="0" w:color="auto"/>
        <w:bottom w:val="none" w:sz="0" w:space="0" w:color="auto"/>
        <w:right w:val="none" w:sz="0" w:space="0" w:color="auto"/>
      </w:divBdr>
    </w:div>
    <w:div w:id="1254047170">
      <w:marLeft w:val="0"/>
      <w:marRight w:val="0"/>
      <w:marTop w:val="0"/>
      <w:marBottom w:val="0"/>
      <w:divBdr>
        <w:top w:val="none" w:sz="0" w:space="0" w:color="auto"/>
        <w:left w:val="none" w:sz="0" w:space="0" w:color="auto"/>
        <w:bottom w:val="none" w:sz="0" w:space="0" w:color="auto"/>
        <w:right w:val="none" w:sz="0" w:space="0" w:color="auto"/>
      </w:divBdr>
    </w:div>
    <w:div w:id="1254047171">
      <w:marLeft w:val="0"/>
      <w:marRight w:val="0"/>
      <w:marTop w:val="0"/>
      <w:marBottom w:val="0"/>
      <w:divBdr>
        <w:top w:val="none" w:sz="0" w:space="0" w:color="auto"/>
        <w:left w:val="none" w:sz="0" w:space="0" w:color="auto"/>
        <w:bottom w:val="none" w:sz="0" w:space="0" w:color="auto"/>
        <w:right w:val="none" w:sz="0" w:space="0" w:color="auto"/>
      </w:divBdr>
    </w:div>
    <w:div w:id="1254047172">
      <w:marLeft w:val="0"/>
      <w:marRight w:val="0"/>
      <w:marTop w:val="0"/>
      <w:marBottom w:val="0"/>
      <w:divBdr>
        <w:top w:val="none" w:sz="0" w:space="0" w:color="auto"/>
        <w:left w:val="none" w:sz="0" w:space="0" w:color="auto"/>
        <w:bottom w:val="none" w:sz="0" w:space="0" w:color="auto"/>
        <w:right w:val="none" w:sz="0" w:space="0" w:color="auto"/>
      </w:divBdr>
    </w:div>
    <w:div w:id="1254047173">
      <w:marLeft w:val="0"/>
      <w:marRight w:val="0"/>
      <w:marTop w:val="0"/>
      <w:marBottom w:val="0"/>
      <w:divBdr>
        <w:top w:val="none" w:sz="0" w:space="0" w:color="auto"/>
        <w:left w:val="none" w:sz="0" w:space="0" w:color="auto"/>
        <w:bottom w:val="none" w:sz="0" w:space="0" w:color="auto"/>
        <w:right w:val="none" w:sz="0" w:space="0" w:color="auto"/>
      </w:divBdr>
    </w:div>
    <w:div w:id="1254047174">
      <w:marLeft w:val="0"/>
      <w:marRight w:val="0"/>
      <w:marTop w:val="0"/>
      <w:marBottom w:val="0"/>
      <w:divBdr>
        <w:top w:val="none" w:sz="0" w:space="0" w:color="auto"/>
        <w:left w:val="none" w:sz="0" w:space="0" w:color="auto"/>
        <w:bottom w:val="none" w:sz="0" w:space="0" w:color="auto"/>
        <w:right w:val="none" w:sz="0" w:space="0" w:color="auto"/>
      </w:divBdr>
    </w:div>
    <w:div w:id="1254047177">
      <w:marLeft w:val="0"/>
      <w:marRight w:val="0"/>
      <w:marTop w:val="0"/>
      <w:marBottom w:val="0"/>
      <w:divBdr>
        <w:top w:val="none" w:sz="0" w:space="0" w:color="auto"/>
        <w:left w:val="none" w:sz="0" w:space="0" w:color="auto"/>
        <w:bottom w:val="none" w:sz="0" w:space="0" w:color="auto"/>
        <w:right w:val="none" w:sz="0" w:space="0" w:color="auto"/>
      </w:divBdr>
    </w:div>
    <w:div w:id="1254047178">
      <w:marLeft w:val="0"/>
      <w:marRight w:val="0"/>
      <w:marTop w:val="0"/>
      <w:marBottom w:val="0"/>
      <w:divBdr>
        <w:top w:val="none" w:sz="0" w:space="0" w:color="auto"/>
        <w:left w:val="none" w:sz="0" w:space="0" w:color="auto"/>
        <w:bottom w:val="none" w:sz="0" w:space="0" w:color="auto"/>
        <w:right w:val="none" w:sz="0" w:space="0" w:color="auto"/>
      </w:divBdr>
    </w:div>
    <w:div w:id="1254047179">
      <w:marLeft w:val="0"/>
      <w:marRight w:val="0"/>
      <w:marTop w:val="0"/>
      <w:marBottom w:val="0"/>
      <w:divBdr>
        <w:top w:val="none" w:sz="0" w:space="0" w:color="auto"/>
        <w:left w:val="none" w:sz="0" w:space="0" w:color="auto"/>
        <w:bottom w:val="none" w:sz="0" w:space="0" w:color="auto"/>
        <w:right w:val="none" w:sz="0" w:space="0" w:color="auto"/>
      </w:divBdr>
    </w:div>
    <w:div w:id="1254047180">
      <w:marLeft w:val="0"/>
      <w:marRight w:val="0"/>
      <w:marTop w:val="0"/>
      <w:marBottom w:val="0"/>
      <w:divBdr>
        <w:top w:val="none" w:sz="0" w:space="0" w:color="auto"/>
        <w:left w:val="none" w:sz="0" w:space="0" w:color="auto"/>
        <w:bottom w:val="none" w:sz="0" w:space="0" w:color="auto"/>
        <w:right w:val="none" w:sz="0" w:space="0" w:color="auto"/>
      </w:divBdr>
    </w:div>
    <w:div w:id="1254047181">
      <w:marLeft w:val="0"/>
      <w:marRight w:val="0"/>
      <w:marTop w:val="0"/>
      <w:marBottom w:val="0"/>
      <w:divBdr>
        <w:top w:val="none" w:sz="0" w:space="0" w:color="auto"/>
        <w:left w:val="none" w:sz="0" w:space="0" w:color="auto"/>
        <w:bottom w:val="none" w:sz="0" w:space="0" w:color="auto"/>
        <w:right w:val="none" w:sz="0" w:space="0" w:color="auto"/>
      </w:divBdr>
    </w:div>
    <w:div w:id="1254047182">
      <w:marLeft w:val="0"/>
      <w:marRight w:val="0"/>
      <w:marTop w:val="0"/>
      <w:marBottom w:val="0"/>
      <w:divBdr>
        <w:top w:val="none" w:sz="0" w:space="0" w:color="auto"/>
        <w:left w:val="none" w:sz="0" w:space="0" w:color="auto"/>
        <w:bottom w:val="none" w:sz="0" w:space="0" w:color="auto"/>
        <w:right w:val="none" w:sz="0" w:space="0" w:color="auto"/>
      </w:divBdr>
    </w:div>
    <w:div w:id="1254047183">
      <w:marLeft w:val="0"/>
      <w:marRight w:val="0"/>
      <w:marTop w:val="0"/>
      <w:marBottom w:val="0"/>
      <w:divBdr>
        <w:top w:val="none" w:sz="0" w:space="0" w:color="auto"/>
        <w:left w:val="none" w:sz="0" w:space="0" w:color="auto"/>
        <w:bottom w:val="none" w:sz="0" w:space="0" w:color="auto"/>
        <w:right w:val="none" w:sz="0" w:space="0" w:color="auto"/>
      </w:divBdr>
      <w:divsChild>
        <w:div w:id="1254047196">
          <w:marLeft w:val="0"/>
          <w:marRight w:val="0"/>
          <w:marTop w:val="75"/>
          <w:marBottom w:val="75"/>
          <w:divBdr>
            <w:top w:val="none" w:sz="0" w:space="0" w:color="auto"/>
            <w:left w:val="none" w:sz="0" w:space="0" w:color="auto"/>
            <w:bottom w:val="none" w:sz="0" w:space="0" w:color="auto"/>
            <w:right w:val="none" w:sz="0" w:space="0" w:color="auto"/>
          </w:divBdr>
          <w:divsChild>
            <w:div w:id="1254047185">
              <w:marLeft w:val="0"/>
              <w:marRight w:val="0"/>
              <w:marTop w:val="372"/>
              <w:marBottom w:val="0"/>
              <w:divBdr>
                <w:top w:val="none" w:sz="0" w:space="0" w:color="auto"/>
                <w:left w:val="none" w:sz="0" w:space="0" w:color="auto"/>
                <w:bottom w:val="none" w:sz="0" w:space="0" w:color="auto"/>
                <w:right w:val="none" w:sz="0" w:space="0" w:color="auto"/>
              </w:divBdr>
              <w:divsChild>
                <w:div w:id="125404718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88">
                      <w:marLeft w:val="0"/>
                      <w:marRight w:val="0"/>
                      <w:marTop w:val="0"/>
                      <w:marBottom w:val="0"/>
                      <w:divBdr>
                        <w:top w:val="none" w:sz="0" w:space="0" w:color="auto"/>
                        <w:left w:val="none" w:sz="0" w:space="0" w:color="auto"/>
                        <w:bottom w:val="none" w:sz="0" w:space="0" w:color="auto"/>
                        <w:right w:val="none" w:sz="0" w:space="0" w:color="auto"/>
                      </w:divBdr>
                      <w:divsChild>
                        <w:div w:id="1254047184">
                          <w:marLeft w:val="0"/>
                          <w:marRight w:val="0"/>
                          <w:marTop w:val="240"/>
                          <w:marBottom w:val="0"/>
                          <w:divBdr>
                            <w:top w:val="none" w:sz="0" w:space="0" w:color="auto"/>
                            <w:left w:val="none" w:sz="0" w:space="0" w:color="auto"/>
                            <w:bottom w:val="none" w:sz="0" w:space="0" w:color="auto"/>
                            <w:right w:val="none" w:sz="0" w:space="0" w:color="auto"/>
                          </w:divBdr>
                          <w:divsChild>
                            <w:div w:id="1254047189">
                              <w:marLeft w:val="0"/>
                              <w:marRight w:val="0"/>
                              <w:marTop w:val="0"/>
                              <w:marBottom w:val="0"/>
                              <w:divBdr>
                                <w:top w:val="none" w:sz="0" w:space="0" w:color="auto"/>
                                <w:left w:val="none" w:sz="0" w:space="0" w:color="auto"/>
                                <w:bottom w:val="none" w:sz="0" w:space="0" w:color="auto"/>
                                <w:right w:val="none" w:sz="0" w:space="0" w:color="auto"/>
                              </w:divBdr>
                              <w:divsChild>
                                <w:div w:id="1254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86">
      <w:marLeft w:val="0"/>
      <w:marRight w:val="0"/>
      <w:marTop w:val="0"/>
      <w:marBottom w:val="0"/>
      <w:divBdr>
        <w:top w:val="none" w:sz="0" w:space="0" w:color="auto"/>
        <w:left w:val="none" w:sz="0" w:space="0" w:color="auto"/>
        <w:bottom w:val="none" w:sz="0" w:space="0" w:color="auto"/>
        <w:right w:val="none" w:sz="0" w:space="0" w:color="auto"/>
      </w:divBdr>
    </w:div>
    <w:div w:id="1254047190">
      <w:marLeft w:val="0"/>
      <w:marRight w:val="0"/>
      <w:marTop w:val="0"/>
      <w:marBottom w:val="0"/>
      <w:divBdr>
        <w:top w:val="none" w:sz="0" w:space="0" w:color="auto"/>
        <w:left w:val="none" w:sz="0" w:space="0" w:color="auto"/>
        <w:bottom w:val="none" w:sz="0" w:space="0" w:color="auto"/>
        <w:right w:val="none" w:sz="0" w:space="0" w:color="auto"/>
      </w:divBdr>
    </w:div>
    <w:div w:id="1254047191">
      <w:marLeft w:val="0"/>
      <w:marRight w:val="0"/>
      <w:marTop w:val="0"/>
      <w:marBottom w:val="0"/>
      <w:divBdr>
        <w:top w:val="none" w:sz="0" w:space="0" w:color="auto"/>
        <w:left w:val="none" w:sz="0" w:space="0" w:color="auto"/>
        <w:bottom w:val="none" w:sz="0" w:space="0" w:color="auto"/>
        <w:right w:val="none" w:sz="0" w:space="0" w:color="auto"/>
      </w:divBdr>
    </w:div>
    <w:div w:id="1254047192">
      <w:marLeft w:val="0"/>
      <w:marRight w:val="0"/>
      <w:marTop w:val="0"/>
      <w:marBottom w:val="0"/>
      <w:divBdr>
        <w:top w:val="none" w:sz="0" w:space="0" w:color="auto"/>
        <w:left w:val="none" w:sz="0" w:space="0" w:color="auto"/>
        <w:bottom w:val="none" w:sz="0" w:space="0" w:color="auto"/>
        <w:right w:val="none" w:sz="0" w:space="0" w:color="auto"/>
      </w:divBdr>
    </w:div>
    <w:div w:id="1254047193">
      <w:marLeft w:val="0"/>
      <w:marRight w:val="0"/>
      <w:marTop w:val="0"/>
      <w:marBottom w:val="0"/>
      <w:divBdr>
        <w:top w:val="none" w:sz="0" w:space="0" w:color="auto"/>
        <w:left w:val="none" w:sz="0" w:space="0" w:color="auto"/>
        <w:bottom w:val="none" w:sz="0" w:space="0" w:color="auto"/>
        <w:right w:val="none" w:sz="0" w:space="0" w:color="auto"/>
      </w:divBdr>
    </w:div>
    <w:div w:id="1254047194">
      <w:marLeft w:val="0"/>
      <w:marRight w:val="0"/>
      <w:marTop w:val="0"/>
      <w:marBottom w:val="0"/>
      <w:divBdr>
        <w:top w:val="none" w:sz="0" w:space="0" w:color="auto"/>
        <w:left w:val="none" w:sz="0" w:space="0" w:color="auto"/>
        <w:bottom w:val="none" w:sz="0" w:space="0" w:color="auto"/>
        <w:right w:val="none" w:sz="0" w:space="0" w:color="auto"/>
      </w:divBdr>
    </w:div>
    <w:div w:id="1254047197">
      <w:marLeft w:val="0"/>
      <w:marRight w:val="0"/>
      <w:marTop w:val="0"/>
      <w:marBottom w:val="0"/>
      <w:divBdr>
        <w:top w:val="none" w:sz="0" w:space="0" w:color="auto"/>
        <w:left w:val="none" w:sz="0" w:space="0" w:color="auto"/>
        <w:bottom w:val="none" w:sz="0" w:space="0" w:color="auto"/>
        <w:right w:val="none" w:sz="0" w:space="0" w:color="auto"/>
      </w:divBdr>
    </w:div>
    <w:div w:id="1254047198">
      <w:marLeft w:val="0"/>
      <w:marRight w:val="0"/>
      <w:marTop w:val="0"/>
      <w:marBottom w:val="0"/>
      <w:divBdr>
        <w:top w:val="none" w:sz="0" w:space="0" w:color="auto"/>
        <w:left w:val="none" w:sz="0" w:space="0" w:color="auto"/>
        <w:bottom w:val="none" w:sz="0" w:space="0" w:color="auto"/>
        <w:right w:val="none" w:sz="0" w:space="0" w:color="auto"/>
      </w:divBdr>
    </w:div>
    <w:div w:id="1254047199">
      <w:marLeft w:val="0"/>
      <w:marRight w:val="0"/>
      <w:marTop w:val="0"/>
      <w:marBottom w:val="0"/>
      <w:divBdr>
        <w:top w:val="none" w:sz="0" w:space="0" w:color="auto"/>
        <w:left w:val="none" w:sz="0" w:space="0" w:color="auto"/>
        <w:bottom w:val="none" w:sz="0" w:space="0" w:color="auto"/>
        <w:right w:val="none" w:sz="0" w:space="0" w:color="auto"/>
      </w:divBdr>
    </w:div>
    <w:div w:id="1254047200">
      <w:marLeft w:val="0"/>
      <w:marRight w:val="0"/>
      <w:marTop w:val="0"/>
      <w:marBottom w:val="0"/>
      <w:divBdr>
        <w:top w:val="none" w:sz="0" w:space="0" w:color="auto"/>
        <w:left w:val="none" w:sz="0" w:space="0" w:color="auto"/>
        <w:bottom w:val="none" w:sz="0" w:space="0" w:color="auto"/>
        <w:right w:val="none" w:sz="0" w:space="0" w:color="auto"/>
      </w:divBdr>
    </w:div>
    <w:div w:id="1254047201">
      <w:marLeft w:val="0"/>
      <w:marRight w:val="0"/>
      <w:marTop w:val="0"/>
      <w:marBottom w:val="0"/>
      <w:divBdr>
        <w:top w:val="none" w:sz="0" w:space="0" w:color="auto"/>
        <w:left w:val="none" w:sz="0" w:space="0" w:color="auto"/>
        <w:bottom w:val="none" w:sz="0" w:space="0" w:color="auto"/>
        <w:right w:val="none" w:sz="0" w:space="0" w:color="auto"/>
      </w:divBdr>
    </w:div>
    <w:div w:id="12894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9B919-2D49-43DB-A567-5729C5B50A53}">
  <ds:schemaRefs>
    <ds:schemaRef ds:uri="http://schemas.openxmlformats.org/officeDocument/2006/bibliography"/>
  </ds:schemaRefs>
</ds:datastoreItem>
</file>

<file path=customXml/itemProps2.xml><?xml version="1.0" encoding="utf-8"?>
<ds:datastoreItem xmlns:ds="http://schemas.openxmlformats.org/officeDocument/2006/customXml" ds:itemID="{337781F3-DB95-4ACF-AA58-CE622C00BDCC}"/>
</file>

<file path=customXml/itemProps3.xml><?xml version="1.0" encoding="utf-8"?>
<ds:datastoreItem xmlns:ds="http://schemas.openxmlformats.org/officeDocument/2006/customXml" ds:itemID="{3964175B-FD15-4262-92C3-9D4D94F07623}"/>
</file>

<file path=customXml/itemProps4.xml><?xml version="1.0" encoding="utf-8"?>
<ds:datastoreItem xmlns:ds="http://schemas.openxmlformats.org/officeDocument/2006/customXml" ds:itemID="{6EC02764-8B53-48D8-9164-D141D7EA9132}"/>
</file>

<file path=docProps/app.xml><?xml version="1.0" encoding="utf-8"?>
<Properties xmlns="http://schemas.openxmlformats.org/officeDocument/2006/extended-properties" xmlns:vt="http://schemas.openxmlformats.org/officeDocument/2006/docPropsVTypes">
  <Template>Normal.dotm</Template>
  <TotalTime>0</TotalTime>
  <Pages>18</Pages>
  <Words>5888</Words>
  <Characters>33566</Characters>
  <Application>Microsoft Office Word</Application>
  <DocSecurity>0</DocSecurity>
  <Lines>279</Lines>
  <Paragraphs>78</Paragraphs>
  <ScaleCrop>false</ScaleCrop>
  <HeadingPairs>
    <vt:vector size="4" baseType="variant">
      <vt:variant>
        <vt:lpstr>Titel</vt:lpstr>
      </vt:variant>
      <vt:variant>
        <vt:i4>1</vt:i4>
      </vt:variant>
      <vt:variant>
        <vt:lpstr>Überschriften</vt:lpstr>
      </vt:variant>
      <vt:variant>
        <vt:i4>64</vt:i4>
      </vt:variant>
    </vt:vector>
  </HeadingPairs>
  <TitlesOfParts>
    <vt:vector size="65" baseType="lpstr">
      <vt:lpstr/>
      <vt:lpstr>LANDESGESETZBLATT</vt:lpstr>
      <vt:lpstr>        Artikel I</vt:lpstr>
      <vt:lpstr>        1. Das Inhaltsverzeichnis lautet:</vt:lpstr>
      <vt:lpstr>„Inhaltsverzeichnis:</vt:lpstr>
      <vt:lpstr>        2. Die Überschrift des 1. Abschnittes lautet:</vt:lpstr>
      <vt:lpstr>„Inverkehrbringen von Heizgeräten“</vt:lpstr>
      <vt:lpstr>        3. § 1 lautet:</vt:lpstr>
      <vt:lpstr>        4. § 2 lautet: </vt:lpstr>
      <vt:lpstr>    1. Heizgeräte für feste Brennstoffe mit händischer Beschickung:</vt:lpstr>
      <vt:lpstr>    2. Heizgeräte für feste Brennstoffe mit automatischer Beschickung:</vt:lpstr>
      <vt:lpstr>    3. Heizgeräte für flüssige Brennstoffe:</vt:lpstr>
      <vt:lpstr>    4. Heizgeräte für gasförmige Brennstoffe:</vt:lpstr>
      <vt:lpstr>        5. § 3 lautet: </vt:lpstr>
      <vt:lpstr>    1. Einzelraumheizgeräte für feste Brennstoffe:</vt:lpstr>
      <vt:lpstr>    2. Warmwasserbereiter:</vt:lpstr>
      <vt:lpstr>    3. Raumheizgeräte für feste Brennstoffe*:</vt:lpstr>
      <vt:lpstr>        6. § 4 lautet:</vt:lpstr>
      <vt:lpstr>    7. Die Bezeichnung des Abschnitts 2 entfällt samt Überschrift.</vt:lpstr>
      <vt:lpstr>        8. Der bisherige Abschnitt 3 erhält die Abschnittsbezeichnung „2“.</vt:lpstr>
      <vt:lpstr>        9. Vor § 6 wird folgender § 5a eingefügt:</vt:lpstr>
      <vt:lpstr>        10. § 6 lautet:</vt:lpstr>
      <vt:lpstr>        11. Nach § 6 wird folgender § 6a eingefügt:</vt:lpstr>
      <vt:lpstr>        12. § 7 lautet:</vt:lpstr>
      <vt:lpstr>        13. Der bisherige Abschnitt 4 erhält die Abschnittsbezeichnung „3“.</vt:lpstr>
      <vt:lpstr>        14. § 9 lautet:</vt:lpstr>
      <vt:lpstr>    1. Feuerungsanlagen für feste Brennstoffe:</vt:lpstr>
      <vt:lpstr>    2. Feuerungsanlagen für flüssige Brennstoffe:</vt:lpstr>
      <vt:lpstr>    3. Feuerungsanlagen für gasförmige Brennstoffe:</vt:lpstr>
      <vt:lpstr>    1. Feste biogene Brennstoffe:</vt:lpstr>
      <vt:lpstr>    2. Flüssige biogene Brennstoffe:</vt:lpstr>
      <vt:lpstr>    3. Gasförmige biogene Brennstoffe:</vt:lpstr>
      <vt:lpstr>        15. § 10 lautet:</vt:lpstr>
      <vt:lpstr>        16. § 11 lautet:</vt:lpstr>
      <vt:lpstr>    1. Flüssige Kraftstoffe: </vt:lpstr>
      <vt:lpstr>    2. Gasförmige Kraftstoffe: </vt:lpstr>
      <vt:lpstr>        17. Nach § 11 wird folgender § 11a eingefügt:</vt:lpstr>
      <vt:lpstr>        18. Der bisherige Abschnitt 5 erhält die Abschnittsbezeichnung „4“.</vt:lpstr>
      <vt:lpstr>        19. § 12 Abs. 1 lautet:</vt:lpstr>
      <vt:lpstr>        20. Die bisherige Bezeichnung des Abschnitts 6 wird durch folgende Abschnittsbez</vt:lpstr>
      <vt:lpstr>        „5. Abschnitt Überprüfungen von Feuerungsanlagen und Blockheizkraftwerken im Bet</vt:lpstr>
      <vt:lpstr>        21. § 14 lautet:</vt:lpstr>
      <vt:lpstr>        22. § 15 Abs. 2 und Abs. 3 lauten:</vt:lpstr>
      <vt:lpstr>        23. In § 15 Abs. 4 wird die Wortfolge „Eigentümer oder der verfügungsberechtigte</vt:lpstr>
      <vt:lpstr>        24. § 15 Abs. 5 entfällt.</vt:lpstr>
      <vt:lpstr>        25. § 16 lautet:</vt:lpstr>
      <vt:lpstr>        26. In § 17 wird die Wortfolge „Feuerungsanlagen-Verordnung – FAV, BGBl. II Nr. </vt:lpstr>
      <vt:lpstr>        27. In § 21 Abs. 1 wird die Bezeichnung „Abschnitt 4“ durch die Bezeichnung „Abs</vt:lpstr>
      <vt:lpstr>        28. Nach § 21 Abs. 1 wird nachfolgender Abs. 1a eingefügt:</vt:lpstr>
      <vt:lpstr>        29. In § 21 Abs. 2 wird die Wortfolge „Diese Frist verlängert sich“ durch die Wo</vt:lpstr>
      <vt:lpstr>        30. § 21 Abs. 3 Z 2 lautet:</vt:lpstr>
      <vt:lpstr>        31. Der bisherige Abschnitt 7 erhält die Abschnittsbezeichnung „6“.</vt:lpstr>
      <vt:lpstr>        32. Nach § 23 wird folgender § 23a eingefügt:</vt:lpstr>
      <vt:lpstr>        33. Anlage 1, Anlage 2a, Anlage 2b, Anlage 2c und Anlage 3 werden durch folgende</vt:lpstr>
      <vt:lpstr>Anlage 1 </vt:lpstr>
      <vt:lpstr>    Feuerungsanlage/BHKW wurde eingebaut durch:</vt:lpstr>
      <vt:lpstr>    Änderungen an der Feuerungsanlage/BHKW:</vt:lpstr>
      <vt:lpstr>Anlage 2a</vt:lpstr>
      <vt:lpstr>Anlage 2b</vt:lpstr>
      <vt:lpstr>Anlage 2c</vt:lpstr>
      <vt:lpstr>Anlage 3</vt:lpstr>
      <vt:lpstr>        34. Nach Anlage 3 werden folgende Anlage 4 und Anlage 5 angefügt:</vt:lpstr>
      <vt:lpstr>„Anlage 4 (zu § 11a)</vt:lpstr>
      <vt:lpstr>Anlage 5 (zu § 6a)</vt:lpstr>
      <vt:lpstr>        Artikel II</vt:lpstr>
    </vt:vector>
  </TitlesOfParts>
  <Company/>
  <LinksUpToDate>false</LinksUpToDate>
  <CharactersWithSpaces>39376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2015-03-19T07:54:00Z</cp:lastPrinted>
  <dcterms:created xsi:type="dcterms:W3CDTF">2019-12-03T10:01:00Z</dcterms:created>
  <dcterms:modified xsi:type="dcterms:W3CDTF">2020-07-07T12:09:00Z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false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vt:r8>
  </property>
  <property fmtid="{D5CDD505-2E9C-101B-9397-08002B2CF9AE}" pid="8" name="DocOption_GridDistanceVertical">
    <vt:r8>5</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and/Bund">
    <vt:lpwstr>Landesgesetzblatt Kärnten,Times New Roman,10,Times New Roman,10,1,2,3,3</vt:lpwstr>
  </property>
  <property fmtid="{D5CDD505-2E9C-101B-9397-08002B2CF9AE}" pid="88" name="LegistikVersion">
    <vt:lpwstr>1.6.0.0 (21.03.2019)</vt:lpwstr>
  </property>
  <property fmtid="{D5CDD505-2E9C-101B-9397-08002B2CF9AE}" pid="89" name="ContentTypeId">
    <vt:lpwstr>0x010100CC5DA6F2BFDD34498C4453AF02783704</vt:lpwstr>
  </property>
</Properties>
</file>