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A160B1" w:rsidRDefault="001F7616" w:rsidP="00A87D28">
      <w:pPr>
        <w:rPr>
          <w:rFonts w:ascii="Arial" w:hAnsi="Arial" w:cs="Arial"/>
          <w:b/>
          <w:sz w:val="24"/>
          <w:szCs w:val="24"/>
        </w:rPr>
      </w:pPr>
      <w:r>
        <w:rPr>
          <w:rFonts w:ascii="Courier New" w:hAnsi="Courier New"/>
        </w:rPr>
        <w:t xml:space="preserve">1. </w:t>
      </w:r>
      <w:r>
        <w:t>------IND- 2020 0218 GR- ES-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A160B1" w:rsidTr="00A87D28">
        <w:trPr>
          <w:cantSplit/>
        </w:trPr>
        <w:tc>
          <w:tcPr>
            <w:tcW w:w="5671" w:type="dxa"/>
            <w:gridSpan w:val="2"/>
          </w:tcPr>
          <w:p w:rsidR="00241516" w:rsidRPr="00A160B1" w:rsidRDefault="00AA2A2B" w:rsidP="00A87D28">
            <w:pPr>
              <w:pStyle w:val="Heading3"/>
              <w:keepNext w:val="0"/>
              <w:ind w:left="34"/>
              <w:rPr>
                <w:rFonts w:ascii="Times New Roman" w:hAnsi="Times New Roman"/>
                <w:b w:val="0"/>
                <w:sz w:val="20"/>
              </w:rPr>
            </w:pPr>
            <w:r>
              <w:rPr>
                <w:rFonts w:ascii="Times New Roman" w:hAnsi="Times New Roman"/>
                <w:b w:val="0"/>
                <w:noProof/>
                <w:sz w:val="20"/>
                <w:lang w:val="en-US" w:eastAsia="en-US"/>
              </w:rPr>
              <w:drawing>
                <wp:inline distT="0" distB="0" distL="0" distR="0">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rsidR="00A87D28" w:rsidRPr="00A160B1" w:rsidRDefault="00A87D28" w:rsidP="00A87D28">
            <w:pPr>
              <w:pStyle w:val="a"/>
              <w:framePr w:wrap="notBeside"/>
              <w:spacing w:after="120"/>
              <w:ind w:right="-108"/>
              <w:jc w:val="center"/>
              <w:rPr>
                <w:rFonts w:ascii="Times New Roman" w:hAnsi="Times New Roman"/>
                <w:color w:val="1F3864"/>
                <w:spacing w:val="0"/>
                <w:sz w:val="22"/>
              </w:rPr>
            </w:pPr>
            <w:r>
              <w:rPr>
                <w:rFonts w:ascii="Times New Roman" w:hAnsi="Times New Roman"/>
                <w:color w:val="1F3864"/>
                <w:sz w:val="22"/>
              </w:rPr>
              <w:t>REPÚBLICA HELÉNICA</w:t>
            </w:r>
            <w:r>
              <w:rPr>
                <w:rFonts w:ascii="Times New Roman" w:hAnsi="Times New Roman"/>
                <w:color w:val="1F3864"/>
                <w:sz w:val="22"/>
              </w:rPr>
              <w:br/>
            </w:r>
            <w:r>
              <w:rPr>
                <w:rFonts w:ascii="Times New Roman" w:hAnsi="Times New Roman"/>
                <w:b/>
                <w:color w:val="1F3864"/>
                <w:sz w:val="22"/>
              </w:rPr>
              <w:t xml:space="preserve">MINISTERIO DE </w:t>
            </w:r>
            <w:r>
              <w:rPr>
                <w:rFonts w:ascii="Times New Roman" w:hAnsi="Times New Roman"/>
                <w:b/>
                <w:color w:val="1F3864"/>
                <w:sz w:val="22"/>
              </w:rPr>
              <w:br/>
              <w:t>DESARROLLO E INVERSIONES</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SECRETARÍA GENERAL DE INDUSTRIA</w:t>
            </w:r>
          </w:p>
          <w:p w:rsidR="00073FC0" w:rsidRPr="00A160B1" w:rsidRDefault="00073FC0" w:rsidP="00A87D28">
            <w:pPr>
              <w:pStyle w:val="a"/>
              <w:framePr w:wrap="notBeside"/>
              <w:spacing w:line="240" w:lineRule="auto"/>
              <w:ind w:right="-108"/>
              <w:jc w:val="left"/>
              <w:rPr>
                <w:rFonts w:ascii="Times New Roman" w:hAnsi="Times New Roman"/>
                <w:spacing w:val="0"/>
                <w:sz w:val="20"/>
              </w:rPr>
            </w:pPr>
            <w:r>
              <w:rPr>
                <w:rFonts w:ascii="Times New Roman" w:hAnsi="Times New Roman"/>
                <w:sz w:val="20"/>
              </w:rPr>
              <w:t>DIRECCIÓN GENERAL DE INDUSTRIA Y ENTORNO EMPRESARIAL</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DIRECCIÓN DE POLÍTICA DE CALIDAD</w:t>
            </w:r>
          </w:p>
          <w:p w:rsidR="00DB520C" w:rsidRPr="00A160B1" w:rsidRDefault="00073FC0" w:rsidP="00A87D28">
            <w:pPr>
              <w:rPr>
                <w:rFonts w:ascii="Arial" w:hAnsi="Arial"/>
                <w:sz w:val="24"/>
              </w:rPr>
            </w:pPr>
            <w:r>
              <w:rPr>
                <w:rFonts w:ascii="Times New Roman" w:hAnsi="Times New Roman"/>
              </w:rPr>
              <w:t>DEPARTAMENTO DE POLÍTICAS DE CALIDAD, EXCELENCIA EMPRESARIAL Y POLÍTICAS METROLÓGICAS</w:t>
            </w:r>
          </w:p>
        </w:tc>
        <w:tc>
          <w:tcPr>
            <w:tcW w:w="4536" w:type="dxa"/>
            <w:vAlign w:val="center"/>
          </w:tcPr>
          <w:p w:rsidR="00DB520C" w:rsidRPr="00A160B1" w:rsidRDefault="00DB520C" w:rsidP="00A87D28">
            <w:pPr>
              <w:ind w:left="-851" w:right="-99"/>
              <w:rPr>
                <w:rFonts w:ascii="Arial" w:hAnsi="Arial" w:cs="Arial"/>
                <w:sz w:val="24"/>
                <w:lang w:val="el-GR"/>
              </w:rPr>
            </w:pPr>
          </w:p>
          <w:p w:rsidR="00DB520C" w:rsidRPr="00A160B1" w:rsidRDefault="00212831" w:rsidP="00A87D28">
            <w:pPr>
              <w:ind w:left="39" w:right="33"/>
              <w:rPr>
                <w:rFonts w:ascii="Times New Roman" w:hAnsi="Times New Roman"/>
                <w:sz w:val="24"/>
              </w:rPr>
            </w:pPr>
            <w:r>
              <w:rPr>
                <w:rFonts w:ascii="Times New Roman" w:hAnsi="Times New Roman"/>
                <w:sz w:val="24"/>
              </w:rPr>
              <w:t xml:space="preserve">En Atenas, </w:t>
            </w:r>
            <w:r>
              <w:rPr>
                <w:rFonts w:ascii="Times New Roman" w:hAnsi="Times New Roman"/>
                <w:b/>
                <w:sz w:val="24"/>
              </w:rPr>
              <w:t>a 20.5.2020</w:t>
            </w:r>
          </w:p>
          <w:p w:rsidR="00DB520C" w:rsidRPr="00A160B1" w:rsidRDefault="00DB520C" w:rsidP="00A87D28">
            <w:pPr>
              <w:ind w:left="39" w:right="33"/>
              <w:rPr>
                <w:rFonts w:ascii="Times New Roman" w:hAnsi="Times New Roman"/>
                <w:sz w:val="24"/>
                <w:lang w:val="el-GR"/>
              </w:rPr>
            </w:pPr>
          </w:p>
          <w:p w:rsidR="00DB520C" w:rsidRPr="00A160B1" w:rsidRDefault="00DB520C" w:rsidP="00A87D28">
            <w:pPr>
              <w:ind w:left="39" w:right="33"/>
              <w:rPr>
                <w:rFonts w:ascii="Arial" w:hAnsi="Arial" w:cs="Arial"/>
                <w:sz w:val="24"/>
              </w:rPr>
            </w:pPr>
            <w:r>
              <w:rPr>
                <w:rFonts w:ascii="Times New Roman" w:hAnsi="Times New Roman"/>
                <w:sz w:val="24"/>
              </w:rPr>
              <w:t xml:space="preserve">N.º de ref.: </w:t>
            </w:r>
            <w:r>
              <w:rPr>
                <w:rFonts w:ascii="Arial" w:hAnsi="Arial"/>
                <w:b/>
                <w:sz w:val="22"/>
                <w:szCs w:val="22"/>
              </w:rPr>
              <w:t>50116 - 20.5.2020</w:t>
            </w:r>
          </w:p>
        </w:tc>
      </w:tr>
      <w:tr w:rsidR="00A87D28" w:rsidRPr="00A160B1" w:rsidTr="00A160B1">
        <w:trPr>
          <w:cantSplit/>
        </w:trPr>
        <w:tc>
          <w:tcPr>
            <w:tcW w:w="1844" w:type="dxa"/>
          </w:tcPr>
          <w:p w:rsidR="00A87D28" w:rsidRPr="00A160B1" w:rsidRDefault="00A87D28" w:rsidP="00A87D28">
            <w:pPr>
              <w:tabs>
                <w:tab w:val="left" w:pos="1560"/>
              </w:tabs>
              <w:ind w:right="34"/>
              <w:rPr>
                <w:rFonts w:ascii="Times New Roman" w:hAnsi="Times New Roman"/>
                <w:b/>
              </w:rPr>
            </w:pPr>
            <w:r>
              <w:rPr>
                <w:rFonts w:ascii="Times New Roman" w:hAnsi="Times New Roman"/>
                <w:b/>
              </w:rPr>
              <w:t>Dirección postal</w:t>
            </w:r>
          </w:p>
          <w:p w:rsidR="00A87D28" w:rsidRPr="00A160B1" w:rsidRDefault="00A87D28" w:rsidP="00A87D28">
            <w:pPr>
              <w:tabs>
                <w:tab w:val="left" w:pos="1560"/>
              </w:tabs>
              <w:ind w:right="34"/>
              <w:rPr>
                <w:rFonts w:ascii="Times New Roman" w:hAnsi="Times New Roman"/>
                <w:b/>
              </w:rPr>
            </w:pPr>
            <w:r>
              <w:rPr>
                <w:rFonts w:ascii="Times New Roman" w:hAnsi="Times New Roman"/>
                <w:b/>
              </w:rPr>
              <w:t>Código postal</w:t>
            </w:r>
          </w:p>
          <w:p w:rsidR="00A87D28" w:rsidRPr="00A160B1" w:rsidRDefault="00A87D28" w:rsidP="00A87D28">
            <w:pPr>
              <w:ind w:right="34"/>
              <w:rPr>
                <w:rFonts w:ascii="Times New Roman" w:hAnsi="Times New Roman"/>
                <w:b/>
              </w:rPr>
            </w:pPr>
            <w:r>
              <w:rPr>
                <w:rFonts w:ascii="Times New Roman" w:hAnsi="Times New Roman"/>
                <w:b/>
              </w:rPr>
              <w:t>Información</w:t>
            </w:r>
          </w:p>
          <w:p w:rsidR="00A87D28" w:rsidRPr="00A160B1" w:rsidRDefault="00A87D28" w:rsidP="00A87D28">
            <w:pPr>
              <w:ind w:right="34"/>
              <w:rPr>
                <w:rFonts w:ascii="Times New Roman" w:hAnsi="Times New Roman"/>
                <w:b/>
              </w:rPr>
            </w:pPr>
            <w:r>
              <w:rPr>
                <w:rFonts w:ascii="Times New Roman" w:hAnsi="Times New Roman"/>
                <w:b/>
              </w:rPr>
              <w:t>Tel.</w:t>
            </w:r>
          </w:p>
          <w:p w:rsidR="00A87D28" w:rsidRPr="00A160B1" w:rsidRDefault="00A87D28" w:rsidP="00A87D28">
            <w:pPr>
              <w:pStyle w:val="Heading4"/>
              <w:keepNext w:val="0"/>
              <w:ind w:right="34"/>
              <w:jc w:val="left"/>
              <w:rPr>
                <w:rFonts w:ascii="Times New Roman" w:hAnsi="Times New Roman"/>
                <w:sz w:val="20"/>
                <w:u w:val="none"/>
              </w:rPr>
            </w:pPr>
            <w:r>
              <w:rPr>
                <w:rFonts w:ascii="Times New Roman" w:hAnsi="Times New Roman"/>
                <w:sz w:val="20"/>
                <w:u w:val="none"/>
              </w:rPr>
              <w:t>Fax</w:t>
            </w:r>
          </w:p>
          <w:p w:rsidR="00A87D28" w:rsidRPr="00A160B1" w:rsidRDefault="00A87D28" w:rsidP="00A87D28">
            <w:pPr>
              <w:rPr>
                <w:rFonts w:ascii="Times New Roman" w:hAnsi="Times New Roman"/>
                <w:b/>
              </w:rPr>
            </w:pPr>
            <w:r>
              <w:rPr>
                <w:rFonts w:ascii="Times New Roman" w:hAnsi="Times New Roman"/>
                <w:b/>
              </w:rPr>
              <w:t>Correo electrónico</w:t>
            </w:r>
          </w:p>
        </w:tc>
        <w:tc>
          <w:tcPr>
            <w:tcW w:w="8363" w:type="dxa"/>
            <w:gridSpan w:val="2"/>
          </w:tcPr>
          <w:p w:rsidR="00A87D28" w:rsidRPr="005670D2" w:rsidRDefault="00A87D28" w:rsidP="00A87D28">
            <w:pPr>
              <w:ind w:left="33" w:right="34"/>
              <w:rPr>
                <w:rFonts w:ascii="Times New Roman" w:hAnsi="Times New Roman"/>
                <w:lang w:val="en-US"/>
              </w:rPr>
            </w:pPr>
            <w:r w:rsidRPr="005670D2">
              <w:rPr>
                <w:rFonts w:ascii="Times New Roman" w:hAnsi="Times New Roman"/>
                <w:b/>
                <w:lang w:val="en-US"/>
              </w:rPr>
              <w:t xml:space="preserve">: </w:t>
            </w:r>
            <w:r w:rsidRPr="005670D2">
              <w:rPr>
                <w:rFonts w:ascii="Times New Roman" w:hAnsi="Times New Roman"/>
                <w:lang w:val="en-US"/>
              </w:rPr>
              <w:t>Kaningos Square</w:t>
            </w:r>
          </w:p>
          <w:p w:rsidR="00A87D28" w:rsidRPr="005670D2" w:rsidRDefault="00A87D28" w:rsidP="00A87D28">
            <w:pPr>
              <w:ind w:left="33" w:right="34"/>
              <w:rPr>
                <w:rFonts w:ascii="Times New Roman" w:hAnsi="Times New Roman"/>
                <w:lang w:val="en-US"/>
              </w:rPr>
            </w:pPr>
            <w:r w:rsidRPr="005670D2">
              <w:rPr>
                <w:rFonts w:ascii="Times New Roman" w:hAnsi="Times New Roman"/>
                <w:b/>
                <w:lang w:val="en-US"/>
              </w:rPr>
              <w:t xml:space="preserve">: </w:t>
            </w:r>
            <w:r w:rsidRPr="005670D2">
              <w:rPr>
                <w:rFonts w:ascii="Times New Roman" w:hAnsi="Times New Roman"/>
                <w:lang w:val="en-US"/>
              </w:rPr>
              <w:t>10181, Atenas</w:t>
            </w:r>
          </w:p>
          <w:p w:rsidR="00A87D28" w:rsidRPr="005670D2" w:rsidRDefault="00A87D28" w:rsidP="00A87D28">
            <w:pPr>
              <w:ind w:left="33" w:right="34"/>
              <w:rPr>
                <w:rFonts w:ascii="Times New Roman" w:hAnsi="Times New Roman"/>
                <w:b/>
                <w:lang w:val="en-US"/>
              </w:rPr>
            </w:pPr>
            <w:r w:rsidRPr="005670D2">
              <w:rPr>
                <w:rFonts w:ascii="Times New Roman" w:hAnsi="Times New Roman"/>
                <w:b/>
                <w:lang w:val="en-US"/>
              </w:rPr>
              <w:t xml:space="preserve">: </w:t>
            </w:r>
            <w:r w:rsidRPr="005670D2">
              <w:rPr>
                <w:rFonts w:ascii="Times New Roman" w:hAnsi="Times New Roman"/>
                <w:lang w:val="en-US"/>
              </w:rPr>
              <w:t>Triveli Aikaterini</w:t>
            </w:r>
          </w:p>
          <w:p w:rsidR="00A87D28" w:rsidRPr="005670D2" w:rsidRDefault="00A87D28" w:rsidP="00A87D28">
            <w:pPr>
              <w:ind w:left="33" w:right="34"/>
              <w:rPr>
                <w:rFonts w:ascii="Times New Roman" w:hAnsi="Times New Roman"/>
                <w:lang w:val="en-US"/>
              </w:rPr>
            </w:pPr>
            <w:r w:rsidRPr="005670D2">
              <w:rPr>
                <w:rFonts w:ascii="Times New Roman" w:hAnsi="Times New Roman"/>
                <w:b/>
                <w:lang w:val="en-US"/>
              </w:rPr>
              <w:t>:</w:t>
            </w:r>
            <w:r w:rsidRPr="005670D2">
              <w:rPr>
                <w:rFonts w:ascii="Times New Roman" w:hAnsi="Times New Roman"/>
                <w:lang w:val="en-US"/>
              </w:rPr>
              <w:t xml:space="preserve"> 2 1 0 3 8 9 3 8 4 5</w:t>
            </w:r>
          </w:p>
          <w:p w:rsidR="00A87D28" w:rsidRPr="00A160B1" w:rsidRDefault="00A87D28" w:rsidP="00A87D28">
            <w:pPr>
              <w:ind w:left="33" w:right="34"/>
              <w:rPr>
                <w:rFonts w:ascii="Times New Roman" w:hAnsi="Times New Roman"/>
                <w:b/>
              </w:rPr>
            </w:pPr>
            <w:r>
              <w:rPr>
                <w:rFonts w:ascii="Times New Roman" w:hAnsi="Times New Roman"/>
                <w:b/>
              </w:rPr>
              <w:t>:</w:t>
            </w:r>
            <w:r>
              <w:rPr>
                <w:rFonts w:ascii="Times New Roman" w:hAnsi="Times New Roman"/>
              </w:rPr>
              <w:t xml:space="preserve"> 2 1 0 3 8 9 3 8 5 0</w:t>
            </w:r>
          </w:p>
          <w:p w:rsidR="00A87D28" w:rsidRPr="00A160B1" w:rsidRDefault="00A87D28" w:rsidP="00A87D28">
            <w:pPr>
              <w:ind w:left="33"/>
              <w:rPr>
                <w:rFonts w:ascii="Times New Roman" w:hAnsi="Times New Roman"/>
                <w:sz w:val="24"/>
                <w:szCs w:val="24"/>
              </w:rPr>
            </w:pPr>
            <w:r>
              <w:rPr>
                <w:rFonts w:ascii="Times New Roman" w:hAnsi="Times New Roman"/>
                <w:b/>
              </w:rPr>
              <w:t>:</w:t>
            </w:r>
            <w:r>
              <w:rPr>
                <w:rFonts w:ascii="Times New Roman" w:hAnsi="Times New Roman"/>
              </w:rPr>
              <w:t xml:space="preserve"> </w:t>
            </w:r>
            <w:hyperlink r:id="rId11" w:history="1">
              <w:r>
                <w:rPr>
                  <w:rStyle w:val="Hyperlink"/>
                  <w:rFonts w:ascii="Times New Roman" w:hAnsi="Times New Roman"/>
                  <w:sz w:val="20"/>
                  <w:szCs w:val="20"/>
                </w:rPr>
                <w:t>Triveli.aikaterini@ggb.gr</w:t>
              </w:r>
            </w:hyperlink>
          </w:p>
        </w:tc>
      </w:tr>
    </w:tbl>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DECISIÓN</w:t>
      </w:r>
    </w:p>
    <w:p w:rsidR="009C32EB" w:rsidRPr="00A160B1" w:rsidRDefault="009C32EB" w:rsidP="00A87D28">
      <w:pPr>
        <w:keepNext/>
        <w:keepLines/>
        <w:ind w:right="42"/>
        <w:jc w:val="center"/>
        <w:rPr>
          <w:rFonts w:ascii="Times New Roman" w:hAnsi="Times New Roman"/>
          <w:b/>
          <w:sz w:val="22"/>
          <w:szCs w:val="22"/>
          <w:lang w:val="el-GR"/>
        </w:rPr>
      </w:pPr>
    </w:p>
    <w:p w:rsidR="008A6100" w:rsidRPr="00A160B1" w:rsidRDefault="008A6100" w:rsidP="00A87D28">
      <w:pPr>
        <w:ind w:right="42"/>
        <w:jc w:val="both"/>
        <w:rPr>
          <w:rFonts w:ascii="Times New Roman" w:hAnsi="Times New Roman"/>
          <w:b/>
          <w:sz w:val="22"/>
          <w:szCs w:val="22"/>
        </w:rPr>
      </w:pPr>
      <w:r>
        <w:rPr>
          <w:rFonts w:ascii="Times New Roman" w:hAnsi="Times New Roman"/>
          <w:b/>
          <w:sz w:val="22"/>
          <w:szCs w:val="22"/>
        </w:rPr>
        <w:t>ASUNTO:</w:t>
      </w:r>
      <w:r>
        <w:rPr>
          <w:rFonts w:ascii="Times New Roman" w:hAnsi="Times New Roman"/>
          <w:sz w:val="22"/>
          <w:szCs w:val="22"/>
        </w:rPr>
        <w:t xml:space="preserve"> Reglamento de seguridad y control de equipos y dispositivos recreativos</w:t>
      </w:r>
    </w:p>
    <w:p w:rsidR="008A6100" w:rsidRPr="00A160B1" w:rsidRDefault="008A6100" w:rsidP="00A87D28">
      <w:pPr>
        <w:ind w:right="42"/>
        <w:jc w:val="both"/>
        <w:rPr>
          <w:rFonts w:ascii="Times New Roman" w:hAnsi="Times New Roman"/>
          <w:sz w:val="22"/>
          <w:szCs w:val="22"/>
          <w:lang w:val="el-GR"/>
        </w:rPr>
      </w:pPr>
    </w:p>
    <w:p w:rsidR="00212831"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EL MINISTRO</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DE DESARROLLO E INVERSIONES</w:t>
      </w:r>
    </w:p>
    <w:p w:rsidR="009C32EB" w:rsidRPr="00A160B1" w:rsidRDefault="00A87D28" w:rsidP="00786C96">
      <w:pPr>
        <w:keepNext/>
        <w:keepLines/>
        <w:tabs>
          <w:tab w:val="left" w:pos="426"/>
        </w:tabs>
        <w:spacing w:before="80" w:after="80"/>
        <w:ind w:right="45"/>
        <w:rPr>
          <w:rFonts w:ascii="Times New Roman" w:hAnsi="Times New Roman"/>
          <w:b/>
          <w:color w:val="000000"/>
          <w:sz w:val="22"/>
          <w:szCs w:val="22"/>
        </w:rPr>
      </w:pPr>
      <w:r>
        <w:rPr>
          <w:rFonts w:ascii="Times New Roman" w:hAnsi="Times New Roman"/>
          <w:color w:val="000000"/>
          <w:sz w:val="22"/>
          <w:szCs w:val="22"/>
        </w:rPr>
        <w:t>Α.</w:t>
      </w:r>
      <w:r>
        <w:rPr>
          <w:rFonts w:ascii="Times New Roman" w:hAnsi="Times New Roman"/>
          <w:color w:val="000000"/>
          <w:sz w:val="22"/>
          <w:szCs w:val="22"/>
        </w:rPr>
        <w:tab/>
        <w:t>Considerando:</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 Ley n.º 4622/2019 (133/Α) relativa a las «Oficinas centrales del Gobierno: organización, funcionamiento y transparencia del Gobierno, de los órganos gubernamentales y de la administración pública central»;</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bookmarkStart w:id="0" w:name="_GoBack"/>
      <w:bookmarkEnd w:id="0"/>
      <w:r>
        <w:rPr>
          <w:rFonts w:ascii="Times New Roman" w:hAnsi="Times New Roman"/>
          <w:sz w:val="22"/>
          <w:szCs w:val="22"/>
        </w:rPr>
        <w:t>la Ley n.º 4605/2019 (52/A) y, en especial, su artículo 47, que establece lo siguiente: «1. La Dirección General de Aplicación de Reglamentos, Infraestructuras y Control de la Secretaría General de Industria del Ministerio de Economía y Desarrollo, establecida por el artículo 2 del Decreto Presidencial n.º 147/2017 (192/A), pasa a denominarse Dirección General de Industria y Entorno Empresarial.»;</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las disposiciones de los artículos 22 a 33 de la Ley 4072/2012 (86/A) relativa a la mejora del entorno empresarial, la nueva forma corporativa, las marcas registradas, los agentes inmobiliarios, la regulación de asuntos relacionados con el transporte marítimo, los puertos y la pesca, y otras disposiciones relacionadas con la vigilancia del mercado de los productos industriales y la calidad de los servicios;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las disposiciones de los artículos 127 a 154 de la Ley 4512/2018 (5/A) relativa a las modalidades de aplicación de las reformas estructurales del programa de ajuste económico y otras disposiciones, la parte D, sobre la definición de un marco de vigilancia de las actividades económicas y del mercado de productos y otras disposiciones;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las disposiciones del artículo 22, de la Ley n.º 1682/1987 (Boletín Oficial de la República Helénica 14/A), relativas a los medios e instrumentos de la política de desarrollo […] y otras disposiciones;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el Decreto Presidencial n.º 147/2017 (192/A) relativo a la organización del Ministerio de Economía y Desarrollo;</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lastRenderedPageBreak/>
        <w:t>el Decreto Presidencial n.º 81/2019 (119/A) relativo a la constitución, fusión, denominación y supresión de Ministerios y determinación de sus competencias y al traslado de servicios y competencias entre Ministerios;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el Decreto Presidencial n.º 83/2019 (121/A) relativo al nombramiento del Vicepresidente del Gobierno, Ministros, Viceministros y Secretarios de Estado;</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 Decisión conjunta n.º 46/18.7.2019 (3100/B) del Primer Ministro y del Ministro de Desarrollo e Inversiones relativa a la adjudicación de competencias al Secretario de Estado de Desarrollo e Inversiones, Nikolaos Papathanasis;</w:t>
      </w:r>
    </w:p>
    <w:p w:rsidR="009C32EB" w:rsidRPr="000B2493" w:rsidRDefault="009C32EB" w:rsidP="00A87D28">
      <w:pPr>
        <w:pStyle w:val="BodyText2"/>
        <w:numPr>
          <w:ilvl w:val="0"/>
          <w:numId w:val="45"/>
        </w:numPr>
        <w:tabs>
          <w:tab w:val="left" w:pos="426"/>
        </w:tabs>
        <w:spacing w:before="80" w:after="80" w:line="240" w:lineRule="auto"/>
        <w:ind w:left="426" w:right="45" w:hanging="426"/>
        <w:jc w:val="both"/>
        <w:rPr>
          <w:rFonts w:ascii="Times New Roman" w:eastAsia="Times New Roman" w:hAnsi="Times New Roman"/>
        </w:rPr>
      </w:pPr>
      <w:r>
        <w:rPr>
          <w:rFonts w:ascii="Times New Roman" w:hAnsi="Times New Roman"/>
        </w:rPr>
        <w:t>el Reglamento (CE) n.º 765/2008 del Parlamento Europeo y del Consejo por el que se establecen los requisitos de acreditación y vigilancia del mercado relativos a la comercialización de los productos y por el que se deroga el Reglamento (CEE) n.º 339/93, y el Reglamento (UE) 2019/1020 del Parlamento Europeo y del Consejo relativo a la vigilancia del mercado y la conformidad de los productos y por el que se modifican la Directiva 2004/42/CE y los Reglamentos (CE) n.° 765/2008 y (UE) n.° 305/2011;</w:t>
      </w:r>
    </w:p>
    <w:p w:rsidR="009C32EB" w:rsidRPr="00A160B1" w:rsidRDefault="009C32EB" w:rsidP="00A87D28">
      <w:pPr>
        <w:pStyle w:val="BodyText2"/>
        <w:numPr>
          <w:ilvl w:val="0"/>
          <w:numId w:val="45"/>
        </w:numPr>
        <w:tabs>
          <w:tab w:val="left" w:pos="426"/>
        </w:tabs>
        <w:spacing w:before="80" w:after="80" w:line="240" w:lineRule="auto"/>
        <w:ind w:left="426" w:right="45" w:hanging="426"/>
        <w:jc w:val="both"/>
        <w:rPr>
          <w:rFonts w:ascii="Times New Roman" w:hAnsi="Times New Roman"/>
        </w:rPr>
      </w:pPr>
      <w:r>
        <w:rPr>
          <w:rFonts w:ascii="Times New Roman" w:hAnsi="Times New Roman"/>
        </w:rPr>
        <w:t>el Reglamento (UE) n.º 2019/515 del Parlamento Europeo y del Consejo relativo al reconocimiento mutuo de mercancías comercializadas legalmente en otro Estado miembro y por el que se deroga el Reglamento (CE) n.º 764/2008;</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el Decreto Presidencial 81/2018 (Boletín Oficial de la República Helénica 151/Α/2018) relativo a la incorporación en el Derecho griego de la Directiva (UE) 2015/1535 del Parlamento Europeo y del Consejo, de 9 de septiembre de 2015 (DO L 241 de 17.9.2015, p. 1), por la que se establece un procedimiento de información en materia de reglamentaciones técnicas y de reglas relativas a los servicios de la sociedad de la información (versión codificada) y otras disposiciones;</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las disposiciones de la Decisión ministerial conjunta PH.01.2/56790/DPP1828/31.5.2016 (1897/B) relativa al marco regulador para los organismos de evaluación de la conformidad que actúan en ámbitos de la armonización legislativa de la Unión Europea o en ámbitos de la legislación industrial técnica puramente nacional, que entran dentro de las competencias de la Secretaría General de Industria;</w:t>
      </w:r>
    </w:p>
    <w:p w:rsidR="00212831"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el hecho de que el proyecto de Decisión se haya notificado a la Comisión Europea con el número de notificación 2020/218/GR, conforme a lo dispuesto en el artículo 6, del Decreto Presidencial n.º 81/2018, y con arreglo al procedimiento de urgencia, y de que se le concediera la aprobación correspondiente;</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el hecho de que las disposiciones de la presente Decisión no ocasionan ningún gasto adicional al presupuesto del Estado,</w:t>
      </w:r>
    </w:p>
    <w:p w:rsidR="009C32EB" w:rsidRPr="00A160B1" w:rsidRDefault="009C32EB" w:rsidP="00A87D28">
      <w:pPr>
        <w:jc w:val="center"/>
        <w:rPr>
          <w:rFonts w:ascii="Times New Roman" w:hAnsi="Times New Roman"/>
          <w:b/>
          <w:sz w:val="22"/>
          <w:szCs w:val="22"/>
          <w:lang w:val="el-GR"/>
        </w:rPr>
      </w:pPr>
    </w:p>
    <w:p w:rsidR="00A87D28" w:rsidRPr="00A160B1" w:rsidRDefault="00A87D28" w:rsidP="00A87D28">
      <w:pPr>
        <w:jc w:val="center"/>
        <w:rPr>
          <w:rFonts w:ascii="Times New Roman" w:hAnsi="Times New Roman"/>
          <w:b/>
          <w:sz w:val="22"/>
          <w:szCs w:val="22"/>
          <w:lang w:val="el-GR"/>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POR LA PRESENTE ACORDAMOS</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Artículo 1</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Objeto y ámbito de aplicación</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Las disposiciones de la presente Decisión se aplicarán a todos los dispositivos y equipos recreativos fijos y móviles, así como a las instalaciones de apoyo de estos parques de atracciones u otras instalaciones, que entran en el ámbito de aplicación de la norma europea armonizada ELOT ΕΝ 13814:2019, en su versión en vigor, y que tienen por objeto albergar usuarios/pasajeros y público de todas las edades durante su funcionamiento.</w:t>
      </w:r>
    </w:p>
    <w:p w:rsidR="00212831" w:rsidRPr="000B2493" w:rsidRDefault="009C32EB" w:rsidP="00A87D28">
      <w:pPr>
        <w:pStyle w:val="ListParagraph"/>
        <w:spacing w:before="120" w:after="120" w:line="240" w:lineRule="auto"/>
        <w:ind w:left="360"/>
        <w:contextualSpacing w:val="0"/>
        <w:jc w:val="both"/>
        <w:rPr>
          <w:rFonts w:ascii="Times New Roman" w:eastAsia="Times New Roman" w:hAnsi="Times New Roman"/>
        </w:rPr>
      </w:pPr>
      <w:r>
        <w:rPr>
          <w:rFonts w:ascii="Times New Roman" w:hAnsi="Times New Roman"/>
        </w:rPr>
        <w:t>Dentro del ámbito de aplicación de la presente Decisión también entrarían todas las instalaciones electromecánicas y mecánicas que sirven de apoyo para el funcionamiento de los dispositivos recreativos.</w:t>
      </w:r>
    </w:p>
    <w:p w:rsidR="009C32EB"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La presente Decisión establece los requisitos de seguridad y las especificaciones relativas al diseño, la construcción, la instalación, el montaje, el desmontaje, el funcionamiento, la utilización, el mantenimiento y la inspección de los dispositivos y los equipos recreativos, así como las correspondientes instalaciones de apoyo, a fin de garantizar la seguridad de los pasajeros, los usuarios y los trabajadores en ellos.</w:t>
      </w:r>
    </w:p>
    <w:p w:rsidR="009C32EB" w:rsidRPr="000B2493" w:rsidRDefault="009C32EB" w:rsidP="00A87D28">
      <w:pPr>
        <w:pStyle w:val="ListParagraph"/>
        <w:keepNext/>
        <w:keepLines/>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Quedan excluidos de la presente Decisión los siguientes elementos: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graderíos para instalaciones deportivas, terrenos de juego y otros actos deportivos, salvo los incluidos en los dispositivos recreativos (</w:t>
      </w:r>
      <w:r>
        <w:rPr>
          <w:rStyle w:val="tlid-translation"/>
          <w:rFonts w:ascii="Times New Roman" w:hAnsi="Times New Roman"/>
          <w:i/>
        </w:rPr>
        <w:t>apartado 5.2.10.5 de la norma ELOT ΕΝ 13814 – 1</w:t>
      </w:r>
      <w:r>
        <w:rPr>
          <w:rStyle w:val="tlid-translation"/>
          <w:rFonts w:ascii="Times New Roman" w:hAnsi="Times New Roman"/>
        </w:rPr>
        <w: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instalaciones en zona de obras,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andamios,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construcciones agrícolas móviles,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dispositivos recreativos sencillos que pueden utilizar tres niños como máximo y que funcionan con monedas,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toboganes de agua,</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carriles para trineos de verano,</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equipos en parques infantiles,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estructuras de escalada,</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castillos hinchables,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camas elásticas,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equipos para piscinas,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instalaciones de carreras para karts.</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La concesión de licencias para las actividades de las entidades financieras que hagan uso de instalaciones y equipo recreativos que entren en el ámbito de aplicación de la presente Decisión, así como las cuestiones de seguridad e higiene de los empleados de las mismas, se regirán por las disposiciones pertinentes en cada caso.</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Artículo 2</w:t>
      </w:r>
    </w:p>
    <w:p w:rsidR="00A87D28" w:rsidRPr="00A160B1" w:rsidRDefault="00A87D28" w:rsidP="00A87D28">
      <w:pPr>
        <w:keepNext/>
        <w:keepLines/>
        <w:jc w:val="center"/>
        <w:rPr>
          <w:rStyle w:val="tlid-translation"/>
          <w:rFonts w:ascii="Times New Roman" w:hAnsi="Times New Roman"/>
          <w:spacing w:val="40"/>
          <w:sz w:val="22"/>
          <w:szCs w:val="22"/>
        </w:rPr>
      </w:pPr>
      <w:r>
        <w:rPr>
          <w:rStyle w:val="tlid-translation"/>
          <w:rFonts w:ascii="Times New Roman" w:hAnsi="Times New Roman"/>
          <w:sz w:val="22"/>
          <w:szCs w:val="22"/>
        </w:rPr>
        <w:t>Definiciones</w:t>
      </w:r>
    </w:p>
    <w:p w:rsidR="009C32EB" w:rsidRPr="000B2493" w:rsidRDefault="009C32EB" w:rsidP="00A87D28">
      <w:pPr>
        <w:keepNext/>
        <w:keepLines/>
        <w:spacing w:before="80" w:after="80"/>
        <w:jc w:val="both"/>
        <w:rPr>
          <w:rFonts w:ascii="Times New Roman" w:hAnsi="Times New Roman"/>
          <w:sz w:val="22"/>
          <w:szCs w:val="22"/>
        </w:rPr>
      </w:pPr>
      <w:r>
        <w:rPr>
          <w:rFonts w:ascii="Times New Roman" w:hAnsi="Times New Roman"/>
          <w:sz w:val="22"/>
          <w:szCs w:val="22"/>
        </w:rPr>
        <w:t>A efectos de la presente Decisión, se aplicarán las siguientes definiciones:</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«dispositivo recreativo»:</w:t>
      </w:r>
      <w:r>
        <w:rPr>
          <w:rFonts w:ascii="Times New Roman" w:hAnsi="Times New Roman"/>
          <w:sz w:val="22"/>
          <w:szCs w:val="22"/>
        </w:rPr>
        <w:t xml:space="preserve"> atracción que genera la deseada reacción de diversión o entretenimiento cuando el usuario se mueve en su interior o sobre ella a través de su propio movimiento o de cualquier otro sistema que no esté incluido en el término «</w:t>
      </w:r>
      <w:r>
        <w:rPr>
          <w:rFonts w:ascii="Times New Roman" w:hAnsi="Times New Roman"/>
          <w:b/>
          <w:bCs/>
          <w:sz w:val="22"/>
          <w:szCs w:val="22"/>
        </w:rPr>
        <w:t>equipo recreativo</w:t>
      </w:r>
      <w:r>
        <w:rPr>
          <w:rFonts w:ascii="Times New Roman" w:hAnsi="Times New Roman"/>
          <w:sz w:val="22"/>
          <w:szCs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«equipo recreativo»:</w:t>
      </w:r>
      <w:r>
        <w:rPr>
          <w:rFonts w:ascii="Times New Roman" w:hAnsi="Times New Roman"/>
          <w:sz w:val="22"/>
          <w:szCs w:val="22"/>
        </w:rPr>
        <w:t xml:space="preserve"> atracción diseñada para entretener a los usuarios a través de su movimiento, donde también intervienen reacciones biomecánicas. </w:t>
      </w:r>
      <w:r>
        <w:rPr>
          <w:rFonts w:ascii="Times New Roman" w:hAnsi="Times New Roman"/>
          <w:i/>
          <w:sz w:val="22"/>
          <w:szCs w:val="22"/>
        </w:rPr>
        <w:t>Nota: a efectos de la presente Decisión, se utiliza el término «dispositivo recreativo» para referirse también a los equipos recreativos.</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«parque de atracciones»:</w:t>
      </w:r>
      <w:r>
        <w:rPr>
          <w:rFonts w:ascii="Times New Roman" w:hAnsi="Times New Roman"/>
          <w:sz w:val="22"/>
          <w:szCs w:val="22"/>
        </w:rPr>
        <w:t xml:space="preserve"> espacio circunscrito, abierto o cerrado, que está destinado a divertir al público, en el que se ha instalado de forma permanente o temporal al menos un dispositivo recreativo;</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«instalaciones de apoyo»:</w:t>
      </w:r>
      <w:r>
        <w:rPr>
          <w:rFonts w:ascii="Times New Roman" w:hAnsi="Times New Roman"/>
          <w:sz w:val="22"/>
          <w:szCs w:val="22"/>
        </w:rPr>
        <w:t xml:space="preserve"> conjunto de materiales y medios técnicos que se necesitan para el funcionamiento completo y seguro del parque donde se albergan, instalan y ajustan los dispositivos recreativos (por ejemplo,</w:t>
      </w:r>
      <w:r>
        <w:rPr>
          <w:rFonts w:ascii="Times New Roman" w:hAnsi="Times New Roman"/>
          <w:i/>
          <w:sz w:val="22"/>
          <w:szCs w:val="22"/>
        </w:rPr>
        <w:t xml:space="preserve"> trabajos y materiales de construcción, letreros, señales indicadoras e informativas, dispositivos de ventilación, cuadros de distribución eléctrica, iluminación, tuberías de aire comprimido, extintores, depósitos de agua, etc.</w:t>
      </w:r>
      <w:r>
        <w:rPr>
          <w:rFonts w:ascii="Times New Roman" w:hAnsi="Times New Roman"/>
          <w:sz w:val="22"/>
          <w:szCs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«fabricante»:</w:t>
      </w:r>
      <w:r>
        <w:rPr>
          <w:rFonts w:ascii="Times New Roman" w:hAnsi="Times New Roman"/>
          <w:sz w:val="22"/>
          <w:szCs w:val="22"/>
        </w:rPr>
        <w:t xml:space="preserve"> persona física o jurídica responsable del diseño y la construcción de un dispositivo recreativo o en general de un producto con vistas a su comercialización en el mercado con su nombre. Cualquier entidad comercial que comercialice un producto en el mercado con su nombre o con un logotipo o bien que transforme un producto de modo tal que pueda afectar al cumplimiento de los requisitos aplicables debe considerarse como fabricante y debe asumir las obligaciones del fabricante;</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«responsable de la explotación»:</w:t>
      </w:r>
      <w:r>
        <w:rPr>
          <w:rFonts w:ascii="Times New Roman" w:hAnsi="Times New Roman"/>
          <w:sz w:val="22"/>
          <w:szCs w:val="22"/>
        </w:rPr>
        <w:t xml:space="preserve"> operador económico que explota el conjunto de los dispositivos recreativos y las instalaciones de apoyo de una determinada zona recreativa y que es responsable de la seguridad de su funcionamiento;</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«controlador/controlador de atracciones»:</w:t>
      </w:r>
      <w:r>
        <w:rPr>
          <w:rFonts w:ascii="Times New Roman" w:hAnsi="Times New Roman"/>
          <w:sz w:val="22"/>
          <w:szCs w:val="22"/>
        </w:rPr>
        <w:t xml:space="preserve"> persona responsable del control completo de un dispositivo recreativo. Puede ser una persona física o jurídica a quien pertenece el dispositivo recreativo, bien como concesionario o como persona contratada a quien el responsable de la explotación haya otorgado el control completo del dispositivo durante un determinado período de tiempo;</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«operario»:</w:t>
      </w:r>
      <w:r>
        <w:rPr>
          <w:rFonts w:ascii="Times New Roman" w:hAnsi="Times New Roman"/>
          <w:sz w:val="22"/>
          <w:szCs w:val="22"/>
        </w:rPr>
        <w:t xml:space="preserve"> persona cualificada que determina el </w:t>
      </w:r>
      <w:r>
        <w:rPr>
          <w:rFonts w:ascii="Times New Roman" w:hAnsi="Times New Roman"/>
          <w:b/>
          <w:sz w:val="22"/>
          <w:szCs w:val="22"/>
        </w:rPr>
        <w:t>«responsable de la explotación»</w:t>
      </w:r>
      <w:r>
        <w:rPr>
          <w:rFonts w:ascii="Times New Roman" w:hAnsi="Times New Roman"/>
          <w:sz w:val="22"/>
          <w:szCs w:val="22"/>
        </w:rPr>
        <w:t xml:space="preserve"> para operar el dispositivo recreativo cuando va a ser utilizado para divertir al público; </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bCs/>
          <w:sz w:val="22"/>
          <w:szCs w:val="22"/>
        </w:rPr>
        <w:t>«ayudante»:</w:t>
      </w:r>
      <w:r>
        <w:rPr>
          <w:rFonts w:ascii="Times New Roman" w:hAnsi="Times New Roman"/>
          <w:sz w:val="22"/>
          <w:szCs w:val="22"/>
        </w:rPr>
        <w:t xml:space="preserve"> persona cualificada que está bajo la supervisión de un «operario» para ayudar a operar un dispositivo recreativo que va a ser utilizado por el público;</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«persona competente»:</w:t>
      </w:r>
      <w:r>
        <w:rPr>
          <w:rFonts w:ascii="Times New Roman" w:hAnsi="Times New Roman"/>
          <w:sz w:val="22"/>
          <w:szCs w:val="22"/>
        </w:rPr>
        <w:t xml:space="preserve"> persona que puede demostrar que, a través de formación, ha adquirido las cualificaciones o la experiencia o una combinación de ambas, los conocimientos y las competencias que le permiten desempeñar esta tarea específica;</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«puesta en servicio»:</w:t>
      </w:r>
      <w:r>
        <w:rPr>
          <w:rFonts w:ascii="Times New Roman" w:hAnsi="Times New Roman"/>
          <w:sz w:val="22"/>
          <w:szCs w:val="22"/>
        </w:rPr>
        <w:t xml:space="preserve"> funcionamiento de un dispositivo recreativo por primera vez por parte del responsable de la explotación tras la fase de recepción y antes de que comience su explotación comercial;</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«pasajero/cliente»:</w:t>
      </w:r>
      <w:r>
        <w:rPr>
          <w:rFonts w:ascii="Times New Roman" w:hAnsi="Times New Roman"/>
          <w:sz w:val="22"/>
          <w:szCs w:val="22"/>
        </w:rPr>
        <w:t xml:space="preserve"> persona que utiliza un dispositivo recreativo;</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«registro del dispositivo recreativo»:</w:t>
      </w:r>
      <w:r>
        <w:rPr>
          <w:rFonts w:ascii="Times New Roman" w:hAnsi="Times New Roman"/>
          <w:sz w:val="22"/>
          <w:szCs w:val="22"/>
        </w:rPr>
        <w:t xml:space="preserve"> registro y/o archivo de datos electrónico que contiene toda la información necesaria sobre la utilización y el historial de cualquier dispositivo recreativo; </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«dispositivo recreativo de instalación temporal»:</w:t>
      </w:r>
      <w:r>
        <w:rPr>
          <w:rFonts w:ascii="Times New Roman" w:hAnsi="Times New Roman"/>
          <w:sz w:val="22"/>
          <w:szCs w:val="22"/>
        </w:rPr>
        <w:t xml:space="preserve"> dispositivo recreativo que ha sido diseñado para su instalación y desinstalación, y cuyo plazo de instalación no supera el periodo de tiempo que establece la ley vigente;</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«dispositivo recreativo de instalación permanente»:</w:t>
      </w:r>
      <w:r>
        <w:rPr>
          <w:rFonts w:ascii="Times New Roman" w:hAnsi="Times New Roman"/>
          <w:sz w:val="22"/>
          <w:szCs w:val="22"/>
        </w:rPr>
        <w:t xml:space="preserve"> dispositivo recreativo que no es un dispositivo recreativo de instalación temporal;</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«inspección técnica inicial»:</w:t>
      </w:r>
      <w:r>
        <w:rPr>
          <w:rFonts w:ascii="Times New Roman" w:hAnsi="Times New Roman"/>
          <w:sz w:val="22"/>
          <w:szCs w:val="22"/>
        </w:rPr>
        <w:t xml:space="preserve"> inspección que lleva a cabo un organismo de control autorizado de conformidad con el artículo 4 de la presente Decisión;</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«inspección técnica periódica»:</w:t>
      </w:r>
      <w:r>
        <w:rPr>
          <w:rFonts w:ascii="Times New Roman" w:hAnsi="Times New Roman"/>
          <w:sz w:val="22"/>
          <w:szCs w:val="22"/>
        </w:rPr>
        <w:t xml:space="preserve"> inspección que lleva a cabo un organismo de control autorizado de conformidad con el artículo 5 de la presente Decisión a intervalos periódicos establecidos en el apartado 7 del artículo 3 y en el anexo Ι de la presente Decisión;</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«inspección técnica de emergencia»:</w:t>
      </w:r>
      <w:r>
        <w:rPr>
          <w:rFonts w:ascii="Times New Roman" w:hAnsi="Times New Roman"/>
          <w:sz w:val="22"/>
          <w:szCs w:val="22"/>
        </w:rPr>
        <w:t xml:space="preserve"> inspección que lleva a cabo un organismo de control autorizado a petición del responsable de la explotación, de las autoridades judiciales y las autoridades competentes en el marco de la investigación de un incidente extraordinario (</w:t>
      </w:r>
      <w:r>
        <w:rPr>
          <w:rFonts w:ascii="Times New Roman" w:hAnsi="Times New Roman"/>
          <w:i/>
          <w:sz w:val="22"/>
          <w:szCs w:val="22"/>
        </w:rPr>
        <w:t>como pueda ser una avería, denuncia, accidente, investigación fiscal, etc.</w:t>
      </w:r>
      <w:r>
        <w:rPr>
          <w:rFonts w:ascii="Times New Roman" w:hAnsi="Times New Roman"/>
          <w:sz w:val="22"/>
          <w:szCs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«examen exhaustivo»:</w:t>
      </w:r>
      <w:r>
        <w:rPr>
          <w:rFonts w:ascii="Times New Roman" w:hAnsi="Times New Roman"/>
          <w:sz w:val="22"/>
          <w:szCs w:val="22"/>
        </w:rPr>
        <w:t xml:space="preserve"> inspección analítica de los procedimientos y realización de los controles necesarios por parte de un organismo de control autorizado en este ámbito (el ámbito de la presente Decisión) con objeto de decidir si el dispositivo recreativo puede seguir en funcionamiento con seguridad o bien si es necesario reparar las deficiencias detectadas de manera inmediata o en un determinado plazo de tiempo;</w:t>
      </w:r>
    </w:p>
    <w:p w:rsidR="009C32EB" w:rsidRPr="000B2493" w:rsidRDefault="009C32EB" w:rsidP="00A87D28">
      <w:pPr>
        <w:pStyle w:val="Terms"/>
        <w:keepNext w:val="0"/>
        <w:autoSpaceDE w:val="0"/>
        <w:autoSpaceDN w:val="0"/>
        <w:adjustRightInd w:val="0"/>
        <w:spacing w:before="80" w:after="80" w:line="240" w:lineRule="auto"/>
        <w:jc w:val="both"/>
        <w:rPr>
          <w:rFonts w:ascii="Times New Roman" w:eastAsia="Times New Roman" w:hAnsi="Times New Roman"/>
          <w:b w:val="0"/>
        </w:rPr>
      </w:pPr>
      <w:r>
        <w:rPr>
          <w:rFonts w:ascii="Times New Roman" w:hAnsi="Times New Roman"/>
        </w:rPr>
        <w:t xml:space="preserve">«uso inadecuado razonablemente previsible»: </w:t>
      </w:r>
      <w:r>
        <w:rPr>
          <w:rFonts w:ascii="Times New Roman" w:hAnsi="Times New Roman"/>
          <w:b w:val="0"/>
        </w:rPr>
        <w:t xml:space="preserve">uso del dispositivo recreativo de un modo no previsto por el fabricante y que puede deberse a un comportamiento humano razonablemente previsible </w:t>
      </w:r>
      <w:r>
        <w:rPr>
          <w:rFonts w:ascii="Times New Roman" w:hAnsi="Times New Roman"/>
          <w:b w:val="0"/>
          <w:i/>
        </w:rPr>
        <w:t>(anexo de la norma ELOT ΕΝ 13814:2019, parte 1, que incluye una lista no exhaustiva de los comportamientos humanos. Fuente: EN ISO 12100: 2010);</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«informe de la inspección técnica»:</w:t>
      </w:r>
      <w:r>
        <w:rPr>
          <w:rFonts w:ascii="Times New Roman" w:hAnsi="Times New Roman"/>
        </w:rPr>
        <w:t xml:space="preserve"> documento oficial que emite el organismo de control autorizado, mediante el cual se certifica el cumplimiento o incumplimiento por parte del dispositivo recreativo de los requisitos técnicos de la presente Decisión;</w:t>
      </w:r>
    </w:p>
    <w:p w:rsidR="00212831"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«acreditación»:</w:t>
      </w:r>
      <w:r>
        <w:rPr>
          <w:rFonts w:ascii="Times New Roman" w:hAnsi="Times New Roman"/>
        </w:rPr>
        <w:t xml:space="preserve"> certificado del organismo nacional de acreditación de que, con arreglo al Reglamento (CE) n.º 765/2008/CE, un organismo de evaluación de la conformidad cumple los requisitos previstos en las normas armonizadas y, cuando sea aplicable, cualesquiera requisitos adicionales, incluidos los establecidos en los respectivos sistemas sectoriales, para realizar una determinada actividad de evaluación de la conformidad;</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«sistema sectorial de acreditación»:</w:t>
      </w:r>
      <w:r>
        <w:rPr>
          <w:rFonts w:ascii="Times New Roman" w:hAnsi="Times New Roman"/>
        </w:rPr>
        <w:t xml:space="preserve"> sistema de acreditación de la evaluación de la conformidad que se basa en una norma establecida para un determinado producto, proceso, servicio, etc., así como en requisitos adicionales para un sector específico y/o para una legislación específica;</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«organismo nacional de acreditación»:</w:t>
      </w:r>
      <w:r>
        <w:rPr>
          <w:rFonts w:ascii="Times New Roman" w:hAnsi="Times New Roman"/>
        </w:rPr>
        <w:t xml:space="preserve"> el único organismo de un Estado miembro de la Unión Europea con potestad pública para llevar a cabo acreditaciones que le otorga dicho Estado. En Grecia opera el Sistema Nacional de Acreditación (E.SY.D., por sus siglas en griego) en virtud de la Ley n.º 4468/2017, en su versión modificada y en vigor;</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«evaluación de la conformidad»:</w:t>
      </w:r>
      <w:r>
        <w:rPr>
          <w:rFonts w:ascii="Times New Roman" w:hAnsi="Times New Roman"/>
        </w:rPr>
        <w:t xml:space="preserve"> procedimiento por el que se demuestra si se cumplen los requisitos específicos relativos a un producto, un proceso, un servicio, un sistema, una persona o un organismo;</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«organismo de evaluación de la conformidad»:</w:t>
      </w:r>
      <w:r>
        <w:rPr>
          <w:rFonts w:ascii="Times New Roman" w:hAnsi="Times New Roman"/>
        </w:rPr>
        <w:t xml:space="preserve"> organismo que realiza actividades de evaluación de la conformidad, que incluyen calibración, ensayo, certificación e inspección;</w:t>
      </w:r>
    </w:p>
    <w:p w:rsidR="00212831" w:rsidRPr="00A160B1" w:rsidRDefault="009C32EB" w:rsidP="00A87D28">
      <w:pPr>
        <w:pStyle w:val="normal2"/>
        <w:tabs>
          <w:tab w:val="left" w:pos="0"/>
        </w:tabs>
        <w:spacing w:before="80" w:after="80" w:line="240" w:lineRule="auto"/>
        <w:rPr>
          <w:sz w:val="22"/>
          <w:szCs w:val="22"/>
        </w:rPr>
      </w:pPr>
      <w:r>
        <w:rPr>
          <w:b/>
          <w:sz w:val="22"/>
          <w:szCs w:val="22"/>
        </w:rPr>
        <w:t>«organismo de evaluación de la conformidad autorizado»:</w:t>
      </w:r>
      <w:r>
        <w:rPr>
          <w:sz w:val="22"/>
          <w:szCs w:val="22"/>
        </w:rPr>
        <w:t xml:space="preserve"> organismo acreditado de evaluación de la conformidad que ha obtenido el reconocimiento/la autorización para realizar actuaciones en el ámbito o ámbitos de la legislación técnica industrial nacional, sobre la base de los requisitos de la Decisión ministerial conjunta PH.01.2/56790/DPP1828/31.5.2016 (Boletín Oficial de la República Helénica 1897/Β/2016), en su versión en vigor; </w:t>
      </w:r>
    </w:p>
    <w:p w:rsidR="009C32EB" w:rsidRPr="00A160B1" w:rsidRDefault="009C32EB" w:rsidP="00A87D28">
      <w:pPr>
        <w:pStyle w:val="normal2"/>
        <w:tabs>
          <w:tab w:val="left" w:pos="0"/>
        </w:tabs>
        <w:spacing w:before="80" w:after="80" w:line="240" w:lineRule="auto"/>
        <w:rPr>
          <w:sz w:val="22"/>
          <w:szCs w:val="22"/>
        </w:rPr>
      </w:pPr>
      <w:r>
        <w:rPr>
          <w:b/>
          <w:sz w:val="22"/>
          <w:szCs w:val="22"/>
        </w:rPr>
        <w:t>«organismo de control reconocido»:</w:t>
      </w:r>
      <w:r>
        <w:rPr>
          <w:sz w:val="22"/>
          <w:szCs w:val="22"/>
        </w:rPr>
        <w:t xml:space="preserve"> organismo de evaluación de la conformidad acreditado con arreglo a la norma de acreditación EN ISO/IEC 17020, que ha obtenido autorización de reconocimiento para realizar actuaciones exclusivamente en el ámbito o los ámbitos de la presente Decisión, sobre la base de los requisitos de la Decisión ministerial conjunta PH.01.2/56790/DPP1828/31.5.2016 (Boletín Oficial de la República Helénica 1897/Β/2016), en su versión en vigor;</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«autoridades competentes»:</w:t>
      </w:r>
      <w:r>
        <w:rPr>
          <w:rFonts w:ascii="Times New Roman" w:hAnsi="Times New Roman"/>
        </w:rPr>
        <w:t xml:space="preserve"> autoridades según lo dispuesto en el artículo 14 de la presente Decisión.</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Artículo 3</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Requisitos generales</w:t>
      </w:r>
    </w:p>
    <w:p w:rsidR="009C32EB"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Los dispositivos recreativos y las instalaciones de apoyo se deben diseñar, fabricar, instalar, montar, desmontar, operar, recibir una manipulación adecuada, recibir mantenimiento y someterse a control conforme a la presente Decisión, con objeto de ofrecer, en condiciones normales de utilización o en otras situaciones razonablemente previsibles, la máxima seguridad posible que se exige, a fin de no poner en peligro o dañar la salud de los usuarios/pasajeros y del público, debido a sus características técnicas de funcionamiento y mantenimiento, teniendo también siempre en cuenta el uso inadecuado razonablemente previsible.</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Se presume que los dispositivos recreativos y las instalaciones de apoyo cumplen los requisitos de seguridad del apartado 1, si se ajustan a las reglamentaciones técnicas y los requisitos previstos en la norma europea armonizada ELOT EN 13814:2019, en su versión en vigor, y en el caso de todas las subopciones que incluye esta norma en sus tres partes:</w:t>
      </w:r>
    </w:p>
    <w:p w:rsidR="00212831"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13814-1: Seguridad de las atracciones y de la maquinaria de entretenimiento. Parte 1: Requisitos de proyecto y fabricación (</w:t>
      </w:r>
      <w:r>
        <w:rPr>
          <w:rFonts w:ascii="Times New Roman" w:hAnsi="Times New Roman"/>
          <w:i/>
        </w:rPr>
        <w:t>Seguridad de las atracciones y de la maquinaria de entretenimiento. Parte 1: Proyecto y fabricación</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13814-2: Seguridad de las atracciones y de la maquinaria de entretenimiento. Parte 2: Requisitos de instalación, mantenimiento y explotación (</w:t>
      </w:r>
      <w:r>
        <w:rPr>
          <w:rFonts w:ascii="Times New Roman" w:hAnsi="Times New Roman"/>
          <w:i/>
        </w:rPr>
        <w:t>Seguridad de las atracciones y de la maquinaria de entretenimiento. Parte 2: Instalación, mantenimiento y explotación</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13814-3: Seguridad de las atracciones y de la maquinaria de entretenimiento. Parte 3: Requisitos relativos a la inspección durante el proyecto, la fabricación y el funcionamiento (</w:t>
      </w:r>
      <w:r>
        <w:rPr>
          <w:rFonts w:ascii="Times New Roman" w:hAnsi="Times New Roman"/>
          <w:i/>
        </w:rPr>
        <w:t>Seguridad de las atracciones y de la maquinaria de entretenimiento. Parte 3: Requisitos relativos a la inspección durante el proyecto, la fabricación y el funcionamiento</w:t>
      </w:r>
      <w:r>
        <w:rPr>
          <w:rFonts w:ascii="Times New Roman" w:hAnsi="Times New Roman"/>
        </w:rPr>
        <w:t>)</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Los aparatos eléctricos, electromecánicos y otros equipos con los que se estructura, compone o apoya el funcionamiento de los dispositivos recreativos y las instalaciones de apoyo deben cumplir los requisitos de la legislación vigente en todos los niveles pertinentes.</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Cada dispositivo recreativo va acompañado de una documentación técnica conforme a los requisitos de la norma europea armonizada ELOT EN 13814:2019, en su versión en vigor, la cual, en función de la clasificación y el tipo al que pertenezca, incluye: las características técnicas necesarias, la documentación sobre la evaluación del riesgo [</w:t>
      </w:r>
      <w:r>
        <w:rPr>
          <w:rFonts w:ascii="Times New Roman" w:hAnsi="Times New Roman"/>
          <w:i/>
        </w:rPr>
        <w:t>como, por ejemplo, los resultados de la evaluación de riesgos del proyecto (DRA) y la evaluación de riesgos de uso y funcionamiento (OURA)</w:t>
      </w:r>
      <w:r>
        <w:rPr>
          <w:rFonts w:ascii="Times New Roman" w:hAnsi="Times New Roman"/>
        </w:rPr>
        <w:t>], los planos mecánicos y eléctricos, los certificados, la fecha y la naturaleza de los trabajos de mantenimiento, las inspecciones y el control realizados, así como el registro del dispositivo recreativo. El fabricante preparará la documentación técnica, cuyo mantenimiento será competencia del responsable de la explotación y estará siempre a disposición de las autoridades competentes y del organismo de control autorizado.</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Todos los dispositivos recreativos y las instalaciones de apoyo se deben someter a la «inspección técnica inicial» conforme a lo dispuesto en el artículo 4.</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Cada dispositivo recreativo debe someterse a las tareas de inspección y mantenimiento previstas que son necesarias para su funcionamiento y para la seguridad de los usuarios/pasajeros, conforme a los requisitos del fabricante y los requisitos establecidos en las normas pertinentes.</w:t>
      </w:r>
    </w:p>
    <w:p w:rsidR="00212831"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Tras la inspección técnica inicial, todos los dispositivos recreativos y las instalaciones de apoyo se someterán a una inspección técnica periódica, cuya frecuencia se establecerá de conformidad con los requisitos del fabricante y las normas aplicables. En caso de que la frecuencia de las inspecciones periódicas no haya sido establecida por el fabricante ni las normas pertinentes, esta se establecerá sobre la base de las categorías del anexo Ι y la clasificación del dispositivo recreativo en dichas categorías. En cualquier otro caso, la inspección técnica se realizará anualmente.</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La inspección técnica de los dispositivos recreativos y las instalaciones de apoyo se llevará únicamente a cabo por parte del organismo de control autorizado, conforme a lo dispuesto en el artículo 11 de la presente Decisión.</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Los responsables de la explotación, por lo que respecta a la inspección técnica de los dispositivos recreativos y las instalaciones de apoyo, deben ponerse en contacto con el organismo de control autorizado de su elección, quien debe estar autorizado para el correspondiente ámbito de la inspección técnica. En caso de que cambie el organismo de control autorizado elegido, los responsables de la explotación tienen la obligación de informar al nuevo organismo de control elegido sobre el informe de la inspección técnica y los resultados del anterior organismo de control.</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Los responsables de la explotación tienen la obligación de adoptar todas las medidas oportunas a fin de prevenir posibles riesgos imprevistos para la vida y la salud de los usuarios, los trabajadores y el público en general que utilizan los dispositivos recreativos y las instalaciones de apoyo o circulan por el parque de atracciones.</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Artículo 4</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Inspección técnica inicial</w:t>
      </w:r>
    </w:p>
    <w:p w:rsidR="00212831" w:rsidRPr="00A160B1" w:rsidRDefault="009C32EB" w:rsidP="00A87D28">
      <w:pPr>
        <w:pStyle w:val="ListParagraph"/>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La inspección técnica inicial es conforme a los requisitos establecidos en la norma europea armonizada ELOT EN 13814:2019, en su versión en vigor, y la lleva a cabo el organismo de control autorizado, que ha obtenido la correspondiente autorización según lo dispuesto en el artículo 11. La inspección técnica inicial se aplicará a la totalidad de los dispositivos recreativos y de las instalaciones de apoyo.</w:t>
      </w:r>
    </w:p>
    <w:p w:rsidR="00212831" w:rsidRPr="001A5899" w:rsidRDefault="009C32EB" w:rsidP="00A87D28">
      <w:pPr>
        <w:pStyle w:val="ListParagraph"/>
        <w:keepNext/>
        <w:keepLines/>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En el caso de los dispositivos recreativos que se hayan puesto en funcionamiento antes de la entrada en vigor de la presente Decisión, la inspección técnica inicial debe incluir lo siguiente: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 la adecuación del dispositivo recreativo con respecto a los criterios de diseño para el fin previsto y la inspección de su ubicación,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revisión de la documentación técnica del fabricante de conformidad con la norma de diseño/fabricación,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revisión del manual de funcionamiento y mantenimiento,</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revisión del procedimiento de evacuación,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 los planos, los esquemas de conexiones, la información relativa a las cargas, los materiales y su tratamiento superficial,</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el control de la posibilidad de realizar de manera segura los servicios de mantenimiento e inspección permanente,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el control de la conformidad del dispositivo con respecto a dicha documentación,</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 la cimentación y los elementos de construcción,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 la maquinaria,</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 los dispositivos neumáticos e hidráulicos,</w:t>
      </w:r>
    </w:p>
    <w:p w:rsidR="009C32EB" w:rsidRPr="001A5899"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Pr>
          <w:rFonts w:ascii="Times New Roman" w:hAnsi="Times New Roman"/>
        </w:rPr>
        <w:t>la inspección de la instalación eléctrica y los aparatos eléctricos, así como de las mediciones necesarias—si procede—, de conformidad con la legislación vigente en materia de instalaciones eléctricas,</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visual de los dispositivos de protección y de su montaje,</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la inspección del funcionamiento de los dispositivos de protección,</w:t>
      </w:r>
    </w:p>
    <w:p w:rsidR="009C32EB" w:rsidRPr="00A160B1" w:rsidRDefault="009C32EB" w:rsidP="00A87D28">
      <w:pPr>
        <w:pStyle w:val="ListParagraph"/>
        <w:numPr>
          <w:ilvl w:val="0"/>
          <w:numId w:val="11"/>
        </w:numPr>
        <w:spacing w:before="60" w:after="60" w:line="240" w:lineRule="auto"/>
        <w:ind w:left="714" w:hanging="357"/>
        <w:contextualSpacing w:val="0"/>
        <w:jc w:val="both"/>
        <w:rPr>
          <w:rFonts w:ascii="Times New Roman" w:hAnsi="Times New Roman"/>
        </w:rPr>
      </w:pPr>
      <w:r>
        <w:rPr>
          <w:rFonts w:ascii="Times New Roman" w:hAnsi="Times New Roman"/>
          <w:color w:val="000000"/>
        </w:rPr>
        <w:t>la prueba de funcionamiento a plena carga,</w:t>
      </w:r>
    </w:p>
    <w:p w:rsidR="00212831" w:rsidRPr="00A160B1" w:rsidRDefault="009C32EB" w:rsidP="00A87D28">
      <w:pPr>
        <w:pStyle w:val="ListParagraph"/>
        <w:numPr>
          <w:ilvl w:val="0"/>
          <w:numId w:val="11"/>
        </w:numPr>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 xml:space="preserve">las mediciones de los parámetros de funcionamiento, las mediciones de la aceleración (mediciones de la fuerza </w:t>
      </w:r>
      <w:r>
        <w:rPr>
          <w:rFonts w:ascii="Times New Roman" w:hAnsi="Times New Roman"/>
          <w:i/>
          <w:iCs/>
          <w:color w:val="000000"/>
        </w:rPr>
        <w:t>g</w:t>
      </w:r>
      <w:r>
        <w:rPr>
          <w:rFonts w:ascii="Times New Roman" w:hAnsi="Times New Roman"/>
          <w:color w:val="000000"/>
        </w:rPr>
        <w:t>), los tiempos de duración de la actividad y las presiones de funcionamiento de los sistemas.</w:t>
      </w:r>
    </w:p>
    <w:p w:rsidR="009C32EB" w:rsidRPr="001A5899"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Los nuevos dispositivos recreativos que se van a instalar por primera vez después de la entrada en vigor de la presente Decisión deben disponer de un certificado de homologación de tipo, que expide el organismo de evaluación de la conformidad que haya sido acreditado conforme a la norma ELOT EN ISO/IEC 17065, en los ámbitos de la norma ELOT EN 13814 relativos a:</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la autorización del diseño,</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la inspección de la construcción en fábrica,</w:t>
      </w:r>
    </w:p>
    <w:p w:rsidR="00212831"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la puesta en marcha de los sistemas en condiciones de funcionamiento parcial y total.</w:t>
      </w:r>
    </w:p>
    <w:p w:rsidR="009C32EB" w:rsidRPr="00A160B1" w:rsidRDefault="009C32EB" w:rsidP="00A87D28">
      <w:pPr>
        <w:pStyle w:val="ListParagraph"/>
        <w:spacing w:before="60" w:after="60" w:line="240" w:lineRule="auto"/>
        <w:ind w:left="357"/>
        <w:contextualSpacing w:val="0"/>
        <w:jc w:val="both"/>
        <w:rPr>
          <w:rFonts w:ascii="Times New Roman" w:hAnsi="Times New Roman"/>
        </w:rPr>
      </w:pPr>
      <w:r>
        <w:rPr>
          <w:rFonts w:ascii="Times New Roman" w:hAnsi="Times New Roman"/>
        </w:rPr>
        <w:t>Durante la primera instalación de los nuevos dispositivos recreativos y antes de su puesta en marcha, se llevará obligatoriamente a cabo la inspección técnica inicial prevista en el apartado 2 por parte del organismo de control autorizado.</w:t>
      </w:r>
    </w:p>
    <w:p w:rsidR="009C32EB" w:rsidRPr="00A160B1" w:rsidRDefault="009C32EB" w:rsidP="00A160B1">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En caso de que los dispositivos recreativos ya estén en funcionamiento antes de la entrada en vigor de la presente Decisión y falte la documentación técnica del fabricante, los responsables de la explotación deben preparar y poner a disposición de las autoridades competentes la documentación técnica de la revisión, que se examinará durante la inspección técnica inicial a cargo del organismo de control autorizado, cuyo reconocimiento engloba el ámbito de la inspección inicial. La documentación técnica de la revisión, cuya exhaustividad y exactitud serán objeto de inspección, debe al menos incluir:</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información del responsable de la explotación e historial de propiedad (</w:t>
      </w:r>
      <w:r>
        <w:rPr>
          <w:rFonts w:ascii="Times New Roman" w:hAnsi="Times New Roman"/>
          <w:i/>
          <w:sz w:val="22"/>
          <w:szCs w:val="22"/>
        </w:rPr>
        <w:t>si está presente durante la inspección inicial</w:t>
      </w:r>
      <w:r>
        <w:rPr>
          <w:rFonts w:ascii="Times New Roman" w:hAnsi="Times New Roman"/>
          <w:sz w:val="22"/>
          <w:szCs w:val="22"/>
        </w:rPr>
        <w:t>),</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placa del dispositivo/número de identificación,</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breve descripción del dispositivo,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características técnicas del dispositivo,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proyecto de base del dispositivo,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fotografías,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listado de los componentes del dispositivo,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proyecto de cimentación,</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plano de la instalación eléctrica (</w:t>
      </w:r>
      <w:r>
        <w:rPr>
          <w:rFonts w:ascii="Times New Roman" w:hAnsi="Times New Roman"/>
          <w:i/>
          <w:sz w:val="22"/>
          <w:szCs w:val="22"/>
        </w:rPr>
        <w:t>alta y baja tensión</w:t>
      </w:r>
      <w:r>
        <w:rPr>
          <w:rFonts w:ascii="Times New Roman" w:hAnsi="Times New Roman"/>
          <w:sz w:val="22"/>
          <w:szCs w:val="22"/>
        </w:rPr>
        <w:t>),</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descripción general/planos de la instalación mecánica, neumática e hidráulica,</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documentación del mantenimiento,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instrucciones/programa de mantenimiento,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instrucciones de funcionamiento,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restricciones de funcionamiento,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información del ingeniero que preparó la documentación técnica,</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posibles registros de inspección anteriores,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informe con los resultados de la inspección visual y del funcionamiento elaborado por el organismo de control autorizado durante la inspección técnica inicial.</w:t>
      </w:r>
    </w:p>
    <w:p w:rsidR="009C32EB"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Los resultados de las distintas revisiones, controles y pruebas constituyen una parte integrante del </w:t>
      </w:r>
      <w:r>
        <w:rPr>
          <w:rFonts w:ascii="Times New Roman" w:hAnsi="Times New Roman"/>
          <w:i/>
          <w:iCs/>
        </w:rPr>
        <w:t>registro del funcionamiento, mantenimiento e incidentes</w:t>
      </w:r>
      <w:r>
        <w:rPr>
          <w:rFonts w:ascii="Times New Roman" w:hAnsi="Times New Roman"/>
        </w:rPr>
        <w:t xml:space="preserve"> del dispositivo recreativo y se conservarán por un período de tiempo indeterminado.</w:t>
      </w:r>
    </w:p>
    <w:p w:rsidR="00212831"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Una vez que la inspección técnica inicial haya concluido con éxito, el organismo de control autorizado implicado proporcionará, por razones de trazabilidad, a cada dispositivo recreativo un número de identificación único, que asignará de forma permanente e indeleble (placa). Este número se compone de tres campos numéricos separados entre ellos por guiones (símbolo -). Estos campos incluyen:</w:t>
      </w:r>
    </w:p>
    <w:p w:rsidR="009C32EB"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a) cuatro caracteres numéricos, que indican el año en que se llevó a cabo la inspección técnica inicial;</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b) cuatro caracteres numéricos, que indican el número de orden del dispositivo que el organismo de control autorizado va a someter a inspección;</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c) tres caracteres numéricos que indican el número único que concedió la Secretaría General de Industria durante el proceso de autorización del organismo de control, según lo dispuesto en el artículo 11.</w:t>
      </w:r>
    </w:p>
    <w:p w:rsidR="009C32EB" w:rsidRPr="00A160B1" w:rsidRDefault="009C32EB" w:rsidP="00A87D28">
      <w:pPr>
        <w:numPr>
          <w:ilvl w:val="0"/>
          <w:numId w:val="10"/>
        </w:numPr>
        <w:spacing w:before="120" w:after="120"/>
        <w:jc w:val="both"/>
        <w:rPr>
          <w:rFonts w:ascii="Times New Roman" w:hAnsi="Times New Roman"/>
          <w:sz w:val="22"/>
          <w:szCs w:val="22"/>
        </w:rPr>
      </w:pPr>
      <w:r>
        <w:rPr>
          <w:rFonts w:ascii="Times New Roman" w:hAnsi="Times New Roman"/>
          <w:sz w:val="22"/>
          <w:szCs w:val="22"/>
        </w:rPr>
        <w:t xml:space="preserve">Después de la inspección técnica inicial, el organismo de control autorizado elaborará el </w:t>
      </w:r>
      <w:r>
        <w:rPr>
          <w:rFonts w:ascii="Times New Roman" w:hAnsi="Times New Roman"/>
          <w:i/>
          <w:sz w:val="22"/>
          <w:szCs w:val="22"/>
        </w:rPr>
        <w:t>informe de la inspección técnica</w:t>
      </w:r>
      <w:r>
        <w:rPr>
          <w:rFonts w:ascii="Times New Roman" w:hAnsi="Times New Roman"/>
          <w:sz w:val="22"/>
          <w:szCs w:val="22"/>
        </w:rPr>
        <w:t xml:space="preserve"> donde se reflejarán las conclusiones de la inspección.</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Artículo 5</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Inspección periódica</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Para realizar la inspección periódica de los dispositivos recreativos y las instalaciones de apoyo, el responsable de la explotación debe proporcionar al organismo de control autorizado, conforme al artículo 11, la documentación técnica y el informe elaborado tras la inspección técnica anterior.</w:t>
      </w:r>
    </w:p>
    <w:p w:rsidR="009C32EB" w:rsidRPr="00A160B1" w:rsidRDefault="009C32EB" w:rsidP="00A87D28">
      <w:pPr>
        <w:pStyle w:val="ListParagraph"/>
        <w:keepNext/>
        <w:keepLines/>
        <w:numPr>
          <w:ilvl w:val="0"/>
          <w:numId w:val="12"/>
        </w:numPr>
        <w:spacing w:before="120" w:after="120" w:line="240" w:lineRule="auto"/>
        <w:contextualSpacing w:val="0"/>
        <w:jc w:val="both"/>
        <w:rPr>
          <w:rFonts w:ascii="Times New Roman" w:hAnsi="Times New Roman"/>
        </w:rPr>
      </w:pPr>
      <w:r>
        <w:rPr>
          <w:rFonts w:ascii="Times New Roman" w:hAnsi="Times New Roman"/>
        </w:rPr>
        <w:t>La inspección periódica es conforme a los requisitos establecidos en la norma armonizada ELOT EN 13814:2019, en su versión en vigor, y debe incluir obligatoriamente lo siguiente: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la inspección de los componentes y los dispositivos que son importantes para la seguridad en relación con posibles deterioros, grietas, averías, erosiones, etc.,</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la inspección de los componentes de protección de los dispositivos,</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el control de las instrucciones fundamentales de uso, funcionamiento y mantenimiento de toda la maquinaria de los dispositivos recreativos,</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la inspección de las instalaciones eléctricas y los aparatos eléctricos,</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la revisión de los formularios de los ensayos no destructivos con arreglo a los requisitos del fabricante.</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La inspección periódica debe incluir al menos una prueba de funcionamiento con una carga representativa (</w:t>
      </w:r>
      <w:r>
        <w:rPr>
          <w:rFonts w:ascii="Times New Roman" w:hAnsi="Times New Roman"/>
          <w:i/>
        </w:rPr>
        <w:t>apartado 4.3.2 de ELOT EN 13814-3</w:t>
      </w:r>
      <w:r>
        <w:rPr>
          <w:rFonts w:ascii="Times New Roman" w:hAnsi="Times New Roman"/>
        </w:rPr>
        <w:t>).</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Cinco (5) años después de la inspección técnica inicial, con independencia del tiempo de funcionamiento de los dispositivos recreativos, es obligatorio realizar una inspección técnica exhaustiva, conforme a los requisitos de la norma armonizada ELOT EN 13814:2019, en su versión en vigor (</w:t>
      </w:r>
      <w:r>
        <w:rPr>
          <w:rFonts w:ascii="Times New Roman" w:hAnsi="Times New Roman"/>
          <w:i/>
        </w:rPr>
        <w:t>norma ELOT EN 13814 parte 1, punto 4.7; parte 2, anexo B, puntos 5 y 6; parte 3, punto 4.3.2)</w:t>
      </w:r>
      <w:r>
        <w:rPr>
          <w:rFonts w:ascii="Times New Roman" w:hAnsi="Times New Roman"/>
        </w:rPr>
        <w:t>, en la cual se incluirán tanto el control indicado en los anteriores apartados 2 y 3 como el control de todos los elementos estructurales, prestando especial atención a lo siguiente:</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fisuras y fracturas de elementos de los equipos por fatiga,</w:t>
      </w:r>
    </w:p>
    <w:p w:rsidR="00212831"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deformaciones permanentes y piezas sueltas o deterioradas, y</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cambios básicos en su forma.</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Durante la inspección periódica relativa a la evaluación de la seguridad del dispositivo recreativo, el organismo de control autorizado puede además pedir al responsable de la explotación que se realicen ensayos destructivos y no destructivos, siempre que dicha petición se acompañe de pruebas que lo justifiquen.</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En caso de modificaciones esenciales o reparaciones fundamentales de un dispositivo recreativo, se seguirá el procedimiento previsto en la inspección técnica inicial.</w:t>
      </w:r>
    </w:p>
    <w:p w:rsidR="00212831"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Después de la inspección técnica periódica, el organismo de control autorizado elaborará el informe de la inspección técnica donde se reflejarán las conclusiones de la inspección.</w:t>
      </w:r>
    </w:p>
    <w:p w:rsidR="009C32EB" w:rsidRPr="00A160B1" w:rsidRDefault="006F5EEC"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Artículo 6</w:t>
      </w:r>
    </w:p>
    <w:p w:rsidR="009C32EB" w:rsidRPr="00A160B1" w:rsidRDefault="009C32EB" w:rsidP="00F730C8">
      <w:pPr>
        <w:keepNext/>
        <w:keepLines/>
        <w:jc w:val="center"/>
        <w:rPr>
          <w:rFonts w:ascii="Times New Roman" w:hAnsi="Times New Roman"/>
          <w:spacing w:val="40"/>
          <w:sz w:val="22"/>
          <w:szCs w:val="22"/>
        </w:rPr>
      </w:pPr>
      <w:r>
        <w:rPr>
          <w:rFonts w:ascii="Times New Roman" w:hAnsi="Times New Roman"/>
          <w:sz w:val="22"/>
          <w:szCs w:val="22"/>
        </w:rPr>
        <w:t>Competencia del personal</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El responsable de la explotación seleccionará y contratará al personal, que debe tener competencia técnica acreditada para realizar tareas relacionadas con el soporte y el funcionamiento de los dispositivos recreativos y las instalaciones de apoyo. El personal debe poder determinar las prioridades relativas a la seguridad de los usuarios/pasajeros y del público en general, seguir escrupulosamente todos los procesos previstos necesarios, y tener madurez y capacidad para llevar a cabo todas las actuaciones que pudieran precisarse durante la utilización o el funcionamiento del dispositivo recreativo.</w:t>
      </w:r>
    </w:p>
    <w:p w:rsidR="00212831" w:rsidRPr="00A160B1" w:rsidRDefault="009C32EB" w:rsidP="00A87D28">
      <w:pPr>
        <w:pStyle w:val="ListParagraph"/>
        <w:keepNext/>
        <w:keepLines/>
        <w:numPr>
          <w:ilvl w:val="0"/>
          <w:numId w:val="15"/>
        </w:numPr>
        <w:spacing w:before="60" w:after="60" w:line="240" w:lineRule="auto"/>
        <w:ind w:left="357"/>
        <w:contextualSpacing w:val="0"/>
        <w:jc w:val="both"/>
        <w:rPr>
          <w:rFonts w:ascii="Times New Roman" w:hAnsi="Times New Roman"/>
        </w:rPr>
      </w:pPr>
      <w:r>
        <w:rPr>
          <w:rFonts w:ascii="Times New Roman" w:hAnsi="Times New Roman"/>
        </w:rPr>
        <w:t>Las tareas relacionadas con:</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la instalación;</w:t>
      </w:r>
    </w:p>
    <w:p w:rsidR="009C32EB"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b)</w:t>
      </w:r>
      <w:r>
        <w:rPr>
          <w:rStyle w:val="tlid-translation"/>
          <w:rFonts w:ascii="Times New Roman" w:hAnsi="Times New Roman"/>
        </w:rPr>
        <w:tab/>
        <w:t>el montaje, el desmontaje y la reinstalación;</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c)</w:t>
      </w:r>
      <w:r>
        <w:rPr>
          <w:rStyle w:val="tlid-translation"/>
          <w:rFonts w:ascii="Times New Roman" w:hAnsi="Times New Roman"/>
        </w:rPr>
        <w:tab/>
        <w:t>el mantenimiento y la limpieza;</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d)</w:t>
      </w:r>
      <w:r>
        <w:rPr>
          <w:rStyle w:val="tlid-translation"/>
          <w:rFonts w:ascii="Times New Roman" w:hAnsi="Times New Roman"/>
        </w:rPr>
        <w:tab/>
        <w:t>la inspección interna;</w:t>
      </w:r>
    </w:p>
    <w:p w:rsidR="00212831" w:rsidRPr="001A5899"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e)</w:t>
      </w:r>
      <w:r>
        <w:rPr>
          <w:rStyle w:val="tlid-translation"/>
          <w:rFonts w:ascii="Times New Roman" w:hAnsi="Times New Roman"/>
        </w:rPr>
        <w:tab/>
        <w:t>la utilización y el funcionamiento de los dispositivos recreativos y las instalaciones de apoyo;</w:t>
      </w:r>
    </w:p>
    <w:p w:rsidR="009C32EB" w:rsidRPr="00A160B1" w:rsidRDefault="009C32EB" w:rsidP="00A87D28">
      <w:pPr>
        <w:pStyle w:val="ListParagraph"/>
        <w:spacing w:before="120" w:after="120" w:line="240" w:lineRule="auto"/>
        <w:ind w:left="357"/>
        <w:contextualSpacing w:val="0"/>
        <w:jc w:val="both"/>
      </w:pPr>
      <w:r>
        <w:t>f)</w:t>
      </w:r>
      <w:r>
        <w:tab/>
        <w:t>la orientación y la vigilancia del público para su seguridad</w:t>
      </w:r>
    </w:p>
    <w:p w:rsidR="009C32EB" w:rsidRPr="00A160B1" w:rsidRDefault="009C32EB" w:rsidP="00A87D28">
      <w:pPr>
        <w:pStyle w:val="ListParagraph"/>
        <w:spacing w:before="120" w:after="120" w:line="240" w:lineRule="auto"/>
        <w:ind w:left="357"/>
        <w:contextualSpacing w:val="0"/>
        <w:jc w:val="both"/>
        <w:rPr>
          <w:rFonts w:ascii="Times New Roman" w:hAnsi="Times New Roman"/>
        </w:rPr>
      </w:pPr>
      <w:r>
        <w:rPr>
          <w:rFonts w:ascii="Times New Roman" w:hAnsi="Times New Roman"/>
        </w:rPr>
        <w:t>se llevarán únicamente a cabo por personal acreditado y, cuando proceda, por personal autorizado cuya competencia técnica está establecida en las disposiciones legales (</w:t>
      </w:r>
      <w:r>
        <w:rPr>
          <w:rFonts w:ascii="Times New Roman" w:hAnsi="Times New Roman"/>
          <w:i/>
        </w:rPr>
        <w:t>electricistas, ingenieros, etc.</w:t>
      </w:r>
      <w:r>
        <w:rPr>
          <w:rFonts w:ascii="Times New Roman" w:hAnsi="Times New Roman"/>
        </w:rPr>
        <w:t>).</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En el caso de las profesiones técnicas reguladas, la competencia del personal se establece conforme a las disposiciones de las leyes 3844/2010 (Boletín Oficial de la República Helénica 63/A) y 3982/2011 (143/A) y del Decreto Presidencial 38/2010 (Boletín Oficial de la República Helénica 78/A).</w:t>
      </w:r>
    </w:p>
    <w:p w:rsidR="00212831"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Asimismo, para garantizar aún más la idoneidad del personal, este debe obtener el certificado de competencia profesional del organismo de certificación de personas, acreditado conforme a la norma internacional ELOT EN ISO/IEC 17024, </w:t>
      </w:r>
      <w:r>
        <w:rPr>
          <w:rFonts w:ascii="Times New Roman" w:hAnsi="Times New Roman"/>
          <w:i/>
        </w:rPr>
        <w:t>Evaluación de la conformidad. Requisitos generales para los organismos que realizan certificación de personas</w:t>
      </w:r>
      <w:r>
        <w:rPr>
          <w:rFonts w:ascii="Times New Roman" w:hAnsi="Times New Roman"/>
        </w:rPr>
        <w:t>, con arreglo al contexto del siguiente apartado.</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Dicha certificación, emitida por el organismo acreditado con arreglo a la norma internacional ELOT EN ISO/IEC 17024 debe cumplir los requisitos y los criterios de un esquema de certificación sectorial autorizado a nivel nacional, conforme a los requisitos del apartado 8 de la norma internacional ELOT EN ISO/IEC 17024, así como los requisitos relativos a los esquemas de certificación, tal como se especifican en las correspondientes directrices europeas dirigidas a los organismos nacionales de acreditación, las cuales emite la organización regional europea de organismos nacionales de acreditación a que se refiere el artículo 14 del Reglamento (CE) n.º 765/2008, en su versión en vigor (Cooperación Europea para la Acreditación, EA). Los esquemas de certificación deben incluir al menos los requisitos del anexo IΙΙ de la presente Decisión.</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El responsable de la explotación debe mantener un registro de los certificados de competencia profesional del personal contratado, el cual estará a disposición de las autoridades de control competentes, y en uso por parte de los organismos de control autorizados que evalúan la conformidad de los dispositivos recreativos y las instalaciones de apoyo.</w:t>
      </w:r>
    </w:p>
    <w:p w:rsidR="00212831" w:rsidRPr="00A160B1" w:rsidRDefault="009C32EB" w:rsidP="00A87D28">
      <w:pPr>
        <w:pStyle w:val="ListParagraph"/>
        <w:numPr>
          <w:ilvl w:val="0"/>
          <w:numId w:val="15"/>
        </w:numPr>
        <w:spacing w:before="120" w:after="120" w:line="240" w:lineRule="auto"/>
        <w:jc w:val="both"/>
        <w:rPr>
          <w:rFonts w:ascii="Times New Roman" w:hAnsi="Times New Roman"/>
        </w:rPr>
      </w:pPr>
      <w:r>
        <w:rPr>
          <w:rFonts w:ascii="Times New Roman" w:hAnsi="Times New Roman"/>
        </w:rPr>
        <w:t>Hasta la recepción del certificado necesario, con arreglo a lo dispuesto en el apartado 4 del presente artículo, el personal que carezca de competencia técnica estará supervisado por otra persona nombrada por el responsable de la explotación, que debe cumplir los requisitos de los apartados 1 a 3 del presente artículo, y que cuente con una experiencia laboral demostrada de al menos cinco (5) años, a fin de garantizar la calidad de su trabajo.</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Artículo 7</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Informe de inspección técnica</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Tras la inspección técnica, el organismo de control autorizado elaborará el informe de la inspección técnica donde se reflejarán las conclusiones de la inspección. En el informe de la inspección técnica deberán aparecer destacados en negrita los términos «CONFORME» y «NO CONFORME», así como el término «OBSERVACIONES», que se utilizarán según corresponda.</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En el informe de la inspección técnica se debe indicar de forma detallada el tipo de inspección [</w:t>
      </w:r>
      <w:r>
        <w:rPr>
          <w:rFonts w:ascii="Times New Roman" w:hAnsi="Times New Roman"/>
          <w:i/>
        </w:rPr>
        <w:t>i) inicial, ii) periódica, iii) exhaustiva y iv) de emergencia</w:t>
      </w:r>
      <w:r>
        <w:rPr>
          <w:rFonts w:ascii="Times New Roman" w:hAnsi="Times New Roman"/>
        </w:rPr>
        <w:t>], todos los procesos que se hayan examinado, las medidas adoptadas por el responsable de la explotación, así como las conclusiones y las observaciones del organismo de control autorizado. En particular, en el informe de la inspección técnica, el organismo de control autorizado opinará, según corresponda, sobre todas las tareas relacionadas con el proceso de control, como puedan ser la fabricación, la instalación, el montaje y desmontaje, el funcionamiento, la utilización y el mantenimiento del dispositivo recreativo, que haya realizado el responsable de la explotación o un tercero subcontratado por este, quien debe tener competencia técnica de conformidad con el artículo 6.</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Si el control obtiene un resultado favorable, el organismo de control autorizado elaborará el informe de la inspección técnica indicando el término «CONFORME», con el que se confirma el cumplimiento de los requisitos previstos que impone la presente Decisión. Asimismo, el organismo de control autorizado realizará el marcado del dispositivo con la correspondiente «PLACA DE INSPECCIÓN» indeleble. En la placa de inspección se indicará la fecha de la inspección realizada, el resultado de la inspección, la fecha de la próxima inspección programada, así como el marcado del dispositivo recreativo, según corresponda, como «APTO PARA SER UTILIZADO» o bien «NO APTO PARA SER UTILIZADO», según lo dispuesto en el anexo ΙΙ.</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Si durante la inspección el organismo de control autorizado observa que un dispositivo recreativo cumple los requisitos de seguridad relativos al funcionamiento y la utilización para el público en general, pero hay mejoras aún pendientes, al elaborar el informe de la inspección técnica deberá emplear el término «CONFORME» y mediante el término «OBSERVACIONES» podrá también incluir comentarios.</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Para eliminar estas observaciones y las correspondientes intervenciones que deben llevarse a cabo, es preciso el dictamen conforme del organismo de control autorizado.</w:t>
      </w:r>
    </w:p>
    <w:p w:rsidR="00212831"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Si el organismo de control autorizado observa durante la inspección que un dispositivo recreativo no cumple los requisitos de seguridad relativos al funcionamiento y el uso para el público en general, al elaborar el informe de la inspección técnica deberá emplear el término «NO CONFORME» e indicar las razones que demuestren que el funcionamiento no es correcto ni seguro.</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Para eliminar este incumplimiento y las correspondientes medidas correctivas que deberán tomarse para que el dispositivo vuelva a ser seguro para su uso y tener un funcionamiento correcto, es preciso el dictamen conforme del organismo de control autorizado. Con arreglo al criterio del organismo de control autorizado, las intervenciones importantes en los equipos de los dispositivos recreativos y las instalaciones de apoyo requieren la aplicación del procedimiento de inspección técnica inicial. El responsable de la explotación tiene la obligación de adoptar todas las medidas necesarias para impedir el acceso de los usuarios/pasajeros a dicho dispositivo recreativo, hasta que vuelva a ser seguro para el público.</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El responsable de la explotación archivará y conservará los informes de las inspecciones técnicas, de modo que siempre estén a disposición de las autoridades competentes y del organismo de control autorizado.</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color w:val="000000"/>
        </w:rPr>
        <w:t>Los informes de las inspecciones técnicas deben incluir toda la información que demuestra que los dispositivos recreativos y las instalaciones de apoyo son seguros y aptos para su utilización y funcionamiento, y deben ser conformes con lo dispuesto en el anexo ΙΙ.</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Artículo 8</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Inspección interna</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Con objeto de supervisar el funcionamiento correcto del dispositivo recreativo y las instalaciones de apoyo, el responsable de la explotación está obligado a realizar inspecciones y controles internos a intervalos periódicos, conforme a los requisitos del fabricante y/o de las normas pertinentes y/o las observaciones del organismo de control autorizado.</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La inspección interna será realizada por personal acreditado adecuado que tenga competencia técnica conforme a los requisitos del artículo 6 de la presente Decisión, o bien por diplomados en ingeniería que tengan esta especialidad y cuenten con una experiencia laboral demostrada de al menos cinco (5) años en este tipo de instalaciones.</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 xml:space="preserve">Los resultados de la inspección interna del dispositivo recreativo deben anotarse en el </w:t>
      </w:r>
      <w:r>
        <w:rPr>
          <w:rFonts w:ascii="Times New Roman" w:hAnsi="Times New Roman"/>
          <w:i/>
        </w:rPr>
        <w:t>registro del funcionamiento, mantenimiento e incidentes</w:t>
      </w:r>
      <w:r>
        <w:rPr>
          <w:rFonts w:ascii="Times New Roman" w:hAnsi="Times New Roman"/>
        </w:rPr>
        <w:t xml:space="preserve"> a que se refiere el artículo 9 de la presente Decisión, que debe mantener el responsable de la explotación.</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Artículo 9</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Registro del funcionamiento, mantenimiento e incidentes del dispositivo recreativo</w:t>
      </w:r>
    </w:p>
    <w:p w:rsidR="009C32EB"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Para cada dispositivo recreativo se mantiene un registro del funcionamiento, mantenimiento e incidentes en el que se anotan los resultados de las inspecciones técnicas internas, periódicas, exhaustivas y de emergencia.</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En el registro del funcionamiento, mantenimiento e incidentes también se anotan todos los hechos que puedan afectar al funcionamiento y la seguridad del dispositivo recreativo o una instalación de apoyo, así como los accidentes o casi accidentes que hayan sufrido los usuarios, el público y los trabajadores tras la puesta en funcionamiento del dispositivo.</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El responsable de la explotación debe poner el registro del funcionamiento, mantenimiento e incidentes a disposición de las autoridades competentes en cualquier proceso de inspección interno o externo.</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El registro del funcionamiento, mantenimiento e incidentes debe acompañar obligatoriamente cada dispositivo recreativo en caso de que se produzca un cambio de propiedad.</w:t>
      </w:r>
    </w:p>
    <w:p w:rsidR="009C32EB" w:rsidRPr="00A160B1" w:rsidRDefault="009C32EB" w:rsidP="00A87D28">
      <w:pPr>
        <w:pStyle w:val="ListParagraph"/>
        <w:keepNext/>
        <w:keepLines/>
        <w:numPr>
          <w:ilvl w:val="0"/>
          <w:numId w:val="18"/>
        </w:numPr>
        <w:spacing w:before="120" w:after="120" w:line="240" w:lineRule="auto"/>
        <w:contextualSpacing w:val="0"/>
        <w:jc w:val="both"/>
        <w:rPr>
          <w:rFonts w:ascii="Times New Roman" w:hAnsi="Times New Roman"/>
        </w:rPr>
      </w:pPr>
      <w:r>
        <w:rPr>
          <w:rFonts w:ascii="Times New Roman" w:hAnsi="Times New Roman"/>
        </w:rPr>
        <w:t>El registro del funcionamiento, mantenimiento e incidentes debe incluir al menos los siguientes datos:</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el número de identificación del dispositivo recreativo,</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la fotografía del estado del dispositivo recreativo cuando se realizó la inspección técnica inicial,</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el informe de la inspección técnica,</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los informes de todas las inspecciones técnicas, incluida la última,</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las instrucciones para la realización del montaje, las inspecciones internas y el mantenimiento, junto con la correspondiente lista de los puntos de control,</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el personal que se considere facultado para la inspección interna, el funcionamiento, el montaje y el mantenimiento del dispositivo, así como la documentación que acredite su competencia técnica,</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la descripción de los accidentes o casi accidentes relacionados con el dispositivo, el momento en que se detectaron, las medidas preventivas y correctivas que haya tomado el responsable de la explotación y su implantación. La eficacia de las medidas preventivas y correctivas tomadas se evaluará a través de una inspección interna que deberá documentarse de forma adecuada,</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en caso de que se repita un incidente en el mismo dispositivo recreativo, el responsable de la explotación estará obligado a realizar una inspección exhaustiva y volver a formar al personal competente.</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Artículo 10</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Instalaciones de apoyo</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El responsable de la explotación debe presentar un plano detallado de la planta de todo el parque de atracciones donde se reflejen todos los dispositivos recreativos, la ubicación exacta de cada dispositivo, las zonas de seguridad, las barandillas y pasamanos temporales necesarios, las principales vías de circulación dentro las instalaciones y los recorridos de salida, las distancias entre los dispositivos recreativos y las distancias entre estos y los demás espacios que se encuentran en las inmediaciones, así como el sistema de interconexión de cableado eléctrico de los dispositivos con el cuadro central y los subcuadros.</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Las instalaciones de apoyo de los dispositivos recreativos deben cumplir los requisitos de la norma armonizada ELOT EN 13814:2019 pertinente.</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 ventilación, el acondicionamiento, los elementos decorativos, los medios contraincendios, así como los medios de evacuación y las salidas de emergencia de las instalaciones de apoyo deben cumplir los requisitos especificados en la documentación técnica del responsable de la explotación, en relación con las características estructurales, la estabilidad, la adecuación y la seguridad contraincendios, sin perjuicio de lo dispuesto en el Código General de la Construcción (Decisión Ministerial 3046/304/1989, Boletín Oficial de la República Helénica 59/D/3.2.1989) y los dispositivos para la seguridad contraincendios, en su versión en vigor.</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Los productos de construcción utilizados deben ser conformes con el Reglamento (UE) n.º 305/2011 y los correspondientes requisitos de la legislación técnica.</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El responsable de la explotación estará obligado a colocar visiblemente las instrucciones de seguridad, conforme a las instrucciones del fabricante y los requisitos aplicables en virtud de la presente Decisión. Junto a cada dispositivo recreativo, y en un lugar destacado, debe colgarse una placa informativa legible que, según la calificación del dispositivo recreativo, debe indicar claramente, tanto en griego como en inglés, las restricciones precisas para los usuarios (</w:t>
      </w:r>
      <w:r>
        <w:rPr>
          <w:rFonts w:ascii="Times New Roman" w:hAnsi="Times New Roman"/>
          <w:i/>
        </w:rPr>
        <w:t>límites de edad y altura, instrucciones para personas con problemas de salud</w:t>
      </w:r>
      <w:r>
        <w:rPr>
          <w:rFonts w:ascii="Times New Roman" w:hAnsi="Times New Roman"/>
        </w:rPr>
        <w:t>), con arreglo a las instrucciones del fabricante y las posibles instrucciones complementarias del responsable de la explotación.</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 instalación debe estar vallada con barandillas adecuadas para impedir la entrada a espacios de acceso no permitido y a espacios de acceso restringido.</w:t>
      </w:r>
    </w:p>
    <w:p w:rsidR="009C32EB" w:rsidRPr="00A160B1" w:rsidRDefault="009C32EB" w:rsidP="00A87D28">
      <w:pPr>
        <w:pStyle w:val="ListParagraph"/>
        <w:keepNext/>
        <w:keepLines/>
        <w:numPr>
          <w:ilvl w:val="0"/>
          <w:numId w:val="21"/>
        </w:numPr>
        <w:spacing w:before="60" w:after="60" w:line="240" w:lineRule="auto"/>
        <w:contextualSpacing w:val="0"/>
        <w:jc w:val="both"/>
        <w:rPr>
          <w:rFonts w:ascii="Times New Roman" w:hAnsi="Times New Roman"/>
        </w:rPr>
      </w:pPr>
      <w:r>
        <w:rPr>
          <w:rFonts w:ascii="Times New Roman" w:hAnsi="Times New Roman"/>
        </w:rPr>
        <w:t>Asimismo, es preciso colocar las indicaciones adecuadas fácilmente visibles en las zonas:</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donde se suministra electricidad, incluidos los equipos de puesta a tierra,</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donde se ubican los extintores,</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donde se ubican los contenedores de materiales inflamables,</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donde se ubican los contenedores de basura,</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destinadas a los usuarios y sus acompañantes,</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destinadas a los operarios de la instalación,</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donde se ubican los equipos de transporte especiales.</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Deben retirarse todos los elementos que obstaculicen o puedan suponer un obstáculo en los recorridos de evacuación.</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Las distancias entre las zonas de seguridad de los dispositivos recreativos deben permitir el paso de los vehículos de los bomberos.</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Las vías de evacuación en los espacios de tránsito, en las tribunas y carpas instaladas, casetas, etc. se deben establecer con arreglo a las instrucciones de los fabricantes y de la legislación en materia de espacios de concurrencia de personas, a fin de facilitar el paso de los usuarios y del público en general.</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La iluminación debe ser eléctrica. Los aparatos de alumbrado eléctrico alimentados con baterías están permitidos cuando su instalación es permanente. En caso de corte del suministro eléctrico, deberán instalarse luminarias alimentadas con baterías. Los equipos móviles, como los focos, los megáfonos o los proyectores deben fijarse correctamente para prevenir las caídas y además deben estar fabricados con materiales que no favorezcan la propagación del fuego.</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Los extintores se situarán en lugares fácilmente visibles y accesibles, deben estar señalizados de forma clara y deben estar siempre aptos para su uso.</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Los componentes móviles destinados a los usuarios, en particular, las sillas colgantes de los pasajeros, deben estar distantes de los componentes fijos o móviles del mecanismo, a fin de no poner en peligro a los pasajeros. Es preciso calcular los límites de la trayectoria de las sillas colgantes de los pasajeros para que el público no corra riesgos.</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En caso de que se utilicen dispositivos de elevación para la instalación o desinstalación de un dispositivo recreativo, se aplicarán las disposiciones de la legislación en materia de certificación de mecanismos de elevación, así como el permiso necesario para operar el dispositivo de elevación.</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El número de personas que se encuentran en la plataforma de acceso no debe sobrepasar el número previsto en las instrucciones del fabricante y/o en la documentación técnica del dispositivo.</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Los elementos móviles de las instalaciones, a partir de 250 cm de longitud, deben estar vallados.</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Si está previsto en las instrucciones del fabricante, todas las instalaciones de apoyo deben disponer de zonas de espera que se delimitarán mediante barandillas o vías de acceso y además contar con vigilancia.</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En el caso de los dispositivos recreativos que se mueven sobre carril, se deben señalizar los puntos donde los usuarios cruzan los carriles a fin de evitar los riesgos de caída.</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Artículo 11</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Reconocimiento de organismos de control</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Todo organismo de control que desee actuar en el ámbito de la presente Decisión debe obtener una autorización de reconocimiento del servicio competente de la Secretaría General de Industria, sobre la base del marco general de requisitos de la Decisión ministerial conjunta MWOS01.2/56790/WWII1828/31.5.2016 (Boletín Oficial de la República Helénica 1897/B/2016). El alcance de dicho reconocimiento quedará delimitado por los ámbitos de los certificados de acreditación, conforme a lo dispuesto en el apartado 3.</w:t>
      </w:r>
    </w:p>
    <w:p w:rsidR="009C32EB" w:rsidRPr="00A160B1" w:rsidRDefault="009C32EB" w:rsidP="00A87D28">
      <w:pPr>
        <w:pStyle w:val="normal2"/>
        <w:numPr>
          <w:ilvl w:val="0"/>
          <w:numId w:val="46"/>
        </w:numPr>
        <w:tabs>
          <w:tab w:val="left" w:pos="0"/>
        </w:tabs>
        <w:spacing w:line="240" w:lineRule="auto"/>
        <w:ind w:left="426" w:hanging="426"/>
        <w:rPr>
          <w:sz w:val="22"/>
          <w:szCs w:val="22"/>
        </w:rPr>
      </w:pPr>
      <w:r>
        <w:rPr>
          <w:sz w:val="22"/>
          <w:szCs w:val="22"/>
        </w:rPr>
        <w:t>El organismo de control interesado, a fin de obtener la autorización de reconocimiento con arreglo al apartado anterior, debe ser una entidad tercera, es decir, una entidad independiente del organismo o el producto que evalúa, cuestión que también se debe indicar en el certificado de acreditación que posea.</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Los certificados de reconocimiento previstos en el Decreto ministerial conjunto PH.01.2/56790/DPP1828/31.5.2016 (Boletín Oficial de la República Helénica 1897/Β/2016), a efectos de la presente Decisión, se deben haber expedido con arreglo a la norma ELOT EN ISO/IEC 17020 y estarán relacionados con uno, varios o todos los ámbitos siguientes:</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inspección técnica inicial,</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inspección técnica periódica,</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inspección técnica exhaustiva,</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inspección técnica de emergencia.</w:t>
      </w:r>
    </w:p>
    <w:p w:rsidR="009C32EB" w:rsidRPr="00A160B1" w:rsidRDefault="009C32EB" w:rsidP="00F730C8">
      <w:pPr>
        <w:pStyle w:val="ListParagraph"/>
        <w:spacing w:before="120" w:after="120" w:line="240" w:lineRule="auto"/>
        <w:ind w:left="426"/>
        <w:contextualSpacing w:val="0"/>
        <w:jc w:val="both"/>
        <w:rPr>
          <w:rFonts w:ascii="Times New Roman" w:hAnsi="Times New Roman"/>
        </w:rPr>
      </w:pPr>
      <w:r>
        <w:rPr>
          <w:rFonts w:ascii="Times New Roman" w:hAnsi="Times New Roman"/>
        </w:rPr>
        <w:t>En este contexto, y en todos los casos, los certificados de reconocimiento solo se obtendrán si son expedidos por el organismo nacional de acreditación o si han sido expedidos con arreglo a lo dispuesto en el Reglamento (CE) n.º 765/2008 y, en particular, en sus artículos 4, 6 y 7.</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A cada organismo de control que obtiene el certificado de reconocimiento para actuar en el marco de la presente Decisión y que se incluye en el ámbito de la inspección técnica inicial se le asigna un número exclusivo de tres cifras.</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A efectos únicamente de la presente Decisión y con independencia de cualquier otra autorización/reconocimiento/notificación, el contrato de responsabilidad civil y profesional previsto en la Decisión ministerial conjunta PH.01.2/56790/DPP1828/31.5.2016, que el organismo de control está obligado a poseer durante todo el periodo de reconocimiento, no debe tener un importe inferior a 5 000 000 EUR.</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Además de las obligaciones de notificación que establece la Decisión ministerial conjunta PH.01.2/56790/DPP1828/31.5.2016, cada organismo de control que está reconocido para actuar en el ámbito de aplicación de la presente Decisión también tendrá la obligación de informar de cualquier cambio pertinente al servicio competente de la Secretaría General de Industria.</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Los inspectores del organismo de control autorizado deben ser diplomados en ingeniería, y deben tener una experiencia práctica de al menos cinco (5) años en el ámbito de la construcción o el mantenimiento de dispositivos recreativos o aparatos similares. Asimismo, estos ingenieros inspectores (</w:t>
      </w:r>
      <w:r>
        <w:rPr>
          <w:rFonts w:ascii="Times New Roman" w:hAnsi="Times New Roman"/>
          <w:i/>
        </w:rPr>
        <w:t>con independencia de su especialidad</w:t>
      </w:r>
      <w:r>
        <w:rPr>
          <w:rFonts w:ascii="Times New Roman" w:hAnsi="Times New Roman"/>
        </w:rPr>
        <w:t>) deben tener competencia técnica acreditada en inspecciones de soldaduras de metales de los dispositivos recreativos o aparatos similares, así como en inspecciones de aparatos eléctricos.</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Artículo 12</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Requisitos especiales relativos a los dispositivos recreativos itinerantes</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Los dispositivos recreativos itinerantes y sus instalaciones de apoyo deben cumplir los requisitos de la norma armonizada ELOT EN 13814:2019, en su versión en vigor.</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El responsable de la explotación de los dispositivos recreativos itinerantes y sus instalaciones de apoyo también debe establecer de forma clara procesos documentados de montaje y desmontaje que debe llevar a cabo personal autorizado, quien debe tener las competencias técnicas adecuadas con arreglo al artículo 6, a fin de garantizar su seguridad y estabilidad durante su utilización. Estos procesos deben ser conformes con las instrucciones del fabricante y con los requisitos legales aplicables y las normas, y deben incluir un nivel satisfactorio de conocimientos científicos y técnicos.</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El número de unidades y la altura del montaje de cada dispositivo recreativo debe limitarse al mínimo previsto por el fabricante.</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El montaje del dispositivo recreativo debe realizarse en un terreno llano, y su carga se debe repartir adecuadamente para apoyarse en una cimentación sólida. A diario examinará y documentará su estabilidad personal cualificado con competencia técnica conforme al artículo 6, apartado 4, de la presente Decisión. En caso de que el montaje del dispositivo recreativo se realice sobre un terreno inclinado, se debe justificar su seguridad.</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Todos los materiales incluidos en el dispositivo deben ser seguros y aptos para la finalidad para la que han sido seleccionados y deben colocarse con arreglo a los correspondientes manuales a fin de evitar que se desplacen, se hundan o se separen.</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Si un dispositivo recreativo incluye soportes sobre los que se apoya la estructura, estos soportes deben utilizarse con arreglo a las instrucciones del fabricante. Las bases hidráulicas no se deben utilizar como apoyo de un dispositivo recreativo durante su funcionamiento, salvo si han sido diseñadas y autorizadas para tal fin.</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Durante el montaje y desmontaje, los dispositivos temporales de acceso y trabajo deben ser seguros, incluido un sistema de iluminación suficiente y adecuada que permita ejecutar las tareas de manera segura y correcta.</w:t>
      </w:r>
    </w:p>
    <w:p w:rsidR="00F730C8" w:rsidRPr="00A160B1" w:rsidRDefault="00F730C8" w:rsidP="00F730C8">
      <w:pPr>
        <w:keepNext/>
        <w:keepLines/>
        <w:spacing w:before="480"/>
        <w:jc w:val="center"/>
        <w:rPr>
          <w:rFonts w:ascii="Times New Roman" w:hAnsi="Times New Roman"/>
          <w:b/>
          <w:spacing w:val="40"/>
        </w:rPr>
      </w:pPr>
      <w:r>
        <w:rPr>
          <w:rFonts w:ascii="Times New Roman" w:hAnsi="Times New Roman"/>
          <w:b/>
        </w:rPr>
        <w:t>Artículo 13</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Inspección técnica de la reinstalación para los dispositivos recreativos itinerantes</w:t>
      </w:r>
    </w:p>
    <w:p w:rsidR="009C32EB" w:rsidRPr="00A160B1" w:rsidRDefault="009C32EB" w:rsidP="00F730C8">
      <w:pPr>
        <w:pStyle w:val="ListParagraph"/>
        <w:keepNext/>
        <w:keepLines/>
        <w:numPr>
          <w:ilvl w:val="0"/>
          <w:numId w:val="37"/>
        </w:numPr>
        <w:spacing w:before="60" w:after="60" w:line="240" w:lineRule="auto"/>
        <w:contextualSpacing w:val="0"/>
        <w:jc w:val="both"/>
        <w:rPr>
          <w:rFonts w:ascii="Times New Roman" w:hAnsi="Times New Roman"/>
        </w:rPr>
      </w:pPr>
      <w:r>
        <w:rPr>
          <w:rFonts w:ascii="Times New Roman" w:hAnsi="Times New Roman"/>
        </w:rPr>
        <w:t>Los dispositivos recreativos itinerantes deben someterse a una inspección técnica específica en cada reinstalación. Esta inspección debe incluir lo siguiente: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revisión del registro del funcionamiento, mantenimiento e incidentes,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construcción o montaje conforme a la documentación técnica, según lo previsto en el artículo 4 de la presente Decisión,</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adecuación de la cimentación, conforme a los requisitos del dispositivo recreativo establecidos en su documentación técnica y las condiciones del suelo,</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inspección visual de los principales elementos de construcción que soportan cargas críticas,</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inspección de los posibles deterioros,</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instalación de los componentes que se desmontan (iluminación, etc.),</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instalación de sistemas de seguridad (como los sistemas de sujeción de usuarios/pasajeros, barras-cinturones de seguridad, dispositivo antidescarrilamiento, etc. según los planos),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las distancias de seguridad,</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los aparatos eléctricos y la instalación eléctrica para la protección contra los choques eléctricos, incluidas las mediciones de los equipos de puesta a tierra,</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puesta en marcha en vacío,</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las mediciones de la velocidad de avance y los tiempos, tal como se indican en la documentación técnica,</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existencia de un proceso de rescate,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la seguridad contraincendios y las luces de seguridad.</w:t>
      </w:r>
    </w:p>
    <w:p w:rsidR="009C32EB" w:rsidRPr="00A160B1" w:rsidRDefault="009C32EB" w:rsidP="00A87D28">
      <w:pPr>
        <w:pStyle w:val="ListParagraph"/>
        <w:numPr>
          <w:ilvl w:val="0"/>
          <w:numId w:val="37"/>
        </w:numPr>
        <w:spacing w:before="120" w:after="120" w:line="240" w:lineRule="atLeast"/>
        <w:contextualSpacing w:val="0"/>
        <w:jc w:val="both"/>
        <w:rPr>
          <w:rFonts w:ascii="Times New Roman" w:hAnsi="Times New Roman"/>
        </w:rPr>
      </w:pPr>
      <w:r>
        <w:rPr>
          <w:rFonts w:ascii="Times New Roman" w:hAnsi="Times New Roman"/>
        </w:rPr>
        <w:t>La inspección de la reinstalación en la nueva ubicación será realizada por diplomados en ingeniería que tengan esta especialidad y que tengan competencia técnica y una experiencia laboral de al menos cinco (5) años en el ámbito de la construcción o el mantenimiento, con objeto de garantizar que los dispositivos recreativos itinerantes autorizados conforme a la inspección técnica inicial siguen funcionando con seguridad.</w:t>
      </w:r>
    </w:p>
    <w:p w:rsidR="009C32EB" w:rsidRPr="00A160B1" w:rsidRDefault="009C32EB" w:rsidP="00A87D28">
      <w:pPr>
        <w:pStyle w:val="ListParagraph"/>
        <w:spacing w:before="120" w:after="120" w:line="240" w:lineRule="atLeast"/>
        <w:ind w:left="360"/>
        <w:contextualSpacing w:val="0"/>
        <w:jc w:val="both"/>
        <w:rPr>
          <w:rFonts w:ascii="Times New Roman" w:hAnsi="Times New Roman"/>
        </w:rPr>
      </w:pPr>
      <w:r>
        <w:rPr>
          <w:rFonts w:ascii="Times New Roman" w:hAnsi="Times New Roman"/>
        </w:rPr>
        <w:t>La competencia técnica y la experiencia de los ingenieros en este ámbito concreto podría también justificarse mediante la certificación de un organismo acreditado, con arreglo a la norma internacional ELOT EN ISO/IEC 17024 con un esquema de certificación sectorial autorizado a nivel nacional (artículo 8, norma ELOT EN ISO/IEC 17024).</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El responsable de la explotación tendrá la obligación de proporcionar a los ingenieros que realizan la inspección de la reinstalación la documentación técnica y el último informe de la inspección técnica elaborado por el organismo de control autorizado.</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En caso de modificaciones esenciales de un dispositivo recreativo, se interrumpirá la inspección de la reinstalación y el responsable de la explotación deberá seguir el proceso previsto en la inspección técnica inicial.</w:t>
      </w:r>
    </w:p>
    <w:p w:rsidR="00212831"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Tras la inspección de la reinstalación, y en relación con las conclusiones extraídas, los ingenieros deberán elaborar el informe de la inspección técnica de la reinstalación, que se incluirá en el registro del funcionamiento, mantenimiento e incidentes del dispositivo recreativo.</w:t>
      </w:r>
    </w:p>
    <w:p w:rsidR="00F730C8" w:rsidRPr="00A160B1" w:rsidRDefault="00F730C8" w:rsidP="00F730C8">
      <w:pPr>
        <w:keepNext/>
        <w:keepLines/>
        <w:spacing w:before="480"/>
        <w:jc w:val="center"/>
        <w:rPr>
          <w:rFonts w:ascii="Times New Roman" w:hAnsi="Times New Roman"/>
          <w:spacing w:val="40"/>
          <w:sz w:val="22"/>
          <w:szCs w:val="22"/>
        </w:rPr>
      </w:pPr>
      <w:r>
        <w:rPr>
          <w:rFonts w:ascii="Times New Roman" w:hAnsi="Times New Roman"/>
          <w:b/>
          <w:sz w:val="22"/>
          <w:szCs w:val="22"/>
        </w:rPr>
        <w:t>Artículo 14</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Autoridades competentes</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Sin perjuicio de lo dispuesto en el apartado 2, las autoridades competentes responsables de controlar el cumplimiento de los requisitos de la presente Decisión y de aplicar sanciones serán las autoridades competentes con arreglo a lo dispuesto en los artículos 5 y 7 de la Ley 4442/2016 para las actividades relacionadas con los dispositivos recreativos de la presente Decisión.</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La autoridad competente para el seguimiento de la correcta aplicación de la presente Decisión será la Dirección de Política de Calidad de la Secretaría General de Industria, que velará por la publicación en su página web de los organismos de control autorizados para la inspección técnica de los dispositivos recreativos y las instalaciones de apoyo en los parques de atracciones.</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Artículo 15</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Cláusula de reconocimiento mutuo</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Los dispositivos recreativos que cumplan los requisitos de la norma armonizada ELOT EN 13814:2019, en su versión en vigor, y se hayan comercializado legalmente en un Estado miembro de la Unión Europea o en Turquía o que procedan y se hayan comercializado legalmente en un Estado AELC del EEE, se presupone que cumplen los requisitos del artículo 3, apartado 1, de la presente Decisión.</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La aplicación de estas normas está sujeta al Reglamento (UE) 2019/515, de 19 de marzo de 2019, relativo al reconocimiento mutuo de mercancías comercializadas legalmente en otro Estado miembro.</w:t>
      </w:r>
    </w:p>
    <w:p w:rsidR="00F730C8" w:rsidRPr="00A160B1" w:rsidRDefault="00F730C8" w:rsidP="00F730C8">
      <w:pPr>
        <w:keepNext/>
        <w:keepLines/>
        <w:spacing w:before="480"/>
        <w:jc w:val="center"/>
        <w:rPr>
          <w:rFonts w:ascii="Times New Roman" w:hAnsi="Times New Roman"/>
          <w:b/>
          <w:strike/>
          <w:spacing w:val="40"/>
          <w:sz w:val="22"/>
          <w:szCs w:val="22"/>
        </w:rPr>
      </w:pPr>
      <w:r>
        <w:rPr>
          <w:rFonts w:ascii="Times New Roman" w:hAnsi="Times New Roman"/>
          <w:b/>
          <w:sz w:val="22"/>
          <w:szCs w:val="22"/>
        </w:rPr>
        <w:t>Artículo 16</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Disposiciones transitorias</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Los dispositivos recreativos y las instalaciones de apoyo que se pongan en marcha después de la entrada en vigor de la presente Decisión deben someterse obligatoriamente a una inspección técnica inicial antes de que comience su explotación comercial.</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Los dispositivos recreativos y las instalaciones de apoyo que se pongan en marcha antes de la fecha de entrada en vigor de la presente Decisión deben someterse obligatoriamente a la inspección técnica inicial prevista en el artículo 4, apartado 2, de la presente Decisión, en un plazo de doce (12) meses desde la entrada en vigor de la presente Decisión.</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Dos (2) años después de la entrada en vigor de la presente Decisión, no se permitirá el funcionamiento de los dispositivos recreativos por personal que no haya demostrado su competencia técnica en el ámbito de la actividad que desempeña, conforme a lo dispuesto en el artículo 6 de la presente Decisión.</w:t>
      </w:r>
    </w:p>
    <w:p w:rsidR="00F730C8" w:rsidRPr="00A160B1" w:rsidRDefault="00F730C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Artículo 17</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Entrada en vigor</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La presente Decisión entrará en vigor en un plazo de seis (6) meses después de su publicación en el Boletín Oficial de la República Helénica.</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Los anexos son parte integrante de la presente Decisión.</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La presente Decisión se publicará en el Boletín Oficial de la República Helénica.</w:t>
      </w:r>
    </w:p>
    <w:p w:rsidR="009C32EB" w:rsidRPr="00A160B1" w:rsidRDefault="00F730C8" w:rsidP="00A87D28">
      <w:pPr>
        <w:pStyle w:val="ListParagraph"/>
        <w:tabs>
          <w:tab w:val="left" w:pos="284"/>
        </w:tabs>
        <w:ind w:left="360"/>
        <w:jc w:val="right"/>
        <w:rPr>
          <w:rStyle w:val="tlid-translation"/>
          <w:rFonts w:ascii="Times New Roman" w:hAnsi="Times New Roman"/>
        </w:rPr>
      </w:pPr>
      <w:r>
        <w:rPr>
          <w:rStyle w:val="tlid-translation"/>
          <w:rFonts w:ascii="Times New Roman" w:hAnsi="Times New Roman"/>
        </w:rPr>
        <w:t>Atenas, …</w:t>
      </w:r>
    </w:p>
    <w:p w:rsidR="008A6100" w:rsidRPr="00A160B1" w:rsidRDefault="008A6100" w:rsidP="00A87D28">
      <w:pPr>
        <w:ind w:right="42"/>
        <w:jc w:val="both"/>
        <w:rPr>
          <w:rFonts w:ascii="Times New Roman" w:hAnsi="Times New Roman"/>
          <w:sz w:val="22"/>
          <w:szCs w:val="22"/>
          <w:lang w:val="el-GR"/>
        </w:rPr>
      </w:pPr>
    </w:p>
    <w:p w:rsidR="008A6100" w:rsidRPr="00A160B1" w:rsidRDefault="008A6100" w:rsidP="00A87D28">
      <w:pPr>
        <w:ind w:right="42"/>
        <w:jc w:val="both"/>
        <w:rPr>
          <w:rFonts w:ascii="Times New Roman" w:hAnsi="Times New Roman"/>
          <w:b/>
          <w:sz w:val="22"/>
          <w:szCs w:val="22"/>
          <w:lang w:val="el-GR"/>
        </w:rPr>
      </w:pPr>
    </w:p>
    <w:p w:rsidR="008A6100" w:rsidRPr="00A160B1" w:rsidRDefault="008A6100" w:rsidP="00A87D28">
      <w:pPr>
        <w:ind w:right="42"/>
        <w:rPr>
          <w:rFonts w:ascii="Times New Roman" w:hAnsi="Times New Roman"/>
          <w:sz w:val="22"/>
          <w:szCs w:val="22"/>
          <w:lang w:val="el-GR"/>
        </w:rPr>
      </w:pPr>
    </w:p>
    <w:tbl>
      <w:tblPr>
        <w:tblW w:w="5000" w:type="pct"/>
        <w:tblLook w:val="04A0" w:firstRow="1" w:lastRow="0" w:firstColumn="1" w:lastColumn="0" w:noHBand="0" w:noVBand="1"/>
      </w:tblPr>
      <w:tblGrid>
        <w:gridCol w:w="4228"/>
        <w:gridCol w:w="4745"/>
      </w:tblGrid>
      <w:tr w:rsidR="00091363" w:rsidRPr="00A160B1" w:rsidTr="00F730C8">
        <w:trPr>
          <w:cantSplit/>
        </w:trPr>
        <w:tc>
          <w:tcPr>
            <w:tcW w:w="2356" w:type="pct"/>
          </w:tcPr>
          <w:p w:rsidR="00F730C8" w:rsidRPr="00A160B1" w:rsidRDefault="00F730C8" w:rsidP="00F730C8">
            <w:pPr>
              <w:jc w:val="center"/>
              <w:rPr>
                <w:rFonts w:ascii="Arial" w:hAnsi="Arial" w:cs="Arial"/>
                <w:b/>
                <w:szCs w:val="18"/>
              </w:rPr>
            </w:pPr>
            <w:r>
              <w:rPr>
                <w:rFonts w:ascii="Arial" w:hAnsi="Arial"/>
                <w:b/>
                <w:szCs w:val="18"/>
              </w:rPr>
              <w:t>COPIA FIEL</w:t>
            </w:r>
          </w:p>
          <w:p w:rsidR="00F730C8" w:rsidRPr="00A160B1" w:rsidRDefault="00F730C8" w:rsidP="00F730C8">
            <w:pPr>
              <w:jc w:val="center"/>
              <w:rPr>
                <w:rFonts w:ascii="Arial" w:hAnsi="Arial" w:cs="Arial"/>
                <w:b/>
                <w:szCs w:val="18"/>
              </w:rPr>
            </w:pPr>
            <w:r>
              <w:rPr>
                <w:rFonts w:ascii="Arial" w:hAnsi="Arial"/>
                <w:b/>
                <w:szCs w:val="18"/>
              </w:rPr>
              <w:t>El jefe de la Dirección de Organización, Administración y Apoyo Técnico</w:t>
            </w:r>
          </w:p>
          <w:p w:rsidR="00F730C8" w:rsidRPr="00A160B1" w:rsidRDefault="00F730C8" w:rsidP="00F730C8">
            <w:pPr>
              <w:jc w:val="center"/>
              <w:rPr>
                <w:rFonts w:ascii="Arial" w:hAnsi="Arial" w:cs="Arial"/>
                <w:b/>
                <w:szCs w:val="18"/>
                <w:lang w:val="el-GR"/>
              </w:rPr>
            </w:pPr>
          </w:p>
          <w:p w:rsidR="00F730C8" w:rsidRPr="00A160B1" w:rsidRDefault="00F730C8" w:rsidP="00F730C8">
            <w:pPr>
              <w:jc w:val="center"/>
              <w:rPr>
                <w:rFonts w:ascii="Arial" w:hAnsi="Arial" w:cs="Arial"/>
                <w:b/>
                <w:szCs w:val="18"/>
                <w:lang w:val="el-GR"/>
              </w:rPr>
            </w:pPr>
          </w:p>
          <w:p w:rsidR="00212831" w:rsidRPr="00A160B1" w:rsidRDefault="00F730C8" w:rsidP="00F730C8">
            <w:pPr>
              <w:jc w:val="center"/>
              <w:rPr>
                <w:rFonts w:ascii="Arial" w:hAnsi="Arial" w:cs="Arial"/>
                <w:b/>
                <w:szCs w:val="18"/>
              </w:rPr>
            </w:pPr>
            <w:r>
              <w:rPr>
                <w:rFonts w:ascii="Arial" w:hAnsi="Arial"/>
                <w:b/>
                <w:szCs w:val="18"/>
              </w:rPr>
              <w:t>[en su nombre]</w:t>
            </w:r>
          </w:p>
          <w:p w:rsidR="00DB520C" w:rsidRPr="00A160B1" w:rsidRDefault="00F730C8" w:rsidP="00F730C8">
            <w:pPr>
              <w:jc w:val="center"/>
              <w:rPr>
                <w:rFonts w:ascii="Times New Roman" w:hAnsi="Times New Roman"/>
                <w:sz w:val="22"/>
                <w:szCs w:val="22"/>
              </w:rPr>
            </w:pPr>
            <w:r>
              <w:rPr>
                <w:rFonts w:ascii="Arial" w:hAnsi="Arial"/>
                <w:b/>
                <w:szCs w:val="18"/>
              </w:rPr>
              <w:t>MALOUNI VASILIKI</w:t>
            </w:r>
          </w:p>
        </w:tc>
        <w:tc>
          <w:tcPr>
            <w:tcW w:w="2644" w:type="pct"/>
          </w:tcPr>
          <w:p w:rsidR="00DB520C" w:rsidRPr="00A160B1" w:rsidRDefault="009C32EB" w:rsidP="00F730C8">
            <w:pPr>
              <w:ind w:left="33" w:right="42"/>
              <w:jc w:val="center"/>
              <w:rPr>
                <w:rFonts w:ascii="Times New Roman" w:hAnsi="Times New Roman"/>
                <w:b/>
                <w:sz w:val="22"/>
                <w:szCs w:val="22"/>
              </w:rPr>
            </w:pPr>
            <w:r>
              <w:rPr>
                <w:rFonts w:ascii="Times New Roman" w:hAnsi="Times New Roman"/>
                <w:b/>
                <w:sz w:val="22"/>
                <w:szCs w:val="22"/>
              </w:rPr>
              <w:t>El Ministro de Desarrollo e Inversiones</w:t>
            </w: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AD2164" w:rsidP="00F730C8">
            <w:pPr>
              <w:pStyle w:val="ListParagraph"/>
              <w:tabs>
                <w:tab w:val="left" w:pos="284"/>
              </w:tabs>
              <w:spacing w:after="0" w:line="240" w:lineRule="auto"/>
              <w:ind w:left="357"/>
              <w:contextualSpacing w:val="0"/>
              <w:jc w:val="center"/>
              <w:rPr>
                <w:rFonts w:ascii="Times New Roman" w:hAnsi="Times New Roman"/>
                <w:bCs/>
                <w:iCs/>
              </w:rPr>
            </w:pPr>
            <w:r>
              <w:rPr>
                <w:rStyle w:val="tlid-translation"/>
                <w:rFonts w:ascii="Times New Roman" w:hAnsi="Times New Roman"/>
                <w:b/>
              </w:rPr>
              <w:t>Nikolaos Papathanasis</w:t>
            </w:r>
          </w:p>
        </w:tc>
      </w:tr>
    </w:tbl>
    <w:p w:rsidR="00D71671" w:rsidRPr="00A160B1" w:rsidRDefault="00D71671" w:rsidP="00D71671">
      <w:pPr>
        <w:pStyle w:val="ListParagraph"/>
        <w:keepNext/>
        <w:keepLines/>
        <w:pageBreakBefore/>
        <w:tabs>
          <w:tab w:val="left" w:pos="284"/>
        </w:tabs>
        <w:ind w:left="0"/>
        <w:jc w:val="center"/>
        <w:rPr>
          <w:rStyle w:val="tlid-translation"/>
          <w:rFonts w:ascii="Times New Roman" w:hAnsi="Times New Roman"/>
          <w:b/>
          <w:spacing w:val="40"/>
        </w:rPr>
      </w:pPr>
      <w:r>
        <w:rPr>
          <w:rStyle w:val="tlid-translation"/>
          <w:rFonts w:ascii="Times New Roman" w:hAnsi="Times New Roman"/>
          <w:b/>
        </w:rPr>
        <w:t>ANEXO I</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p w:rsidR="00D71671" w:rsidRPr="00A160B1" w:rsidRDefault="00D71671" w:rsidP="00D71671">
      <w:pPr>
        <w:pStyle w:val="ListParagraph"/>
        <w:keepNext/>
        <w:keepLines/>
        <w:tabs>
          <w:tab w:val="left" w:pos="284"/>
        </w:tabs>
        <w:ind w:left="0"/>
        <w:jc w:val="center"/>
        <w:rPr>
          <w:rFonts w:ascii="Times New Roman" w:hAnsi="Times New Roman"/>
          <w:spacing w:val="40"/>
        </w:rPr>
      </w:pPr>
      <w:r>
        <w:rPr>
          <w:rFonts w:ascii="Times New Roman" w:hAnsi="Times New Roman"/>
        </w:rPr>
        <w:t>Clasificación de los dispositivos recreativos</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490"/>
        <w:gridCol w:w="4824"/>
        <w:gridCol w:w="1801"/>
        <w:gridCol w:w="1828"/>
      </w:tblGrid>
      <w:tr w:rsidR="00091363" w:rsidRPr="00A160B1"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rsidR="009C32EB" w:rsidRPr="00A160B1" w:rsidRDefault="00D71671" w:rsidP="00D7167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Clasificación de los dispositivos</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rsidR="00D71671" w:rsidRPr="00A160B1" w:rsidRDefault="00D71671" w:rsidP="00D71671">
            <w:pPr>
              <w:autoSpaceDE w:val="0"/>
              <w:autoSpaceDN w:val="0"/>
              <w:adjustRightInd w:val="0"/>
              <w:jc w:val="center"/>
              <w:rPr>
                <w:rFonts w:ascii="Times New Roman" w:eastAsia="SimSun" w:hAnsi="Times New Roman"/>
                <w:b/>
                <w:snapToGrid w:val="0"/>
                <w:spacing w:val="40"/>
                <w:sz w:val="22"/>
              </w:rPr>
            </w:pPr>
            <w:r>
              <w:rPr>
                <w:rFonts w:ascii="Times New Roman" w:hAnsi="Times New Roman"/>
                <w:b/>
                <w:snapToGrid w:val="0"/>
                <w:sz w:val="22"/>
              </w:rPr>
              <w:t>Frecuencia</w:t>
            </w:r>
          </w:p>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b/>
                <w:snapToGrid w:val="0"/>
                <w:sz w:val="22"/>
                <w:szCs w:val="22"/>
              </w:rPr>
              <w:t xml:space="preserve">de la inspección técnica </w:t>
            </w:r>
          </w:p>
        </w:tc>
      </w:tr>
      <w:tr w:rsidR="00091363" w:rsidRPr="00A160B1"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rPr>
                <w:rFonts w:ascii="Times New Roman" w:eastAsia="SimSun" w:hAnsi="Times New Roman"/>
                <w:b/>
                <w:bCs/>
                <w:snapToGrid w:val="0"/>
                <w:sz w:val="22"/>
                <w:szCs w:val="22"/>
                <w:lang w:val="el-GR"/>
              </w:rPr>
            </w:pPr>
          </w:p>
        </w:tc>
        <w:tc>
          <w:tcPr>
            <w:tcW w:w="719" w:type="pct"/>
            <w:tcBorders>
              <w:top w:val="single" w:sz="6" w:space="0" w:color="000000"/>
              <w:left w:val="single" w:sz="12"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szCs w:val="22"/>
              </w:rPr>
              <w:t>PERMANENTES</w:t>
            </w:r>
          </w:p>
        </w:tc>
        <w:tc>
          <w:tcPr>
            <w:tcW w:w="1118" w:type="pct"/>
            <w:tcBorders>
              <w:top w:val="single" w:sz="6" w:space="0" w:color="000000"/>
              <w:left w:val="single" w:sz="6"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szCs w:val="22"/>
              </w:rPr>
              <w:t>ITINERANTES</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rPr>
            </w:pPr>
            <w:r>
              <w:rPr>
                <w:rFonts w:ascii="Times New Roman" w:hAnsi="Times New Roman"/>
                <w:snapToGrid w:val="0"/>
                <w:sz w:val="22"/>
                <w:szCs w:val="22"/>
              </w:rPr>
              <w:t>1.</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eastAsia="SimSun" w:hAnsi="Times New Roman"/>
                <w:b/>
                <w:bCs/>
                <w:snapToGrid w:val="0"/>
                <w:sz w:val="22"/>
                <w:szCs w:val="22"/>
              </w:rPr>
            </w:pPr>
            <w:r>
              <w:rPr>
                <w:rFonts w:ascii="Times New Roman" w:hAnsi="Times New Roman"/>
                <w:b/>
                <w:bCs/>
                <w:snapToGrid w:val="0"/>
                <w:sz w:val="22"/>
                <w:szCs w:val="22"/>
              </w:rPr>
              <w:t>DISPOSITIVOS RECREATIVOS Y ESPECTÁCULOS PARA NIÑOS</w:t>
            </w:r>
            <w:r>
              <w:rPr>
                <w:rFonts w:ascii="Times New Roman" w:hAnsi="Times New Roman"/>
                <w:bCs/>
                <w:snapToGrid w:val="0"/>
                <w:sz w:val="22"/>
                <w:szCs w:val="22"/>
              </w:rPr>
              <w:t xml:space="preserve"> (menores de 15 años)</w:t>
            </w:r>
          </w:p>
          <w:p w:rsidR="009C32EB" w:rsidRPr="00A160B1" w:rsidRDefault="009C32EB" w:rsidP="00D71671">
            <w:pPr>
              <w:autoSpaceDE w:val="0"/>
              <w:autoSpaceDN w:val="0"/>
              <w:adjustRightInd w:val="0"/>
              <w:rPr>
                <w:rFonts w:ascii="Times New Roman" w:eastAsia="SimSun" w:hAnsi="Times New Roman"/>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Ejemplo:</w:t>
            </w:r>
            <w:r>
              <w:rPr>
                <w:rFonts w:ascii="Times New Roman" w:hAnsi="Times New Roman"/>
                <w:snapToGrid w:val="0"/>
                <w:sz w:val="22"/>
                <w:szCs w:val="22"/>
              </w:rPr>
              <w:t xml:space="preserve"> Mini scooters, atracciones giratorias (tiovivos), pistas de coches, piscinas con barcas, trenecitos eléctricos, mini columpios, recorridos por carril cerrados para niños y acompañantes, atracciones con aviones para niños, toboganes, juegos de pesca con caña, </w:t>
            </w:r>
            <w:r>
              <w:rPr>
                <w:rFonts w:ascii="Times New Roman" w:hAnsi="Times New Roman"/>
                <w:b/>
                <w:snapToGrid w:val="0"/>
                <w:sz w:val="22"/>
                <w:szCs w:val="22"/>
              </w:rPr>
              <w:t>escape rooms</w:t>
            </w:r>
            <w:r>
              <w:rPr>
                <w:rFonts w:ascii="Times New Roman" w:hAnsi="Times New Roman"/>
                <w:snapToGrid w:val="0"/>
                <w:sz w:val="22"/>
                <w:szCs w:val="22"/>
              </w:rPr>
              <w:t xml:space="preserve">, salas multisensoriales, juegos de tiro al blanco, hipódromo eléctrico, etc. (DRAGÓN, TRENECITOS, ESCAPE ROOMS 3-D / 4-D, etc.). </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meses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meses</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2.</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u w:val="single"/>
              </w:rPr>
            </w:pPr>
            <w:r>
              <w:rPr>
                <w:rFonts w:ascii="Times New Roman" w:hAnsi="Times New Roman"/>
                <w:b/>
                <w:bCs/>
                <w:snapToGrid w:val="0"/>
                <w:sz w:val="22"/>
                <w:szCs w:val="22"/>
              </w:rPr>
              <w:t>DISPOSITIVOS RECREATIVOS DE EMOCIONES CONTROLADAS</w:t>
            </w:r>
            <w:r>
              <w:rPr>
                <w:rFonts w:ascii="Times New Roman" w:hAnsi="Times New Roman"/>
                <w:bCs/>
                <w:snapToGrid w:val="0"/>
                <w:sz w:val="22"/>
                <w:szCs w:val="22"/>
              </w:rPr>
              <w:t xml:space="preserve"> (velocidad inferior a 12 revoluciones/minuto)</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Ejemplo:</w:t>
            </w:r>
            <w:r>
              <w:rPr>
                <w:rFonts w:ascii="Times New Roman" w:hAnsi="Times New Roman"/>
                <w:snapToGrid w:val="0"/>
                <w:sz w:val="22"/>
                <w:szCs w:val="22"/>
              </w:rPr>
              <w:t xml:space="preserve"> Coches de choque, mini coches-scooters, atracciones giratorias, tiovivos, pistas de coches, norias panorámicas gigantes, atracciones giratorias con elementos de elevación, trenes del terror, karts eléctricos o térmicos, salas de la risa, grandes péndulos de movimiento limitado, atracciones con plataformas giratorias y elementos de elevación, simuladores, dispositivos con vehículos dirigidos en un medio acuático, etc. (BARCO PIRATA, JUEGOS DE RV, MONTAÑAS RUSAS ACUÁTICAS, etc.).</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meses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meses</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3.</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Cs/>
                <w:snapToGrid w:val="0"/>
                <w:sz w:val="22"/>
                <w:szCs w:val="22"/>
              </w:rPr>
            </w:pPr>
            <w:r>
              <w:rPr>
                <w:rFonts w:ascii="Times New Roman" w:hAnsi="Times New Roman"/>
                <w:b/>
                <w:bCs/>
                <w:snapToGrid w:val="0"/>
                <w:sz w:val="22"/>
                <w:szCs w:val="22"/>
              </w:rPr>
              <w:t>DISPOSITIVOS RECREATIVOS DE EMOCIONES FUERTES</w:t>
            </w:r>
            <w:r>
              <w:rPr>
                <w:rFonts w:ascii="Times New Roman" w:hAnsi="Times New Roman"/>
                <w:bCs/>
                <w:snapToGrid w:val="0"/>
                <w:sz w:val="22"/>
                <w:szCs w:val="22"/>
              </w:rPr>
              <w:t xml:space="preserve"> (velocidad superior a 12 revoluciones/minuto)</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Ejemplo:</w:t>
            </w:r>
            <w:r>
              <w:rPr>
                <w:rFonts w:ascii="Times New Roman" w:hAnsi="Times New Roman"/>
                <w:snapToGrid w:val="0"/>
                <w:sz w:val="22"/>
                <w:szCs w:val="22"/>
              </w:rPr>
              <w:t xml:space="preserve"> Grandes péndulos con giros de 360º, atracciones rotativos de gran velocidad, dispositivos con aviones para adultos, dispositivos con varios elementos de giro con o sin posibilidad de cambiar la inclinación, (EL MARTILLO, LA CAZUELA LOCA, TIOVIVO, ALFOMBRA, MUSIC EXPRESS, EVOLUTION, CANYON, TOP-SPIN, PARATROOPER, ROTOR, TORNADO, MATTERHORN, JET-BOB, etc.).</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meses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meses</w:t>
            </w:r>
          </w:p>
        </w:tc>
      </w:tr>
      <w:tr w:rsidR="00091363" w:rsidRPr="00A160B1" w:rsidTr="0058450A">
        <w:trPr>
          <w:cantSplit/>
        </w:trPr>
        <w:tc>
          <w:tcPr>
            <w:tcW w:w="370" w:type="pct"/>
            <w:vMerge w:val="restart"/>
            <w:tcBorders>
              <w:top w:val="single" w:sz="6" w:space="0" w:color="000000"/>
              <w:left w:val="single" w:sz="12" w:space="0" w:color="000000"/>
              <w:right w:val="single" w:sz="6" w:space="0" w:color="000000"/>
            </w:tcBorders>
            <w:vAlign w:val="center"/>
          </w:tcPr>
          <w:p w:rsidR="009C32EB" w:rsidRPr="00A160B1" w:rsidRDefault="009C32EB" w:rsidP="0058450A">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4.</w:t>
            </w:r>
          </w:p>
        </w:tc>
        <w:tc>
          <w:tcPr>
            <w:tcW w:w="2793" w:type="pct"/>
            <w:tcBorders>
              <w:top w:val="single" w:sz="6" w:space="0" w:color="000000"/>
              <w:left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rPr>
            </w:pPr>
            <w:r>
              <w:rPr>
                <w:rFonts w:ascii="Times New Roman" w:hAnsi="Times New Roman"/>
                <w:b/>
                <w:bCs/>
                <w:snapToGrid w:val="0"/>
                <w:sz w:val="22"/>
                <w:szCs w:val="22"/>
              </w:rPr>
              <w:t>OTROS DISPOSITIVOS RECREATIVOS DE EMOCIONES FUERTES</w:t>
            </w:r>
          </w:p>
          <w:p w:rsidR="009C32EB" w:rsidRPr="00A160B1" w:rsidRDefault="009C32EB" w:rsidP="00D71671">
            <w:pPr>
              <w:autoSpaceDE w:val="0"/>
              <w:autoSpaceDN w:val="0"/>
              <w:adjustRightInd w:val="0"/>
              <w:rPr>
                <w:rFonts w:ascii="Times New Roman" w:hAnsi="Times New Roman"/>
                <w:b/>
                <w:bCs/>
                <w:snapToGrid w:val="0"/>
                <w:sz w:val="22"/>
                <w:szCs w:val="22"/>
                <w:u w:val="single"/>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Ejemplo:</w:t>
            </w:r>
            <w:r>
              <w:rPr>
                <w:rFonts w:ascii="Times New Roman" w:hAnsi="Times New Roman"/>
                <w:snapToGrid w:val="0"/>
                <w:sz w:val="22"/>
                <w:szCs w:val="22"/>
              </w:rPr>
              <w:t xml:space="preserve"> Montañas rusas, lanzaderas, atracciones giratorias de gran velocidad que giran en el plano vertical o cerca de este (ENTERPRISE, UFO, ROUND UP, BOOSTERS, EJECTION SEAT, LANZADERA, etc.).</w:t>
            </w:r>
          </w:p>
        </w:tc>
        <w:tc>
          <w:tcPr>
            <w:tcW w:w="719"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meses</w:t>
            </w:r>
          </w:p>
        </w:tc>
        <w:tc>
          <w:tcPr>
            <w:tcW w:w="1118"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meses</w:t>
            </w:r>
          </w:p>
        </w:tc>
      </w:tr>
      <w:tr w:rsidR="00091363" w:rsidRPr="00A160B1" w:rsidTr="0058450A">
        <w:trPr>
          <w:cantSplit/>
        </w:trPr>
        <w:tc>
          <w:tcPr>
            <w:tcW w:w="370" w:type="pct"/>
            <w:vMerge/>
            <w:tcBorders>
              <w:left w:val="single" w:sz="12" w:space="0" w:color="000000"/>
              <w:bottom w:val="single" w:sz="12"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lang w:val="el-GR"/>
              </w:rPr>
            </w:pPr>
          </w:p>
        </w:tc>
        <w:tc>
          <w:tcPr>
            <w:tcW w:w="2793" w:type="pct"/>
            <w:tcBorders>
              <w:left w:val="single" w:sz="6" w:space="0" w:color="000000"/>
              <w:bottom w:val="single" w:sz="12" w:space="0" w:color="000000"/>
              <w:right w:val="single" w:sz="12" w:space="0" w:color="000000"/>
            </w:tcBorders>
          </w:tcPr>
          <w:p w:rsidR="009C32EB" w:rsidRPr="00A160B1" w:rsidRDefault="009C32EB" w:rsidP="0058450A">
            <w:pPr>
              <w:autoSpaceDE w:val="0"/>
              <w:autoSpaceDN w:val="0"/>
              <w:adjustRightInd w:val="0"/>
              <w:jc w:val="both"/>
              <w:rPr>
                <w:rFonts w:ascii="Times New Roman" w:eastAsia="SimSun" w:hAnsi="Times New Roman"/>
                <w:snapToGrid w:val="0"/>
                <w:sz w:val="22"/>
                <w:szCs w:val="22"/>
              </w:rPr>
            </w:pPr>
            <w:r>
              <w:rPr>
                <w:rFonts w:ascii="Times New Roman" w:hAnsi="Times New Roman"/>
                <w:snapToGrid w:val="0"/>
                <w:sz w:val="22"/>
                <w:szCs w:val="22"/>
              </w:rPr>
              <w:t>con un gran número de trenecitos;</w:t>
            </w:r>
          </w:p>
        </w:tc>
        <w:tc>
          <w:tcPr>
            <w:tcW w:w="719"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c>
          <w:tcPr>
            <w:tcW w:w="1118"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r>
    </w:tbl>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ANEXO II</w:t>
      </w:r>
    </w:p>
    <w:p w:rsidR="009C32EB" w:rsidRPr="00A160B1" w:rsidRDefault="009C32EB" w:rsidP="0058450A">
      <w:pPr>
        <w:pStyle w:val="ListParagraph"/>
        <w:keepNext/>
        <w:keepLines/>
        <w:ind w:left="0"/>
        <w:jc w:val="center"/>
        <w:rPr>
          <w:rStyle w:val="tlid-translation"/>
          <w:rFonts w:ascii="Times New Roman" w:hAnsi="Times New Roman"/>
          <w:b/>
        </w:rPr>
      </w:pP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Informe de inspección técnica</w:t>
      </w:r>
    </w:p>
    <w:p w:rsidR="009C32EB" w:rsidRPr="00A160B1" w:rsidRDefault="009C32EB" w:rsidP="0058450A">
      <w:pPr>
        <w:pStyle w:val="ListParagraph"/>
        <w:keepNext/>
        <w:keepLines/>
        <w:ind w:left="0"/>
        <w:rPr>
          <w:rStyle w:val="tlid-translation"/>
          <w:rFonts w:ascii="Times New Roman" w:hAnsi="Times New Roman"/>
        </w:rPr>
      </w:pPr>
    </w:p>
    <w:p w:rsidR="00212831" w:rsidRPr="00A160B1" w:rsidRDefault="0058450A" w:rsidP="0058450A">
      <w:pPr>
        <w:pStyle w:val="ListParagraph"/>
        <w:keepNext/>
        <w:keepLines/>
        <w:tabs>
          <w:tab w:val="left" w:pos="357"/>
        </w:tabs>
        <w:ind w:left="0"/>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 xml:space="preserve">En el </w:t>
      </w:r>
      <w:r>
        <w:rPr>
          <w:rStyle w:val="tlid-translation"/>
          <w:rFonts w:ascii="Times New Roman" w:hAnsi="Times New Roman"/>
          <w:b/>
        </w:rPr>
        <w:t>informe de la inspección técnica</w:t>
      </w:r>
      <w:r>
        <w:rPr>
          <w:rStyle w:val="tlid-translation"/>
          <w:rFonts w:ascii="Times New Roman" w:hAnsi="Times New Roman"/>
        </w:rPr>
        <w:t xml:space="preserve"> se incluye la siguiente información:</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el nombre del organismo de control autorizado a que se refiere el artículo 11,</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 xml:space="preserve">una indicación destacada en negrita de los siguientes términos y una observación según corresponda: </w:t>
      </w:r>
    </w:p>
    <w:tbl>
      <w:tblPr>
        <w:tblW w:w="0" w:type="auto"/>
        <w:tblInd w:w="360" w:type="dxa"/>
        <w:tblLook w:val="04A0" w:firstRow="1" w:lastRow="0" w:firstColumn="1" w:lastColumn="0" w:noHBand="0" w:noVBand="1"/>
      </w:tblPr>
      <w:tblGrid>
        <w:gridCol w:w="833"/>
        <w:gridCol w:w="264"/>
        <w:gridCol w:w="1859"/>
        <w:gridCol w:w="1326"/>
        <w:gridCol w:w="833"/>
        <w:gridCol w:w="235"/>
        <w:gridCol w:w="3263"/>
      </w:tblGrid>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34A0"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color w:val="000000"/>
                <w:szCs w:val="20"/>
              </w:rPr>
              <w:t>CONFORME</w:t>
            </w:r>
          </w:p>
        </w:tc>
        <w:tc>
          <w:tcPr>
            <w:tcW w:w="142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CE9D"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szCs w:val="20"/>
              </w:rPr>
              <w:t>OBSERVACIONES</w:t>
            </w:r>
          </w:p>
        </w:tc>
      </w:tr>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noProof/>
                <w:color w:val="000000"/>
                <w:szCs w:val="2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4BD"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szCs w:val="20"/>
              </w:rPr>
              <w:t>NO CONFORME</w:t>
            </w:r>
          </w:p>
        </w:tc>
      </w:tr>
    </w:tbl>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el número del certificado de acreditación,</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los símbolos de la acreditación,</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el nombre del inspector,</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el número de identificación del informe de la inspección y el número único del dispositivo recreativo,</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la fecha de la inspección técnica y la fecha de expedición del informe,</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el número máximo de usuarios que puede utilizar a la vez el dispositivo, la carga máxima y su velocidad, según la legislación en vigor,</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la indicación de que la inspección se ha realizado con arreglo a la presente Decisión,</w:t>
      </w:r>
    </w:p>
    <w:p w:rsidR="00212831"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la fecha de la próxima inspección técnica,</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las conclusiones de la inspección,</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la firma u otra señal de autorización del personal autorizado.</w:t>
      </w:r>
    </w:p>
    <w:p w:rsidR="009C32EB" w:rsidRPr="00A160B1" w:rsidRDefault="009C32EB" w:rsidP="00A87D28">
      <w:pPr>
        <w:pStyle w:val="ListParagraph"/>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rsidR="009C32EB" w:rsidRPr="00A160B1" w:rsidRDefault="0058450A" w:rsidP="0058450A">
      <w:pPr>
        <w:pStyle w:val="ListParagraph"/>
        <w:keepNext/>
        <w:keepLines/>
        <w:tabs>
          <w:tab w:val="left" w:pos="357"/>
        </w:tabs>
        <w:ind w:left="0"/>
        <w:rPr>
          <w:rFonts w:ascii="Times New Roman" w:hAnsi="Times New Roman"/>
        </w:rPr>
      </w:pPr>
      <w:r>
        <w:rPr>
          <w:rFonts w:ascii="Times New Roman" w:hAnsi="Times New Roman"/>
        </w:rPr>
        <w:t>B)</w:t>
      </w:r>
      <w:r>
        <w:rPr>
          <w:rFonts w:ascii="Times New Roman" w:hAnsi="Times New Roman"/>
        </w:rPr>
        <w:tab/>
        <w:t xml:space="preserve">La </w:t>
      </w:r>
      <w:r>
        <w:rPr>
          <w:rFonts w:ascii="Times New Roman" w:hAnsi="Times New Roman"/>
          <w:b/>
        </w:rPr>
        <w:t>placa de inspección</w:t>
      </w:r>
      <w:r>
        <w:rPr>
          <w:rFonts w:ascii="Times New Roman" w:hAnsi="Times New Roman"/>
        </w:rPr>
        <w:t xml:space="preserve"> debe incluir información sobre el dispositivo recreativo en relación con los siguientes aspectos:</w:t>
      </w:r>
    </w:p>
    <w:p w:rsidR="00212831" w:rsidRPr="00FB1604" w:rsidRDefault="009C32EB" w:rsidP="0058450A">
      <w:pPr>
        <w:pStyle w:val="ListParagraph"/>
        <w:numPr>
          <w:ilvl w:val="0"/>
          <w:numId w:val="26"/>
        </w:numPr>
        <w:spacing w:before="120" w:after="120" w:line="240" w:lineRule="auto"/>
        <w:ind w:left="357" w:hanging="357"/>
        <w:contextualSpacing w:val="0"/>
        <w:jc w:val="both"/>
        <w:rPr>
          <w:rFonts w:ascii="Times New Roman" w:eastAsia="Times New Roman" w:hAnsi="Times New Roman"/>
          <w:color w:val="000000"/>
        </w:rPr>
      </w:pPr>
      <w:r>
        <w:rPr>
          <w:rFonts w:ascii="Times New Roman" w:hAnsi="Times New Roman"/>
          <w:color w:val="000000"/>
        </w:rPr>
        <w:t>una indicación destacada en negrita, según proceda, del término «</w:t>
      </w:r>
      <w:r>
        <w:rPr>
          <w:rFonts w:ascii="Times New Roman" w:hAnsi="Times New Roman"/>
          <w:b/>
          <w:color w:val="000000"/>
        </w:rPr>
        <w:t>APTO PARA SER UTILIZADO</w:t>
      </w:r>
      <w:r>
        <w:rPr>
          <w:rFonts w:ascii="Times New Roman" w:hAnsi="Times New Roman"/>
          <w:color w:val="000000"/>
        </w:rPr>
        <w:t>» o del término «</w:t>
      </w:r>
      <w:r>
        <w:rPr>
          <w:rFonts w:ascii="Times New Roman" w:hAnsi="Times New Roman"/>
          <w:b/>
          <w:color w:val="000000"/>
        </w:rPr>
        <w:t>NO APTO PARA SER UTILIZADO</w:t>
      </w:r>
      <w:r>
        <w:rPr>
          <w:rFonts w:ascii="Times New Roman" w:hAnsi="Times New Roman"/>
          <w:color w:val="000000"/>
        </w:rPr>
        <w:t>»,</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color w:val="000000"/>
        </w:rPr>
        <w:t>el nombre del organismo de control autorizado a que se refiere el artículo 11,</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el número del certificado de acreditación del organismo de control,</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el número de identificación del dispositivo recreativo, con arreglo a lo dispuesto en el apartado 6 del artículo 4,</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la fecha de la última inspección técnica,</w:t>
      </w:r>
    </w:p>
    <w:p w:rsidR="009C32EB" w:rsidRPr="00A160B1" w:rsidRDefault="009C32EB" w:rsidP="00A87D28">
      <w:pPr>
        <w:pStyle w:val="ListParagraph"/>
        <w:numPr>
          <w:ilvl w:val="0"/>
          <w:numId w:val="26"/>
        </w:numPr>
        <w:spacing w:before="120" w:after="120" w:line="240" w:lineRule="auto"/>
        <w:ind w:left="357" w:hanging="357"/>
        <w:contextualSpacing w:val="0"/>
        <w:jc w:val="both"/>
        <w:rPr>
          <w:rStyle w:val="tlid-translation"/>
          <w:rFonts w:ascii="Times New Roman" w:hAnsi="Times New Roman"/>
        </w:rPr>
      </w:pPr>
      <w:r>
        <w:rPr>
          <w:rFonts w:ascii="Times New Roman" w:hAnsi="Times New Roman"/>
        </w:rPr>
        <w:t>la fecha de la próxima inspección técnica.</w:t>
      </w:r>
    </w:p>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ANEXO III</w:t>
      </w: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REQUISITOS RELATIVOS A LA COMPETENCIA TÉCNICA DEL PERSONAL</w:t>
      </w:r>
    </w:p>
    <w:p w:rsidR="009C32EB" w:rsidRPr="00A160B1" w:rsidRDefault="009C32EB" w:rsidP="00A87D28">
      <w:pPr>
        <w:jc w:val="both"/>
        <w:rPr>
          <w:rFonts w:ascii="Times New Roman" w:hAnsi="Times New Roman"/>
          <w:sz w:val="22"/>
          <w:szCs w:val="22"/>
        </w:rPr>
      </w:pPr>
      <w:r>
        <w:rPr>
          <w:rFonts w:ascii="Times New Roman" w:hAnsi="Times New Roman"/>
          <w:sz w:val="22"/>
          <w:szCs w:val="22"/>
        </w:rPr>
        <w:t xml:space="preserve">El personal de los dispositivos recreativos y las instalaciones de apoyo debe cumplir exclusiva y obligatoriamente los siguientes requisitos a fin de justificar su competencia técnica, con arreglo a lo dispuesto en el artículo </w:t>
      </w:r>
      <w:r>
        <w:rPr>
          <w:rFonts w:ascii="Times New Roman" w:hAnsi="Times New Roman"/>
          <w:b/>
          <w:sz w:val="22"/>
          <w:szCs w:val="22"/>
        </w:rPr>
        <w:t>6</w:t>
      </w:r>
      <w:r>
        <w:rPr>
          <w:rFonts w:ascii="Times New Roman" w:hAnsi="Times New Roman"/>
          <w:sz w:val="22"/>
          <w:szCs w:val="22"/>
        </w:rPr>
        <w:t xml:space="preserve">, apartado </w:t>
      </w:r>
      <w:r>
        <w:rPr>
          <w:rFonts w:ascii="Times New Roman" w:hAnsi="Times New Roman"/>
          <w:b/>
          <w:bCs/>
          <w:sz w:val="22"/>
          <w:szCs w:val="22"/>
        </w:rPr>
        <w:t>5</w:t>
      </w:r>
      <w:r>
        <w:rPr>
          <w:rFonts w:ascii="Times New Roman" w:hAnsi="Times New Roman"/>
          <w:sz w:val="22"/>
          <w:szCs w:val="22"/>
        </w:rPr>
        <w:t>, de la presente Decisión, cuando proceda.</w:t>
      </w:r>
    </w:p>
    <w:p w:rsidR="009C32EB" w:rsidRPr="00A160B1" w:rsidRDefault="009C32EB" w:rsidP="00A87D28">
      <w:pPr>
        <w:rPr>
          <w:rFonts w:ascii="Times New Roman" w:hAnsi="Times New Roman"/>
          <w:sz w:val="22"/>
          <w:szCs w:val="22"/>
          <w:highlight w:val="yellow"/>
          <w:lang w:val="el-GR"/>
        </w:rPr>
      </w:pPr>
    </w:p>
    <w:p w:rsidR="009C32EB" w:rsidRPr="00A160B1" w:rsidRDefault="009C32EB" w:rsidP="0058450A">
      <w:pPr>
        <w:keepNext/>
        <w:keepLines/>
        <w:tabs>
          <w:tab w:val="left" w:pos="357"/>
        </w:tabs>
        <w:rPr>
          <w:rFonts w:ascii="Times New Roman" w:hAnsi="Times New Roman"/>
          <w:b/>
          <w:sz w:val="22"/>
          <w:szCs w:val="22"/>
        </w:rPr>
      </w:pPr>
      <w:r>
        <w:rPr>
          <w:rFonts w:ascii="Times New Roman" w:hAnsi="Times New Roman"/>
          <w:b/>
          <w:sz w:val="22"/>
          <w:szCs w:val="22"/>
        </w:rPr>
        <w:t>A)</w:t>
      </w:r>
      <w:r>
        <w:rPr>
          <w:rFonts w:ascii="Times New Roman" w:hAnsi="Times New Roman"/>
          <w:b/>
          <w:sz w:val="22"/>
          <w:szCs w:val="22"/>
        </w:rPr>
        <w:tab/>
        <w:t>Principios fundamentales para la selección de personal:</w:t>
      </w:r>
    </w:p>
    <w:p w:rsidR="00212831"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tener la edad laboral legal prevista por la legislación vigente;</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saber seguir plenamente los procedimientos normalizados y las instrucciones pertinentes;</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poseer capacidad para informar y tratar con el público en griego e inglés o en otra lengua que haya seleccionado de manera justificada el responsable de la explotación. Deben saber dar instrucciones claras a la persona competente o a los usuarios/pasajeros;</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poseer capacidad de observación;</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contar con conocimientos y experiencia técnica en el mantenimiento y el control del dispositivo recreativo, cuando proceda;</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poseer cualificaciones técnicas adecuadas, cuando proceda.</w:t>
      </w:r>
    </w:p>
    <w:p w:rsidR="009C32EB" w:rsidRPr="00A160B1" w:rsidRDefault="009C32EB" w:rsidP="00A87D28">
      <w:pPr>
        <w:jc w:val="both"/>
        <w:rPr>
          <w:rFonts w:ascii="Times New Roman" w:hAnsi="Times New Roman"/>
          <w:b/>
          <w:sz w:val="22"/>
          <w:szCs w:val="22"/>
          <w:lang w:val="el-GR"/>
        </w:rPr>
      </w:pPr>
    </w:p>
    <w:p w:rsidR="009C32EB" w:rsidRPr="00A160B1" w:rsidRDefault="0058450A" w:rsidP="0058450A">
      <w:pPr>
        <w:keepNext/>
        <w:keepLines/>
        <w:tabs>
          <w:tab w:val="left" w:pos="357"/>
        </w:tabs>
        <w:rPr>
          <w:rFonts w:ascii="Times New Roman" w:hAnsi="Times New Roman"/>
          <w:b/>
          <w:sz w:val="22"/>
          <w:szCs w:val="22"/>
        </w:rPr>
      </w:pPr>
      <w:r>
        <w:rPr>
          <w:rFonts w:ascii="Times New Roman" w:hAnsi="Times New Roman"/>
          <w:b/>
          <w:sz w:val="22"/>
          <w:szCs w:val="22"/>
        </w:rPr>
        <w:t>B)</w:t>
      </w:r>
      <w:r>
        <w:rPr>
          <w:rFonts w:ascii="Times New Roman" w:hAnsi="Times New Roman"/>
          <w:b/>
          <w:sz w:val="22"/>
          <w:szCs w:val="22"/>
        </w:rPr>
        <w:tab/>
        <w:t>Requisitos generales para la obtención del esquema de certificación sectorial del personal:</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la información técnica y el modo de funcionamiento del dispositivo recreativo a través de estudios de casos por categoría de riesgo (</w:t>
      </w:r>
      <w:r>
        <w:rPr>
          <w:rFonts w:ascii="Times New Roman" w:hAnsi="Times New Roman"/>
          <w:i/>
          <w:sz w:val="22"/>
          <w:szCs w:val="22"/>
        </w:rPr>
        <w:t>planos, directrices de control, reglamentaciones de los componentes, etc.</w:t>
      </w:r>
      <w:r>
        <w:rPr>
          <w:rFonts w:ascii="Times New Roman" w:hAnsi="Times New Roman"/>
          <w:sz w:val="22"/>
          <w:szCs w:val="22"/>
        </w:rPr>
        <w:t>);</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los principios fundamentales de evaluación de riesgos;</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los principios fundamentales de gestión de emergencias (</w:t>
      </w:r>
      <w:r>
        <w:rPr>
          <w:rFonts w:ascii="Times New Roman" w:hAnsi="Times New Roman"/>
          <w:i/>
          <w:sz w:val="22"/>
          <w:szCs w:val="22"/>
        </w:rPr>
        <w:t>evaluación de la gravedad de los accidentes, tormentas, incendios, terremotos, etc.</w:t>
      </w:r>
      <w:r>
        <w:rPr>
          <w:rFonts w:ascii="Times New Roman" w:hAnsi="Times New Roman"/>
          <w:sz w:val="22"/>
          <w:szCs w:val="22"/>
        </w:rPr>
        <w:t>);</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plenamente los requisitos de la presente Decisión;</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los requisitos fundamentales de la norma armonizada ELOT EN 13814:2019, en su versión en vigor, y de todas las subopciones que incluye esta norma;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los principios fundamentales de la legislación relativa a la salud y la seguridad del personal;</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las directrices relativas al procedimiento de mantenimiento preventivo;</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comprender el procedimiento de detección de fallos o mal funcionamiento de la maquinaria;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conocer las directrices técnicas fundamentales relativas a los métodos de instalación, montaje y desmontaje y realización de inspecciones internas;</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reconocer y aceptar las tareas del personal en sus distintos niveles de ocupación (</w:t>
      </w:r>
      <w:r>
        <w:rPr>
          <w:rFonts w:ascii="Times New Roman" w:hAnsi="Times New Roman"/>
          <w:i/>
          <w:sz w:val="22"/>
          <w:szCs w:val="22"/>
        </w:rPr>
        <w:t>competencias, obligaciones, rendición de cuentas, etc.</w:t>
      </w:r>
      <w:r>
        <w:rPr>
          <w:rFonts w:ascii="Times New Roman" w:hAnsi="Times New Roman"/>
          <w:sz w:val="22"/>
          <w:szCs w:val="22"/>
        </w:rPr>
        <w:t>).</w:t>
      </w:r>
    </w:p>
    <w:p w:rsidR="009C32EB" w:rsidRPr="00A160B1" w:rsidRDefault="009C32EB" w:rsidP="00A87D28">
      <w:pPr>
        <w:jc w:val="both"/>
        <w:rPr>
          <w:rFonts w:ascii="Times New Roman" w:hAnsi="Times New Roman"/>
          <w:sz w:val="22"/>
          <w:szCs w:val="22"/>
          <w:lang w:val="el-GR"/>
        </w:rPr>
      </w:pPr>
    </w:p>
    <w:p w:rsidR="009C32EB" w:rsidRPr="00FB1604" w:rsidRDefault="0058450A" w:rsidP="0058450A">
      <w:pPr>
        <w:keepNext/>
        <w:keepLines/>
        <w:tabs>
          <w:tab w:val="left" w:pos="357"/>
        </w:tabs>
        <w:rPr>
          <w:rFonts w:ascii="Times New Roman" w:hAnsi="Times New Roman"/>
          <w:sz w:val="22"/>
          <w:szCs w:val="22"/>
        </w:rPr>
      </w:pPr>
      <w:r>
        <w:rPr>
          <w:rFonts w:ascii="Times New Roman" w:hAnsi="Times New Roman"/>
          <w:b/>
          <w:sz w:val="22"/>
          <w:szCs w:val="22"/>
        </w:rPr>
        <w:t>C)</w:t>
      </w:r>
      <w:r>
        <w:rPr>
          <w:rFonts w:ascii="Times New Roman" w:hAnsi="Times New Roman"/>
          <w:b/>
          <w:sz w:val="22"/>
          <w:szCs w:val="22"/>
        </w:rPr>
        <w:tab/>
        <w:t>Requisitos especiales</w:t>
      </w:r>
      <w:r>
        <w:rPr>
          <w:rFonts w:ascii="Times New Roman" w:hAnsi="Times New Roman"/>
          <w:sz w:val="22"/>
          <w:szCs w:val="22"/>
        </w:rPr>
        <w:t xml:space="preserve"> para la obtención de un </w:t>
      </w:r>
      <w:r>
        <w:rPr>
          <w:rFonts w:ascii="Times New Roman" w:hAnsi="Times New Roman"/>
          <w:b/>
          <w:sz w:val="22"/>
          <w:szCs w:val="22"/>
        </w:rPr>
        <w:t>esquema de certificación sectorial</w:t>
      </w:r>
      <w:r>
        <w:rPr>
          <w:rFonts w:ascii="Times New Roman" w:hAnsi="Times New Roman"/>
          <w:sz w:val="22"/>
          <w:szCs w:val="22"/>
        </w:rPr>
        <w:t xml:space="preserve"> de operarios y ayudantes: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conocer las instrucciones de funcionamiento y control de los dispositivos recreativos;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conocer las instrucciones sobre cómo deben subir y bajar los usuarios/pasajeros de los dispositivos;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conocer las instrucciones fundamentales sobre las posibles restricciones dirigidas a los usuarios/pasajeros, en relación con los límites de altura, peso, edad, así como las instrucciones para personas con problemas de salud;</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poder evaluar los riesgos en las zonas de espera y de acceso;</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tener capacidad para manipular y controlar los sistemas de fijación y retención de los usuarios/pasajeros, así como para controlar el cierre de estos sistemas;</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poder afrontar todos los incidentes previstos o de emergencia durante el funcionamiento de un dispositivo recreativo;</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poder afrontar las circunstancias imprevistas que puedan surgir debido a un comportamiento irracional o displicente de los usuarios/pasajeros (</w:t>
      </w:r>
      <w:r>
        <w:rPr>
          <w:rStyle w:val="tlid-translation"/>
          <w:rFonts w:ascii="Times New Roman" w:hAnsi="Times New Roman"/>
          <w:i/>
          <w:sz w:val="22"/>
          <w:szCs w:val="22"/>
        </w:rPr>
        <w:t>estado de embriaguez, agresividad, etc.</w:t>
      </w:r>
      <w:r>
        <w:rPr>
          <w:rStyle w:val="tlid-translation"/>
          <w:rFonts w:ascii="Times New Roman" w:hAnsi="Times New Roman"/>
          <w:sz w:val="22"/>
          <w:szCs w:val="22"/>
        </w:rPr>
        <w:t>) o bien debido a su reacción frente a las restricciones impuestas (</w:t>
      </w:r>
      <w:r>
        <w:rPr>
          <w:rStyle w:val="tlid-translation"/>
          <w:rFonts w:ascii="Times New Roman" w:hAnsi="Times New Roman"/>
          <w:i/>
          <w:sz w:val="22"/>
          <w:szCs w:val="22"/>
        </w:rPr>
        <w:t>altura, edad, etc.</w:t>
      </w:r>
      <w:r>
        <w:rPr>
          <w:rStyle w:val="tlid-translation"/>
          <w:rFonts w:ascii="Times New Roman" w:hAnsi="Times New Roman"/>
          <w:sz w:val="22"/>
          <w:szCs w:val="22"/>
        </w:rPr>
        <w:t>);</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conocer las instrucciones fundamentales para tomar iniciativas en caso de situaciones de emergencia como condiciones climáticas adversas, incendio, terremoto, lesiones, etc.;</w:t>
      </w:r>
    </w:p>
    <w:p w:rsidR="00212831"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tener capacidad para afrontar y gestionar situaciones de emergencia relacionadas con anomalías de funcionamiento o averías repentinas en la maquinaria del dispositivo recreativo.</w:t>
      </w:r>
    </w:p>
    <w:sectPr w:rsidR="00212831" w:rsidRPr="00A160B1"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E7" w:rsidRDefault="006D3AE7" w:rsidP="0063025E">
      <w:r>
        <w:separator/>
      </w:r>
    </w:p>
  </w:endnote>
  <w:endnote w:type="continuationSeparator" w:id="0">
    <w:p w:rsidR="006D3AE7" w:rsidRDefault="006D3AE7"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E7" w:rsidRDefault="006D3AE7" w:rsidP="0063025E">
      <w:r>
        <w:separator/>
      </w:r>
    </w:p>
  </w:footnote>
  <w:footnote w:type="continuationSeparator" w:id="0">
    <w:p w:rsidR="006D3AE7" w:rsidRDefault="006D3AE7" w:rsidP="00630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nsid w:val="1A7F410B"/>
    <w:multiLevelType w:val="hybridMultilevel"/>
    <w:tmpl w:val="677C8594"/>
    <w:lvl w:ilvl="0" w:tplc="DCC28278">
      <w:start w:val="1"/>
      <w:numFmt w:val="decimal"/>
      <w:lvlText w:val="%1."/>
      <w:lvlJc w:val="left"/>
      <w:pPr>
        <w:ind w:left="720" w:hanging="360"/>
      </w:pPr>
      <w:rPr>
        <w:rFonts w:hint="default"/>
        <w:b w:val="0"/>
      </w:rPr>
    </w:lvl>
    <w:lvl w:ilvl="1" w:tplc="BEA088A2">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nsid w:val="216E2FB6"/>
    <w:multiLevelType w:val="hybridMultilevel"/>
    <w:tmpl w:val="77BA8604"/>
    <w:lvl w:ilvl="0" w:tplc="43E2970A">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nsid w:val="5EED6A35"/>
    <w:multiLevelType w:val="hybridMultilevel"/>
    <w:tmpl w:val="DA684EFE"/>
    <w:lvl w:ilvl="0" w:tplc="29A4BD2A">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nsid w:val="755F1D83"/>
    <w:multiLevelType w:val="hybridMultilevel"/>
    <w:tmpl w:val="B100CD9C"/>
    <w:lvl w:ilvl="0" w:tplc="1242BADA">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D7E71"/>
    <w:rsid w:val="002F7CB2"/>
    <w:rsid w:val="003043FD"/>
    <w:rsid w:val="003104C3"/>
    <w:rsid w:val="00315FF3"/>
    <w:rsid w:val="00317B11"/>
    <w:rsid w:val="003215A7"/>
    <w:rsid w:val="00323C0F"/>
    <w:rsid w:val="00325C3E"/>
    <w:rsid w:val="00340C56"/>
    <w:rsid w:val="003474E6"/>
    <w:rsid w:val="0037484E"/>
    <w:rsid w:val="00382DBB"/>
    <w:rsid w:val="00392393"/>
    <w:rsid w:val="00396CE8"/>
    <w:rsid w:val="003A7693"/>
    <w:rsid w:val="003B60E8"/>
    <w:rsid w:val="003D0940"/>
    <w:rsid w:val="003D11D7"/>
    <w:rsid w:val="003D7509"/>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670D2"/>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653A4"/>
    <w:rsid w:val="00866A37"/>
    <w:rsid w:val="0086787E"/>
    <w:rsid w:val="00867E13"/>
    <w:rsid w:val="00876524"/>
    <w:rsid w:val="0088102F"/>
    <w:rsid w:val="008850EE"/>
    <w:rsid w:val="008979FE"/>
    <w:rsid w:val="008A6100"/>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50B71"/>
    <w:rsid w:val="00E556F2"/>
    <w:rsid w:val="00E705D8"/>
    <w:rsid w:val="00E722D6"/>
    <w:rsid w:val="00E97ED0"/>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A35E1"/>
    <w:rsid w:val="00FB1604"/>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111A1C-C5A4-4A78-9E77-4BF3AD1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es-ES"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es-ES"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uiPriority w:val="99"/>
    <w:rsid w:val="00AE2DCD"/>
    <w:rPr>
      <w:color w:val="0000FF"/>
      <w:sz w:val="24"/>
      <w:szCs w:val="24"/>
      <w:u w:val="single"/>
      <w:lang w:val="es-ES"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es-ES"/>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59"/>
    <w:rsid w:val="00C237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alWeb">
    <w:name w:val="Normal (Web)"/>
    <w:basedOn w:val="Normal"/>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9C32EB"/>
    <w:rPr>
      <w:sz w:val="22"/>
      <w:szCs w:val="22"/>
      <w:lang w:eastAsia="en-US"/>
    </w:rPr>
  </w:style>
  <w:style w:type="paragraph" w:styleId="Footer">
    <w:name w:val="footer"/>
    <w:basedOn w:val="Normal"/>
    <w:link w:val="Foot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snapToGrid w:val="0"/>
      <w:sz w:val="24"/>
      <w:szCs w:val="24"/>
      <w:lang w:eastAsia="zh-CN"/>
    </w:rPr>
  </w:style>
  <w:style w:type="character" w:customStyle="1" w:styleId="BodyTextChar">
    <w:name w:val="Body Text Char"/>
    <w:link w:val="BodyText"/>
    <w:uiPriority w:val="99"/>
    <w:rsid w:val="009C32EB"/>
    <w:rPr>
      <w:rFonts w:ascii="Times New Roman" w:eastAsia="SimSun" w:hAnsi="Times New Roman"/>
      <w:snapToGrid w:val="0"/>
      <w:sz w:val="24"/>
      <w:szCs w:val="24"/>
      <w:lang w:val="es-ES" w:eastAsia="zh-CN"/>
    </w:rPr>
  </w:style>
  <w:style w:type="paragraph" w:customStyle="1" w:styleId="Plain">
    <w:name w:val="Plain"/>
    <w:aliases w:val="Body,Text"/>
    <w:basedOn w:val="Normal"/>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semiHidden/>
    <w:rsid w:val="009C32EB"/>
    <w:rPr>
      <w:sz w:val="22"/>
      <w:szCs w:val="22"/>
      <w:lang w:eastAsia="en-US"/>
    </w:rPr>
  </w:style>
  <w:style w:type="paragraph" w:styleId="FootnoteText">
    <w:name w:val="footnote text"/>
    <w:basedOn w:val="Normal"/>
    <w:link w:val="FootnoteTextChar"/>
    <w:semiHidden/>
    <w:rsid w:val="009C32EB"/>
    <w:rPr>
      <w:rFonts w:ascii="Times New Roman" w:hAnsi="Times New Roman"/>
      <w:lang w:eastAsia="x-none"/>
    </w:rPr>
  </w:style>
  <w:style w:type="character" w:customStyle="1" w:styleId="FootnoteTextChar">
    <w:name w:val="Footnote Text Char"/>
    <w:link w:val="FootnoteText"/>
    <w:semiHidden/>
    <w:rsid w:val="009C32EB"/>
    <w:rPr>
      <w:rFonts w:ascii="Times New Roman" w:eastAsia="Times New Roman" w:hAnsi="Times New Roman"/>
      <w:lang w:val="es-ES" w:eastAsia="x-none"/>
    </w:rPr>
  </w:style>
  <w:style w:type="paragraph" w:customStyle="1" w:styleId="list-bullet">
    <w:name w:val="list-bullet"/>
    <w:basedOn w:val="Normal"/>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al"/>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al"/>
    <w:rsid w:val="009C32EB"/>
    <w:pPr>
      <w:spacing w:before="40" w:after="40" w:line="200" w:lineRule="atLeast"/>
    </w:pPr>
    <w:rPr>
      <w:rFonts w:ascii="Arial" w:hAnsi="Arial"/>
      <w:kern w:val="3"/>
      <w:sz w:val="16"/>
      <w:szCs w:val="24"/>
    </w:rPr>
  </w:style>
  <w:style w:type="paragraph" w:customStyle="1" w:styleId="Terms">
    <w:name w:val="Term(s)"/>
    <w:basedOn w:val="Normal"/>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es-ES" w:eastAsia="en-US"/>
    </w:rPr>
  </w:style>
  <w:style w:type="character" w:styleId="FootnoteReference">
    <w:name w:val="footnote reference"/>
    <w:uiPriority w:val="99"/>
    <w:semiHidden/>
    <w:unhideWhenUsed/>
    <w:rsid w:val="009C32EB"/>
    <w:rPr>
      <w:vertAlign w:val="superscript"/>
    </w:rPr>
  </w:style>
  <w:style w:type="numbering" w:customStyle="1" w:styleId="1">
    <w:name w:val="Χωρίς λίστα1"/>
    <w:next w:val="NoList"/>
    <w:semiHidden/>
    <w:rsid w:val="009C32EB"/>
  </w:style>
  <w:style w:type="paragraph" w:styleId="PlainText">
    <w:name w:val="Plain Text"/>
    <w:basedOn w:val="Normal"/>
    <w:link w:val="PlainTextChar"/>
    <w:uiPriority w:val="99"/>
    <w:rsid w:val="009C32EB"/>
    <w:rPr>
      <w:rFonts w:ascii="Courier New" w:eastAsia="SimSun" w:hAnsi="Courier New"/>
      <w:snapToGrid w:val="0"/>
      <w:lang w:eastAsia="x-none"/>
    </w:rPr>
  </w:style>
  <w:style w:type="character" w:customStyle="1" w:styleId="PlainTextChar">
    <w:name w:val="Plain Text Char"/>
    <w:link w:val="PlainText"/>
    <w:uiPriority w:val="99"/>
    <w:rsid w:val="009C32EB"/>
    <w:rPr>
      <w:rFonts w:ascii="Courier New" w:eastAsia="SimSun" w:hAnsi="Courier New"/>
      <w:snapToGrid w:val="0"/>
      <w:lang w:val="es-ES" w:eastAsia="x-none"/>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semiHidden/>
    <w:rsid w:val="009C32EB"/>
    <w:pPr>
      <w:shd w:val="clear" w:color="auto" w:fill="000080"/>
    </w:pPr>
    <w:rPr>
      <w:rFonts w:ascii="Times New Roman" w:eastAsia="SimSun" w:hAnsi="Times New Roman"/>
      <w:snapToGrid w:val="0"/>
      <w:lang w:eastAsia="x-none"/>
    </w:rPr>
  </w:style>
  <w:style w:type="character" w:customStyle="1" w:styleId="DocumentMapChar">
    <w:name w:val="Document Map Char"/>
    <w:link w:val="DocumentMap"/>
    <w:semiHidden/>
    <w:rsid w:val="009C32EB"/>
    <w:rPr>
      <w:rFonts w:ascii="Times New Roman" w:eastAsia="SimSun" w:hAnsi="Times New Roman"/>
      <w:snapToGrid w:val="0"/>
      <w:shd w:val="clear" w:color="auto" w:fill="000080"/>
      <w:lang w:val="es-ES" w:eastAsia="x-none"/>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al"/>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al"/>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es-ES" w:eastAsia="en-US"/>
    </w:rPr>
  </w:style>
  <w:style w:type="character" w:customStyle="1" w:styleId="TabletitleChar">
    <w:name w:val="Table title Char"/>
    <w:link w:val="Tabletitle"/>
    <w:locked/>
    <w:rsid w:val="009C32EB"/>
    <w:rPr>
      <w:rFonts w:ascii="Cambria" w:hAnsi="Cambria"/>
      <w:b/>
      <w:sz w:val="22"/>
      <w:szCs w:val="22"/>
      <w:lang w:val="es-ES"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es-ES" w:eastAsia="en-US"/>
    </w:rPr>
  </w:style>
  <w:style w:type="character" w:styleId="CommentReference">
    <w:name w:val="annotation reference"/>
    <w:uiPriority w:val="99"/>
    <w:semiHidden/>
    <w:unhideWhenUsed/>
    <w:rsid w:val="009C32EB"/>
    <w:rPr>
      <w:sz w:val="16"/>
      <w:szCs w:val="16"/>
    </w:rPr>
  </w:style>
  <w:style w:type="paragraph" w:styleId="CommentText">
    <w:name w:val="annotation text"/>
    <w:basedOn w:val="Normal"/>
    <w:link w:val="CommentTextChar"/>
    <w:uiPriority w:val="99"/>
    <w:semiHidden/>
    <w:unhideWhenUsed/>
    <w:rsid w:val="009C32EB"/>
    <w:pPr>
      <w:spacing w:after="200" w:line="276" w:lineRule="auto"/>
    </w:pPr>
    <w:rPr>
      <w:rFonts w:ascii="Calibri" w:eastAsia="Calibri" w:hAnsi="Calibri"/>
      <w:lang w:eastAsia="en-US"/>
    </w:rPr>
  </w:style>
  <w:style w:type="character" w:customStyle="1" w:styleId="CommentTextChar">
    <w:name w:val="Comment Text Char"/>
    <w:link w:val="CommentText"/>
    <w:uiPriority w:val="99"/>
    <w:semiHidden/>
    <w:rsid w:val="009C32EB"/>
    <w:rPr>
      <w:lang w:val="es-ES" w:eastAsia="en-US"/>
    </w:rPr>
  </w:style>
  <w:style w:type="paragraph" w:styleId="Revision">
    <w:name w:val="Revision"/>
    <w:hidden/>
    <w:uiPriority w:val="99"/>
    <w:semiHidden/>
    <w:rsid w:val="009C32EB"/>
    <w:rPr>
      <w:sz w:val="22"/>
      <w:szCs w:val="22"/>
    </w:rPr>
  </w:style>
  <w:style w:type="paragraph" w:customStyle="1" w:styleId="Style7">
    <w:name w:val="Style7"/>
    <w:basedOn w:val="Normal"/>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BodyText2">
    <w:name w:val="Body Text 2"/>
    <w:basedOn w:val="Normal"/>
    <w:link w:val="Body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semiHidden/>
    <w:rsid w:val="009C32EB"/>
    <w:rPr>
      <w:sz w:val="22"/>
      <w:szCs w:val="22"/>
      <w:lang w:val="es-ES" w:eastAsia="en-US"/>
    </w:rPr>
  </w:style>
  <w:style w:type="paragraph" w:customStyle="1" w:styleId="normal2">
    <w:name w:val="normal2"/>
    <w:basedOn w:val="Normal"/>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2.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BB909-D4EC-4526-8CCE-19CFB9CB624A}">
  <ds:schemaRefs>
    <ds:schemaRef ds:uri="http://schemas.microsoft.com/office/2006/documentManagement/types"/>
    <ds:schemaRef ds:uri="d2e48c51-b2a3-4f79-9936-b5965aceee4d"/>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9491</Words>
  <Characters>54099</Characters>
  <Application>Microsoft Office Word</Application>
  <DocSecurity>0</DocSecurity>
  <Lines>450</Lines>
  <Paragraphs>126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63464</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UGARTE, Esther</cp:lastModifiedBy>
  <cp:revision>3</cp:revision>
  <cp:lastPrinted>2014-02-10T06:03:00Z</cp:lastPrinted>
  <dcterms:created xsi:type="dcterms:W3CDTF">2020-08-12T11:58:00Z</dcterms:created>
  <dcterms:modified xsi:type="dcterms:W3CDTF">2020-08-18T11:56:00Z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