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PRANCŪZIJOS RESPUBLIKA</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Ekologinės pertvarkos ir teritorinės sanglaudos ministerija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Nutarimas</w:t>
      </w:r>
    </w:p>
    <w:p w14:paraId="6A8D6A8E" w14:textId="77777777" w:rsidR="005C3CFF" w:rsidRDefault="001F42AC">
      <w:pPr>
        <w:pStyle w:val="SNtitre"/>
      </w:pPr>
      <w:r>
        <w:t>dėl pavojingųjų medžiagų nustatymo produktuose, kuriuos gaminant susidaro atliekos</w:t>
      </w:r>
    </w:p>
    <w:p w14:paraId="4E3DCA9D" w14:textId="77777777" w:rsidR="005C3CFF" w:rsidRPr="00176A22" w:rsidRDefault="00B8106B">
      <w:pPr>
        <w:pStyle w:val="SNNORCentr"/>
      </w:pPr>
      <w:r>
        <w:t xml:space="preserve">NUOR.: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Tikslinė auditorija: </w:t>
      </w:r>
      <w:r>
        <w:rPr>
          <w:rFonts w:ascii="Times New Roman" w:hAnsi="Times New Roman"/>
          <w:i/>
          <w:sz w:val="24"/>
        </w:rPr>
        <w:t>Bet kuris Aplinkosaugos kodekso R. 541-220 straipsnyje nurodytas produktų, kuriuos gaminant susidarė atliekos, gamintojas, importuotojas arba pateikimas rinkai. Aplinkos kokybės „pavojingosios medžiagos“ sąvoka „produktas, kurį gaminant susidarė atliekos“ suprantama kaip gaminys, mišinys ar medžiaga, kaip apibrėžta Reglamento (EB) Nr. 1907/2006 3 straipsnyje.</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Tikslas: </w:t>
      </w:r>
      <w:r>
        <w:rPr>
          <w:rFonts w:ascii="Times New Roman" w:hAnsi="Times New Roman"/>
          <w:i/>
          <w:sz w:val="24"/>
        </w:rPr>
        <w:t xml:space="preserve">Šiuo dekretu nustatomas pavojingųjų medžiagų sąrašas, kaip tai suprantama pagal Aplinkosaugos kodekso L. 541-9-1 straipsnį, kurių keliamo pavojaus lygis yra panašus į labai didelį susirūpinimą keliančių cheminių medžiagų pavojaus lygį ir kurios neskelbiamos Reglamento (EB) Nr. 1907/2006 59 straipsnio 10 dalyje nurodytame sąraše.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Įsigaliojimas: </w:t>
      </w:r>
      <w:r>
        <w:rPr>
          <w:rFonts w:ascii="Times New Roman" w:hAnsi="Times New Roman"/>
          <w:i/>
          <w:sz w:val="24"/>
        </w:rPr>
        <w:t>Kitą dieną po nutarimo paskelbimo Oficialiajame leidinyje.</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Santrauka: </w:t>
      </w:r>
      <w:r>
        <w:rPr>
          <w:rFonts w:ascii="Times New Roman" w:hAnsi="Times New Roman"/>
          <w:i/>
          <w:sz w:val="24"/>
        </w:rPr>
        <w:t xml:space="preserve">Reglamento (EB) Nr. 1907/2006 (REACH) 33 straipsnyje nustatyta, kad bet kuris vartotojas gali prašyti gaminių tiekėjo informuoti jį apie labai didelį susirūpinimą keliančių cheminių medžiagų, kurių koncentracija viršija 0,1 % masės, buvimą. Labai didelį susirūpinimą keliančių cheminių medžiagų sąrašas atnaujinamas kas šešis mėnesius; nuo 2022 m. sausio 17 d. į sąrašą buvo įtrauktos 233 medžiagos. Šios 233 medžiagos laikomos Europos lygmens pakeitimo prioritetu. Reglamente (ES) Nr. 1272/2008 (CLP) pateikti reikalavimai dėl cheminių medžiagų ir mišinių klasifikavimo, ženklinimo ir pakavimo; ženklinimas yra pagrindinė vartotojų informavimo priemonė. Šiais reglamentais apsaugant vartotoją, visų pirma jam teikiant informaciją apie labai didelį susirūpinimą keliančių cheminių medžiagų buvimą gaminiuose ir apie mišinių bei medžiagų keliamą pavojų, siekiama užtikrinti aukštą žmonių sveikatos ir aplinkos apsaugos lygį. Aplinkosaugos kodekso, nustatyto 2020 m. vasario 10 d. Įstatymu Nr. 2020-105 dėl kovos su atliekomis ir dėl žiedinės ekonomikos, L. 541-9-1 straipsnyje numatyta galimybė išplėsti ir sustiprinti šiuos informavimo apie produktus, kuriuos gaminant susidaro atliekos, įsipareigojimus, visų pirma nematerialia forma. Šie produktai suprantami kaip gaminiai, mišiniai ar cheminės medžiagos, kaip apibrėžta Reglamento (EB) Nr. 1907/2006 3 straipsnyje. Vadovaujantis 2021 m. spalio 1 d. Dekrete Nr. 2021-1285 dėl pavojingųjų medžiagų nustatymo produktuose, kuriuos gaminant susidaro atliekos, pateikta apibrėžtimi, tokių medžiagų sąrašą sudaro labai didelį susirūpinimą keliančių </w:t>
      </w:r>
      <w:r>
        <w:rPr>
          <w:rFonts w:ascii="Times New Roman" w:hAnsi="Times New Roman"/>
          <w:i/>
          <w:sz w:val="24"/>
        </w:rPr>
        <w:lastRenderedPageBreak/>
        <w:t>cheminių medžiagų sąrašas, įtrauktas į medžiagų, kurių keliamo pavojaus lygis yra panašus, sąrašą; šis antrasis sąrašas parengtas susipažinus su Nacionalinės maisto, aplinkos ir darbuotojų sveikatos saugos agentūros nuomone. Šiuo dekretu nustatomas pirmasis medžiagų, kurių keliamo pavojaus lygis yra panašus į labai didelį susirūpinimą keliančių cheminių medžiagų pavojaus lygį, sąrašas, atsižvelgiant į 2021 m. kovo 25 d. ANSES nuomonėje pateiktas rekomendacijas.</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Ekologinės pertvarkos ir teritorinės sanglaudos ministras,</w:t>
      </w:r>
    </w:p>
    <w:p w14:paraId="1BA61EAC" w14:textId="77777777" w:rsidR="00BC4BCE" w:rsidRDefault="00B8106B" w:rsidP="0068723C">
      <w:pPr>
        <w:pStyle w:val="SNRapport"/>
        <w:jc w:val="both"/>
      </w:pPr>
      <w:r>
        <w:t>atsižvelgdamas į Rizikos prevencijos generalinio direktoriaus ataskaitą,</w:t>
      </w:r>
    </w:p>
    <w:p w14:paraId="4EF37F21" w14:textId="77777777" w:rsidR="00FA067A" w:rsidRDefault="00FA067A" w:rsidP="00FA067A">
      <w:pPr>
        <w:pStyle w:val="SNVisa"/>
        <w:rPr>
          <w:bCs/>
        </w:rPr>
      </w:pPr>
      <w:r>
        <w:t>atsižvelgdamas į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w:t>
      </w:r>
    </w:p>
    <w:p w14:paraId="19B9958A" w14:textId="065AAC06" w:rsidR="00FA067A" w:rsidRPr="00AC5C8E" w:rsidRDefault="00FA067A" w:rsidP="00FA067A">
      <w:pPr>
        <w:pStyle w:val="SNVisa"/>
        <w:rPr>
          <w:shd w:val="clear" w:color="auto" w:fill="FFFFFF"/>
        </w:rPr>
      </w:pPr>
      <w:r>
        <w:t xml:space="preserve">atsižvelgdamas į 2015 m. rugsėjo 9 d. Europos Parlamento ir Tarybos direktyvą (ES) 2015/1535, </w:t>
      </w:r>
      <w:r>
        <w:rPr>
          <w:shd w:val="clear" w:color="auto" w:fill="FFFFFF"/>
        </w:rPr>
        <w:t>kuria nustatoma informacijos apie techninius reglamentus ir informacinės visuomenės paslaugų taisykles teikimo tvarka,</w:t>
      </w:r>
      <w:r>
        <w:t xml:space="preserve"> ypač į pranešimą Nr. </w:t>
      </w:r>
      <w:r w:rsidRPr="00BE7ED6">
        <w:rPr>
          <w:highlight w:val="yellow"/>
        </w:rPr>
        <w:t>2023/XXX/F</w:t>
      </w:r>
      <w:r>
        <w:rPr>
          <w:shd w:val="clear" w:color="auto" w:fill="FFFFFF"/>
        </w:rPr>
        <w:t>,</w:t>
      </w:r>
    </w:p>
    <w:p w14:paraId="7FAA9FD4" w14:textId="77777777" w:rsidR="00FA067A" w:rsidRDefault="00FA067A" w:rsidP="00FA067A">
      <w:pPr>
        <w:pStyle w:val="SNVisa"/>
        <w:rPr>
          <w:bCs/>
        </w:rPr>
      </w:pPr>
      <w:r>
        <w:t>atsižvelgdamas į 2018 m. gegužės 30 d. Europos Parlamento ir Tarybos direktyvą (ES) 2018/851, kuria iš dalies keičiama Direktyva 2008/98/EB dėl atliekų,</w:t>
      </w:r>
    </w:p>
    <w:p w14:paraId="4FC279E8" w14:textId="7E3F171B" w:rsidR="00FA067A" w:rsidRDefault="00FA067A" w:rsidP="00FA067A">
      <w:pPr>
        <w:pStyle w:val="SNVisa"/>
        <w:rPr>
          <w:bCs/>
        </w:rPr>
      </w:pPr>
      <w:r>
        <w:t>atsižvelgdamas į Prancūzijos aplinkosaugos kodeksą, ypač į jo L. 541-9-1 straipsnį,</w:t>
      </w:r>
    </w:p>
    <w:p w14:paraId="16EBB9A6" w14:textId="32017DAD" w:rsidR="009D219E" w:rsidRPr="00646164" w:rsidRDefault="009D219E" w:rsidP="00FA067A">
      <w:pPr>
        <w:pStyle w:val="SNVisa"/>
        <w:rPr>
          <w:bCs/>
        </w:rPr>
      </w:pPr>
      <w:r>
        <w:t>atsižvelgdamas į Aplinkosaugos kodeksą, ypač į jo R. 541-221 straipsnį,</w:t>
      </w:r>
    </w:p>
    <w:p w14:paraId="291EB9A3" w14:textId="6247425E" w:rsidR="001509DC" w:rsidRDefault="00F92020" w:rsidP="001509DC">
      <w:pPr>
        <w:pStyle w:val="SNVisa"/>
        <w:rPr>
          <w:bCs/>
        </w:rPr>
      </w:pPr>
      <w:r>
        <w:t>atsižvelgdamas į 2021 m. spalio 1 d. Dekretą Nr. 2021-1285 dėl pavojingųjų medžiagų nustatymo produktuose, kuriuos gaminant susidaro atliekos, priimtą pagal Aplinkosaugos kodekso L. 541-9-1 straipsnį,</w:t>
      </w:r>
    </w:p>
    <w:p w14:paraId="62C9F107" w14:textId="671C1C40" w:rsidR="00351A7D" w:rsidRDefault="00351A7D" w:rsidP="001509DC">
      <w:pPr>
        <w:pStyle w:val="SNVisa"/>
        <w:rPr>
          <w:bCs/>
        </w:rPr>
      </w:pPr>
      <w:r>
        <w:t>atsižvelgdamas į 2022 m. balandžio 29 d. Dekretą Nr. 2022-748 dėl vartotojų informavimo apie produktų, kuriuos gaminant susidaro atliekos, aplinkosauginę kokybę ir savybes,</w:t>
      </w:r>
    </w:p>
    <w:p w14:paraId="4F9A831F" w14:textId="77777777" w:rsidR="001509DC" w:rsidRDefault="001509DC" w:rsidP="00ED414C">
      <w:pPr>
        <w:pStyle w:val="SNVisa"/>
        <w:rPr>
          <w:bCs/>
        </w:rPr>
      </w:pPr>
      <w:r>
        <w:t>atsižvelgdamas į 2022 m. birželio 10 d. Europos cheminių medžiagų agentūros interneto svetainėje pagal Reglamento (EB) Nr. 1907/2006 59 straipsnį paskelbtą cheminių medžiagų sąrašą,</w:t>
      </w:r>
    </w:p>
    <w:p w14:paraId="0761D7BB" w14:textId="21EE575E" w:rsidR="00093D84" w:rsidRDefault="00CD2D5F" w:rsidP="00ED414C">
      <w:pPr>
        <w:pStyle w:val="SNVisa"/>
        <w:rPr>
          <w:bCs/>
        </w:rPr>
      </w:pPr>
      <w:r>
        <w:t>atsižvelgdamas į 2021 m. kovo 25 d. Nacionalinės maisto, aplinkos ir darbuotojų sveikatos saugos agentūros nuomonę, pateiktą po 2020 m. rugpjūčio 26 d. Rizikos prevencijos generalinio direktoriaus ir Sveikatos apsaugos generalinio direktoriaus kreipimosi,</w:t>
      </w:r>
    </w:p>
    <w:p w14:paraId="515AAA36" w14:textId="38651439" w:rsidR="00C57297" w:rsidRPr="00646164" w:rsidRDefault="00C57297" w:rsidP="00C57297">
      <w:pPr>
        <w:pStyle w:val="SNVisa"/>
        <w:rPr>
          <w:bCs/>
        </w:rPr>
      </w:pPr>
      <w:r>
        <w:t>kadangi bisfenolis B yra medžiaga, 2021 m. liepos 8 d. įtraukta į susirūpinimą keliančių cheminių medžiagų sąrašą dėl endokrininę sistemą ardančių jos savybių aplinkai ir žmonių sveikatai,</w:t>
      </w:r>
    </w:p>
    <w:p w14:paraId="339681F1" w14:textId="7AE8D5B0" w:rsidR="00B1037F" w:rsidRPr="00646164" w:rsidRDefault="00B1037F" w:rsidP="00ED414C">
      <w:pPr>
        <w:pStyle w:val="SNVisa"/>
        <w:rPr>
          <w:bCs/>
        </w:rPr>
      </w:pPr>
      <w:r>
        <w:t>kadangi diizooktilftalatas yra medžiaga, klasifikuojama kaip 1B kategorijos toksiška reprodukcijai medžiaga, atitinkanti priskyrimo labai didelį susirūpinimą keliančiai cheminei medžiagai kriterijus,</w:t>
      </w:r>
    </w:p>
    <w:p w14:paraId="6E61F2A2" w14:textId="02557EE0" w:rsidR="00E95D8C" w:rsidRPr="00646164" w:rsidRDefault="00E95D8C" w:rsidP="00ED414C">
      <w:pPr>
        <w:pStyle w:val="SNVisa"/>
        <w:rPr>
          <w:bCs/>
        </w:rPr>
      </w:pPr>
      <w:r>
        <w:t xml:space="preserve">kadangi rezorcinolis yra medžiaga, kurios endokrininę sistemą ardančias savybes žmonėms 2020 m. kovo 9 d. nuomonėje pripažino ir Nacionalinė maisto, aplinkos ir darbuotojų </w:t>
      </w:r>
      <w:r>
        <w:lastRenderedPageBreak/>
        <w:t>sveikatos saugos agentūra (ANSES), ir valstybių narių komitetas 2020 m. birželio 12 d., ir kadangi, remiantis ANSES, ši medžiaga atitinka kriterijus, pagal kuriuos ji identifikuojama kaip labai didelį susirūpinimą kelianti cheminė medžiaga,</w:t>
      </w:r>
    </w:p>
    <w:p w14:paraId="6E47FDEA" w14:textId="23EF0599" w:rsidR="00C57297" w:rsidRDefault="00C57297" w:rsidP="00ED414C">
      <w:pPr>
        <w:pStyle w:val="SNVisa"/>
        <w:rPr>
          <w:bCs/>
        </w:rPr>
      </w:pPr>
      <w:r>
        <w:t>kadangi dėl šių priežasčių diizooktilftalatas ir rezorcinolis turi būti identifikuojami kaip pavojingosios medžiagos, kaip apibrėžta 2021 m. spalio 1 d. Dekrete Nr. 2021-1285 dėl pavojingųjų medžiagų nustatymo produktuose, kuriuos gaminant susidaro atliekos, priimtame pagal Aplinkosaugos kodekso L. 541-9-1 straipsnį,</w:t>
      </w:r>
    </w:p>
    <w:p w14:paraId="4F9DCE1D" w14:textId="77777777" w:rsidR="005C3CFF" w:rsidRDefault="005C3CFF">
      <w:pPr>
        <w:pStyle w:val="SNVisa"/>
        <w:rPr>
          <w:bCs/>
        </w:rPr>
      </w:pPr>
    </w:p>
    <w:p w14:paraId="73F91CAD" w14:textId="77777777" w:rsidR="005C3CFF" w:rsidRPr="007C2FA5" w:rsidRDefault="00F92020" w:rsidP="007C2FA5">
      <w:pPr>
        <w:pStyle w:val="SNActe"/>
      </w:pPr>
      <w:r>
        <w:t>nutaria:</w:t>
      </w:r>
    </w:p>
    <w:p w14:paraId="36CE1980" w14:textId="77777777" w:rsidR="005C3CFF" w:rsidRPr="007C2FA5" w:rsidRDefault="00B8106B" w:rsidP="007C2FA5">
      <w:pPr>
        <w:pStyle w:val="SNArticle"/>
      </w:pPr>
      <w:r>
        <w:t>1 straipsnis</w:t>
      </w:r>
    </w:p>
    <w:p w14:paraId="1BB518B2" w14:textId="17DC1A4D" w:rsidR="004635A2" w:rsidRDefault="004635A2">
      <w:pPr>
        <w:pStyle w:val="BodyText"/>
        <w:spacing w:after="0"/>
        <w:ind w:firstLine="708"/>
      </w:pPr>
      <w:r>
        <w:t>Cheminių medžiagų, kurių keliamo pavojaus lygis panašus į labai didelį susirūpinimą keliančių cheminių medžiagų, išvardytų Europos cheminių medžiagų agentūros interneto svetainėje pagal Reglamento (EB) Nr. 1907/2006 59 straipsnio 10 dalį, sąrašas pateikiamas priede kartu su jų įtraukimo į priedą data.</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2 straipsnis</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Už šio dekreto, kuris skelbiamas Prancūzijos Respublikos oficialiajame leidinyje (</w:t>
      </w:r>
      <w:r>
        <w:rPr>
          <w:rStyle w:val="Accentuationforte"/>
          <w:rFonts w:ascii="Times New Roman" w:hAnsi="Times New Roman"/>
          <w:b w:val="0"/>
          <w:i/>
          <w:sz w:val="24"/>
        </w:rPr>
        <w:t>Journal offici</w:t>
      </w:r>
      <w:r>
        <w:rPr>
          <w:rStyle w:val="Accentuationforte"/>
          <w:rFonts w:ascii="Times New Roman" w:hAnsi="Times New Roman"/>
          <w:b w:val="0"/>
          <w:i/>
          <w:iCs/>
          <w:sz w:val="24"/>
        </w:rPr>
        <w:t>el</w:t>
      </w:r>
      <w:r>
        <w:rPr>
          <w:rStyle w:val="Accentuationforte"/>
          <w:rFonts w:ascii="Times New Roman" w:hAnsi="Times New Roman"/>
          <w:b w:val="0"/>
          <w:sz w:val="24"/>
        </w:rPr>
        <w:t>), vykdymą atsako Ekologinės pertvarkos ir teritorinės sanglaudos ministras.</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77777777" w:rsidR="007E33DE" w:rsidRDefault="00B8106B" w:rsidP="00BE7ED6">
      <w:pPr>
        <w:pStyle w:val="SNDate"/>
      </w:pPr>
      <w:r>
        <w:t>Parengta</w:t>
      </w:r>
    </w:p>
    <w:p w14:paraId="4B0FC850" w14:textId="355E66B0" w:rsidR="005C3CFF" w:rsidRDefault="00E865E1" w:rsidP="00BE7ED6">
      <w:pPr>
        <w:pStyle w:val="SNDate"/>
      </w:pPr>
      <w:r>
        <w:t>Ekologinės pertvarkos ir teritorinės sanglaudos ministro vardu:</w:t>
      </w:r>
    </w:p>
    <w:p w14:paraId="37848D37" w14:textId="7C15FCEE" w:rsidR="005C3CFF" w:rsidRDefault="00B8106B" w:rsidP="00BE7ED6">
      <w:pPr>
        <w:pStyle w:val="SNDate"/>
        <w:rPr>
          <w:highlight w:val="yellow"/>
        </w:rPr>
      </w:pPr>
      <w:r>
        <w:t>Rizikos prevencijos generalinis direktorius</w:t>
      </w:r>
    </w:p>
    <w:p w14:paraId="732A53E4" w14:textId="729526ED" w:rsidR="005C3CFF" w:rsidRDefault="00E865E1" w:rsidP="007C2FA5">
      <w:pPr>
        <w:pStyle w:val="SNSignatureGauche"/>
      </w:pPr>
      <w:r>
        <w:t>Cédric BOURILLET</w:t>
      </w:r>
    </w:p>
    <w:p w14:paraId="2DF0F575" w14:textId="6AC89B1F" w:rsidR="00B1037F" w:rsidRDefault="00B1037F">
      <w:pPr>
        <w:spacing w:after="0" w:line="240" w:lineRule="auto"/>
        <w:rPr>
          <w:rFonts w:ascii="Times New Roman" w:hAnsi="Times New Roman" w:cs="Times New Roman"/>
          <w:color w:val="00000A"/>
          <w:sz w:val="24"/>
          <w:szCs w:val="24"/>
        </w:rPr>
      </w:pPr>
    </w:p>
    <w:p w14:paraId="38F201F4" w14:textId="61944257" w:rsidR="00B1037F" w:rsidRDefault="00B1037F" w:rsidP="00B1037F">
      <w:pPr>
        <w:pStyle w:val="BodyText"/>
        <w:spacing w:after="0"/>
        <w:ind w:firstLine="708"/>
      </w:pPr>
      <w:r>
        <w:t>Priedas</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Papildomas pavojingųjų medžiagų sąrašas, kaip tai suprantama pagal Aplinkosaugos kodekso L. 541-9-1 straipsnį, kaip numatyta 2021 m. spalio 1 d. Dekreto Nr. 2021-1285 dėl pavojingųjų medžiagų nustatymo produktuose, kuriuos gaminant susidaro atliekos, 1 straipsnio antroje įtraukoje</w:t>
      </w:r>
    </w:p>
    <w:p w14:paraId="3FD72AB2" w14:textId="77777777" w:rsidR="00A40310" w:rsidRDefault="00A40310" w:rsidP="00B1037F">
      <w:pPr>
        <w:pStyle w:val="BodyText"/>
        <w:spacing w:after="0"/>
        <w:ind w:firstLine="708"/>
      </w:pPr>
    </w:p>
    <w:tbl>
      <w:tblPr>
        <w:tblStyle w:val="TableGrid"/>
        <w:tblW w:w="9493" w:type="dxa"/>
        <w:tblLook w:val="04A0" w:firstRow="1" w:lastRow="0" w:firstColumn="1" w:lastColumn="0" w:noHBand="0" w:noVBand="1"/>
      </w:tblPr>
      <w:tblGrid>
        <w:gridCol w:w="4531"/>
        <w:gridCol w:w="1843"/>
        <w:gridCol w:w="3119"/>
      </w:tblGrid>
      <w:tr w:rsidR="00C57297" w14:paraId="675038F4" w14:textId="77777777" w:rsidTr="00BE7ED6">
        <w:trPr>
          <w:tblHeader/>
        </w:trPr>
        <w:tc>
          <w:tcPr>
            <w:tcW w:w="4531" w:type="dxa"/>
          </w:tcPr>
          <w:p w14:paraId="7F39AFE5" w14:textId="0FA344EA" w:rsidR="00C57297" w:rsidRPr="00C57297" w:rsidRDefault="00C57297" w:rsidP="00B1037F">
            <w:pPr>
              <w:pStyle w:val="BodyText"/>
              <w:spacing w:after="0"/>
              <w:rPr>
                <w:b/>
              </w:rPr>
            </w:pPr>
            <w:r>
              <w:rPr>
                <w:b/>
              </w:rPr>
              <w:t>Medžiagos pavadinimas</w:t>
            </w:r>
          </w:p>
        </w:tc>
        <w:tc>
          <w:tcPr>
            <w:tcW w:w="1843" w:type="dxa"/>
          </w:tcPr>
          <w:p w14:paraId="0E007ABC" w14:textId="332DCBB9" w:rsidR="00C57297" w:rsidRPr="00C57297" w:rsidRDefault="00C57297" w:rsidP="00B1037F">
            <w:pPr>
              <w:pStyle w:val="BodyText"/>
              <w:spacing w:after="0"/>
              <w:rPr>
                <w:b/>
              </w:rPr>
            </w:pPr>
            <w:r>
              <w:rPr>
                <w:b/>
              </w:rPr>
              <w:t>CAS Nr.</w:t>
            </w:r>
          </w:p>
        </w:tc>
        <w:tc>
          <w:tcPr>
            <w:tcW w:w="3119" w:type="dxa"/>
          </w:tcPr>
          <w:p w14:paraId="43712975" w14:textId="0B1CB8C8" w:rsidR="00C57297" w:rsidRPr="00C57297" w:rsidRDefault="00C57297" w:rsidP="00B1037F">
            <w:pPr>
              <w:pStyle w:val="BodyText"/>
              <w:spacing w:after="0"/>
              <w:rPr>
                <w:b/>
              </w:rPr>
            </w:pPr>
            <w:r>
              <w:rPr>
                <w:b/>
              </w:rPr>
              <w:t>Įtraukimo data</w:t>
            </w:r>
          </w:p>
        </w:tc>
      </w:tr>
      <w:tr w:rsidR="00C57297" w14:paraId="00307371" w14:textId="77777777" w:rsidTr="00BE7ED6">
        <w:tc>
          <w:tcPr>
            <w:tcW w:w="4531" w:type="dxa"/>
          </w:tcPr>
          <w:p w14:paraId="0BA5E57A" w14:textId="270E11A4" w:rsidR="00C57297" w:rsidRDefault="00C57297" w:rsidP="00C57297">
            <w:pPr>
              <w:pStyle w:val="BodyText"/>
              <w:spacing w:after="0"/>
              <w:jc w:val="left"/>
            </w:pPr>
            <w:r>
              <w:t>Diizooktilftalatas (DIOP)</w:t>
            </w:r>
          </w:p>
        </w:tc>
        <w:tc>
          <w:tcPr>
            <w:tcW w:w="1843" w:type="dxa"/>
          </w:tcPr>
          <w:p w14:paraId="06C73964" w14:textId="3BF759A9" w:rsidR="00C57297" w:rsidRDefault="00C57297" w:rsidP="00B1037F">
            <w:pPr>
              <w:pStyle w:val="BodyText"/>
              <w:spacing w:after="0"/>
            </w:pPr>
            <w:r>
              <w:t>27554-26-3</w:t>
            </w:r>
          </w:p>
        </w:tc>
        <w:tc>
          <w:tcPr>
            <w:tcW w:w="3119" w:type="dxa"/>
          </w:tcPr>
          <w:p w14:paraId="23F16EB2" w14:textId="32AE2CE0" w:rsidR="00C57297" w:rsidRDefault="00631556" w:rsidP="00631556">
            <w:pPr>
              <w:pStyle w:val="BodyText"/>
              <w:spacing w:after="0"/>
            </w:pPr>
            <w:r>
              <w:t>&lt;diena po paskelbimo JORF&gt;</w:t>
            </w:r>
          </w:p>
        </w:tc>
      </w:tr>
      <w:tr w:rsidR="00C57297" w14:paraId="02D5BFC3" w14:textId="77777777" w:rsidTr="00BE7ED6">
        <w:tc>
          <w:tcPr>
            <w:tcW w:w="4531" w:type="dxa"/>
          </w:tcPr>
          <w:p w14:paraId="5DC9622F" w14:textId="1622AFE8" w:rsidR="00C57297" w:rsidRDefault="00C57297" w:rsidP="00C57297">
            <w:pPr>
              <w:pStyle w:val="BodyText"/>
              <w:spacing w:after="0"/>
              <w:jc w:val="left"/>
            </w:pPr>
            <w:r>
              <w:t>1,3-benzenediolis (rezorcinolis)</w:t>
            </w:r>
          </w:p>
        </w:tc>
        <w:tc>
          <w:tcPr>
            <w:tcW w:w="1843" w:type="dxa"/>
          </w:tcPr>
          <w:p w14:paraId="53A597F8" w14:textId="2CE5635F" w:rsidR="00C57297" w:rsidRDefault="00C57297" w:rsidP="00B1037F">
            <w:pPr>
              <w:pStyle w:val="BodyText"/>
              <w:spacing w:after="0"/>
            </w:pPr>
            <w:r>
              <w:t>108-46-3</w:t>
            </w:r>
          </w:p>
        </w:tc>
        <w:tc>
          <w:tcPr>
            <w:tcW w:w="3119" w:type="dxa"/>
          </w:tcPr>
          <w:p w14:paraId="12C3F68A" w14:textId="3F91B58B" w:rsidR="00C57297" w:rsidRDefault="00631556" w:rsidP="00B1037F">
            <w:pPr>
              <w:pStyle w:val="BodyText"/>
              <w:spacing w:after="0"/>
            </w:pPr>
            <w:r>
              <w:t>&lt;diena po paskelbimo JORF&gt;</w:t>
            </w:r>
          </w:p>
        </w:tc>
      </w:tr>
    </w:tbl>
    <w:p w14:paraId="74E98D3D" w14:textId="77777777" w:rsidR="00B1037F" w:rsidRDefault="00B1037F" w:rsidP="00B1037F">
      <w:pPr>
        <w:pStyle w:val="BodyText"/>
        <w:spacing w:after="0"/>
        <w:ind w:firstLine="708"/>
      </w:pPr>
    </w:p>
    <w:p w14:paraId="03536BCA" w14:textId="77777777" w:rsidR="00B1037F" w:rsidRPr="007C2FA5" w:rsidRDefault="00B1037F" w:rsidP="00B1037F">
      <w:pPr>
        <w:pStyle w:val="BodyText"/>
        <w:spacing w:after="0"/>
        <w:ind w:firstLine="708"/>
      </w:pPr>
    </w:p>
    <w:sectPr w:rsidR="00B1037F" w:rsidRPr="007C2FA5"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14128A"/>
    <w:rsid w:val="001509DC"/>
    <w:rsid w:val="00176A22"/>
    <w:rsid w:val="001B00EC"/>
    <w:rsid w:val="001F2CA7"/>
    <w:rsid w:val="001F42AC"/>
    <w:rsid w:val="001F4F6F"/>
    <w:rsid w:val="00230B02"/>
    <w:rsid w:val="00251902"/>
    <w:rsid w:val="0025560A"/>
    <w:rsid w:val="002A2F6F"/>
    <w:rsid w:val="002A6556"/>
    <w:rsid w:val="002B525C"/>
    <w:rsid w:val="002E09DC"/>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E7ED6"/>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BE7ED6"/>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BE7ED6"/>
    <w:pPr>
      <w:spacing w:before="480" w:after="156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1089</Words>
  <Characters>6210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4</cp:revision>
  <dcterms:created xsi:type="dcterms:W3CDTF">2023-01-20T09:24:00Z</dcterms:created>
  <dcterms:modified xsi:type="dcterms:W3CDTF">2023-01-31T08:52:00Z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