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EE0EE" w14:textId="77777777" w:rsidR="00D95325" w:rsidRPr="00D95325" w:rsidRDefault="00D95325" w:rsidP="00D9532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hAnsi="Times New Roman"/>
          <w:b/>
          <w:sz w:val="36"/>
        </w:rPr>
        <w:t>29. aprilli 2022. aasta dekreet nr 2022-748, mis käsitleb tarbijate teavitamist jäätmeid tekitavate toodete keskkonnaomadustest ja -näitajatest</w:t>
      </w:r>
    </w:p>
    <w:p w14:paraId="4C87C7E7" w14:textId="77777777" w:rsidR="00D95325" w:rsidRPr="00D95325" w:rsidRDefault="00D95325" w:rsidP="00D95325">
      <w:pPr>
        <w:spacing w:after="0" w:line="240" w:lineRule="auto"/>
        <w:rPr>
          <w:rFonts w:ascii="Times New Roman" w:eastAsia="Times New Roman" w:hAnsi="Times New Roman" w:cs="Times New Roman"/>
          <w:sz w:val="24"/>
          <w:szCs w:val="24"/>
        </w:rPr>
      </w:pPr>
      <w:r>
        <w:rPr>
          <w:rFonts w:ascii="Times New Roman" w:hAnsi="Times New Roman"/>
          <w:sz w:val="24"/>
        </w:rPr>
        <w:t>NOR: TRED2203154D</w:t>
      </w:r>
      <w:r>
        <w:rPr>
          <w:rFonts w:ascii="Times New Roman" w:hAnsi="Times New Roman"/>
          <w:sz w:val="24"/>
        </w:rPr>
        <w:br/>
        <w:t>ELI: https://www.legifrance.gouv.fr/eli/decret/2022/4/29/TRED2203154D/jo/texte</w:t>
      </w:r>
      <w:r>
        <w:rPr>
          <w:rFonts w:ascii="Times New Roman" w:hAnsi="Times New Roman"/>
          <w:sz w:val="24"/>
        </w:rPr>
        <w:br/>
        <w:t>Alias: https://www.legifrance.gouv.fr/eli/decret/2022/4/29/2022-748/jo/texte</w:t>
      </w:r>
      <w:r>
        <w:rPr>
          <w:rFonts w:ascii="Times New Roman" w:hAnsi="Times New Roman"/>
          <w:sz w:val="24"/>
        </w:rPr>
        <w:br/>
        <w:t>JORF nr 0101, 30. aprill 2022</w:t>
      </w:r>
      <w:r>
        <w:rPr>
          <w:rFonts w:ascii="Times New Roman" w:hAnsi="Times New Roman"/>
          <w:sz w:val="24"/>
        </w:rPr>
        <w:br/>
        <w:t>Tekst nr 4</w:t>
      </w:r>
    </w:p>
    <w:p w14:paraId="100CC0AA" w14:textId="77777777" w:rsidR="00D95325" w:rsidRPr="00D95325" w:rsidRDefault="00D95325" w:rsidP="00D95325">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 xml:space="preserve">Asjaomane üldsus: tootjad, importijad, turustajad või muud isikud, kes lasevad turule jäätmeid tekitavaid tarbekaupu, sealhulgas need, kes kasutavad oma äritegevuse käigus Prantsusmaal veebisaiti, platvormi või muud turustuskanalit, ning selliste toodete tarbijad. </w:t>
      </w:r>
      <w:r>
        <w:rPr>
          <w:rFonts w:ascii="Times New Roman" w:hAnsi="Times New Roman"/>
          <w:sz w:val="24"/>
        </w:rPr>
        <w:br/>
        <w:t xml:space="preserve">Teema: keskkonnaseadustiku artiklis L. 541-9-1 sätestatud kohustuse rakendamine seoses tarbijate teavitamisega jäätmeid tekitavate toodete keskkonnaomaduste ja -näitajate kohta. </w:t>
      </w:r>
      <w:r>
        <w:rPr>
          <w:rFonts w:ascii="Times New Roman" w:hAnsi="Times New Roman"/>
          <w:sz w:val="24"/>
        </w:rPr>
        <w:br/>
        <w:t xml:space="preserve">Jõustumine: Artikkel R. 541-223 jõustub järgmisel päeval pärast käesoleva dekreedi avaldamist. Toodete või pakendite suhtes, mille suhtes määrust kohaldatakse, kohaldatakse varude realiseerimise aega kuni 1. jaanuarini 2023, tingimusel et need on toodetud või imporditud enne käesoleva dekreedi avaldamise kuupäeva. Artiklid R. 541-220 kuni R. 541-222 jõustuvad kohustuste kaupa järk-järgult alates 1. jaanuarist 2023. </w:t>
      </w:r>
      <w:r>
        <w:rPr>
          <w:rFonts w:ascii="Times New Roman" w:hAnsi="Times New Roman"/>
          <w:sz w:val="24"/>
        </w:rPr>
        <w:br/>
        <w:t xml:space="preserve">Märgukiri: dekreedis sätestatakse keskkonnaseadustiku artikli L. 541-9-1 üksikasjalikud rakenduseeskirjad, mis annavad tarbijatele tootjatelt ja importijatelt asjakohast teavet jäätmeid tekitavate toodete keskkonnaomaduste ja -näitajate kohta – käesolevas tekstis määratletud mõisted. Tootjate ja importijate suhtes, kes deklareerivad, et artiklis R. 541-221 osutatud toodete aastakäive on üle 10 miljoni euro ja kes vastutavad igal aastal nende toodete enam kui 10 000 ühiku turule laskmise eest, kohaldatakse teabe esitamise nõuet. See teave tehakse kättesaadavaks ostu sooritamise ajal elektroonilises vormis ning vajaduse korral ka tellimise, väljapaneku, märgistamise või muu loetava ja arusaadava vahendi abil. Need keskkonnaomadused ja -näitajad hõlmavad olenevalt asjaomastest tootekategooriatest järgmist: ringlussevõetud materjali lisamine, taastuvate ressursside kasutamine, säästlikkus, kompostitavus, parandatavus, korduskasutamise võimalused, ringlussevõetavus, ohtlike ainete, väärismetallide või haruldaste muldmetallide olemasolu, jälgitavus ja plastist mikrokiudude olemasolu. Nende keskkonnaomaduste ja -näitajate kohta tarbijatele andmete kättesaadavaks tegemise vorm peab olema kergesti korduskasutatav ja kasutatav automatiseeritud töötlemissüsteemis koondatud kujul. </w:t>
      </w:r>
      <w:r>
        <w:rPr>
          <w:rFonts w:ascii="Times New Roman" w:hAnsi="Times New Roman"/>
          <w:sz w:val="24"/>
        </w:rPr>
        <w:br/>
        <w:t xml:space="preserve">Viited: nii käesoleva dekreedi kui ka selle muudetud keskkonnaseadustikuga saab tutvuda Légifrance’i veebisaidil (https://www.legifrance.gouv.fr). </w:t>
      </w:r>
    </w:p>
    <w:p w14:paraId="5447E1C5" w14:textId="77777777" w:rsidR="00D95325" w:rsidRPr="00D95325" w:rsidRDefault="00D95325" w:rsidP="00D95325">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Peaminister,</w:t>
      </w:r>
      <w:r>
        <w:rPr>
          <w:rFonts w:ascii="Times New Roman" w:hAnsi="Times New Roman"/>
          <w:sz w:val="24"/>
        </w:rPr>
        <w:br/>
        <w:t>ökoloogilise ülemineku ministri ning majandus-, rahandus- ja majanduse taastamise ministri aruande kohta;</w:t>
      </w:r>
      <w:r>
        <w:rPr>
          <w:rFonts w:ascii="Times New Roman" w:hAnsi="Times New Roman"/>
          <w:sz w:val="24"/>
        </w:rPr>
        <w:br/>
        <w:t>võttes arvesse Euroopa Parlamendi ja nõukogu 18. detsembri 2006. aasta määrust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w:t>
      </w:r>
      <w:r>
        <w:rPr>
          <w:rFonts w:ascii="Times New Roman" w:hAnsi="Times New Roman"/>
          <w:sz w:val="24"/>
        </w:rPr>
        <w:br/>
      </w:r>
      <w:r>
        <w:rPr>
          <w:rFonts w:ascii="Times New Roman" w:hAnsi="Times New Roman"/>
          <w:sz w:val="24"/>
        </w:rPr>
        <w:lastRenderedPageBreak/>
        <w:t>võttes arvesse Euroopa Parlamendi ja nõukogu 16. detsembri 2008. aasta määrust (EÜ) nr 1272/2008, mis käsitleb ainete ja segude klassifitseerimist, märgistamist ja pakendamist ning mida on muudetud ning millega muudetakse direktiive 67/548/EMÜ ja 1999/45/EÜ ja tunnistatakse need kehtetuks ning muudetakse määrust (EÜ) nr 1907/2006,</w:t>
      </w:r>
      <w:r>
        <w:rPr>
          <w:rFonts w:ascii="Times New Roman" w:hAnsi="Times New Roman"/>
          <w:sz w:val="24"/>
        </w:rPr>
        <w:br/>
        <w:t>võttes arvesse Euroopa Parlamendi ja nõukogu 20. detsembri 1994. aasta direktiivi 94/62/EÜ pakendite ja pakendijäätmete kohta,</w:t>
      </w:r>
      <w:r>
        <w:rPr>
          <w:rFonts w:ascii="Times New Roman" w:hAnsi="Times New Roman"/>
          <w:sz w:val="24"/>
        </w:rPr>
        <w:br/>
        <w:t>võttes arvesse Euroopa Parlamendi ja nõukogu 9. septembri 2015. aasta direktiivi (EL) 2015/1535, millega nähakse ette tehnilistest eeskirjadest ning infoühiskonna teenuste eeskirjadest teatamise kord,</w:t>
      </w:r>
      <w:r>
        <w:rPr>
          <w:rFonts w:ascii="Times New Roman" w:hAnsi="Times New Roman"/>
          <w:sz w:val="24"/>
        </w:rPr>
        <w:br/>
        <w:t>võttes arvesse ehitus- ja elamuseadustikku, eriti selle artikleid L. 171-2 ja R. 171-17,</w:t>
      </w:r>
      <w:r>
        <w:rPr>
          <w:rFonts w:ascii="Times New Roman" w:hAnsi="Times New Roman"/>
          <w:sz w:val="24"/>
        </w:rPr>
        <w:br/>
        <w:t>võttes arvesse keskkonnaseadustikku, eelkõige artikleid L. 541-1-1, L. 541-9-1, L. 541-9-2, L. 541-10, L. 541-10-1, L. 541-10-3 ja R. 543-226,</w:t>
      </w:r>
      <w:r>
        <w:rPr>
          <w:rFonts w:ascii="Times New Roman" w:hAnsi="Times New Roman"/>
          <w:sz w:val="24"/>
        </w:rPr>
        <w:br/>
        <w:t>võttes arvesse rahvatervise seadustikku, eriti selle artikleid R. 5232-19 ja R. 5232-20,</w:t>
      </w:r>
      <w:r>
        <w:rPr>
          <w:rFonts w:ascii="Times New Roman" w:hAnsi="Times New Roman"/>
          <w:sz w:val="24"/>
        </w:rPr>
        <w:br/>
        <w:t>võttes arvesse 10. veebruari 2020. aasta seadust nr 2020-105 jäätmete ja ringmajanduse kohta, eriti selle artikleid 13 ja 130,</w:t>
      </w:r>
      <w:r>
        <w:rPr>
          <w:rFonts w:ascii="Times New Roman" w:hAnsi="Times New Roman"/>
          <w:sz w:val="24"/>
        </w:rPr>
        <w:br/>
        <w:t>võttes arvesse direktiivi (EL) 94/62/EÜ ja direktiivi (EL) 2015/1535 kohaselt 4. oktoobril 2021 Euroopa Komisjonile saadetud teatist nr 2021/644/F ning 5. jaanuari 2022. aasta vastust,</w:t>
      </w:r>
      <w:r>
        <w:rPr>
          <w:rFonts w:ascii="Times New Roman" w:hAnsi="Times New Roman"/>
          <w:sz w:val="24"/>
        </w:rPr>
        <w:br/>
        <w:t>võttes arvesse 12. oktoobrist kuni 17. novembrini 2021 keskkonnaseadustiku artikli L123-19-1 kohaselt korraldatud avaliku konsultatsiooni käigus tehtud tähelepanekuid,</w:t>
      </w:r>
      <w:r>
        <w:rPr>
          <w:rFonts w:ascii="Times New Roman" w:hAnsi="Times New Roman"/>
          <w:sz w:val="24"/>
        </w:rPr>
        <w:br/>
        <w:t>olles kuulanud ära riiginõukogu (avalike tööde osakonna) arvamuse,</w:t>
      </w:r>
      <w:r>
        <w:rPr>
          <w:rFonts w:ascii="Times New Roman" w:hAnsi="Times New Roman"/>
          <w:sz w:val="24"/>
        </w:rPr>
        <w:br/>
        <w:t>sätestab järgmist:</w:t>
      </w:r>
    </w:p>
    <w:p w14:paraId="64AD1C41" w14:textId="77777777" w:rsidR="00D95325" w:rsidRPr="00D95325" w:rsidRDefault="00D95325" w:rsidP="00D95325">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Artikkel 1</w:t>
      </w:r>
    </w:p>
    <w:p w14:paraId="6021D3B6" w14:textId="77777777" w:rsidR="00D95325" w:rsidRPr="00D95325" w:rsidRDefault="00D95325" w:rsidP="00D95325">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Keskkonnaseadustiku regulatiivosa V raamatu IV jaotise I peatüki 9. jagu täiendatakse 3. alajaoga järgmises sõnastuses:</w:t>
      </w:r>
    </w:p>
    <w:p w14:paraId="0CC3CEC1" w14:textId="641C31A3" w:rsidR="00D95325" w:rsidRPr="00D95325" w:rsidRDefault="00D95325" w:rsidP="00D95325">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 3. alajagu</w:t>
      </w:r>
      <w:r>
        <w:rPr>
          <w:rFonts w:ascii="Times New Roman" w:hAnsi="Times New Roman"/>
          <w:sz w:val="24"/>
        </w:rPr>
        <w:br/>
        <w:t>"</w:t>
      </w:r>
      <w:r w:rsidR="000C7B06">
        <w:rPr>
          <w:rFonts w:ascii="Times New Roman" w:hAnsi="Times New Roman"/>
          <w:sz w:val="24"/>
        </w:rPr>
        <w:t xml:space="preserve"> </w:t>
      </w:r>
      <w:r>
        <w:rPr>
          <w:rFonts w:ascii="Times New Roman" w:hAnsi="Times New Roman"/>
          <w:sz w:val="24"/>
        </w:rPr>
        <w:t>Tarbijateave jäätmeid tekitavate toodete keskkonnaomadustest ja -näitajatest</w:t>
      </w:r>
    </w:p>
    <w:p w14:paraId="4EDF693A" w14:textId="77777777" w:rsidR="00D95325" w:rsidRPr="00D95325" w:rsidRDefault="00D95325" w:rsidP="00D95325">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 Artikkel R. 541-220. - Artiklis L. 541-9-1 nimetatud jäätmeid tekitavate toodete keskkonnaomadused ja -näitajad on need, mille eesmärk on teavitada tarbijat paremini jäätmetekke vältimise ja jäätmekäitluse parandamise tingimustest.</w:t>
      </w:r>
      <w:r>
        <w:rPr>
          <w:rFonts w:ascii="Times New Roman" w:hAnsi="Times New Roman"/>
          <w:sz w:val="24"/>
        </w:rPr>
        <w:br/>
        <w:t>" Teave keskkonnakvaliteedi ja -omaduste kohta artikli L. 541-9-1 tähenduses ja käesolevas alajaos sätestatud tingimustel hõlmab artiklis R. 541-221 nimetatud uusi tooteid, mis on tarbija jaoks turule viidud.</w:t>
      </w:r>
      <w:r>
        <w:rPr>
          <w:rFonts w:ascii="Times New Roman" w:hAnsi="Times New Roman"/>
          <w:sz w:val="24"/>
        </w:rPr>
        <w:br/>
        <w:t>" Tootjatel, importijatel või muudel turuleviidavatel üksustel, kes deklareerivad artiklis R. 541-221 osutatud toodete puhul, mille nad lasevad siseriiklikule turule, et nende käive ületab 10 miljonit eurot ja kes vastutavad igal aastal vähemalt 10 000 ühiku nende toodete siseriiklikule turule laskmise eest, on teabe esitamise kohustus.</w:t>
      </w:r>
    </w:p>
    <w:p w14:paraId="6BD4A8DD" w14:textId="02E2D913" w:rsidR="00D95325" w:rsidRPr="00D95325" w:rsidRDefault="00D95325" w:rsidP="00D95325">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 Artikkel R. 541-221. - I. – tarbijate teave parandatavuse või vastupidavuse kohta on seotud elektri- või elektroonikaseadmetega, mille suhtes kohaldatakse artikli L. 541-9-2 kohaselt määratletud parandatavuse indeksit või vastupidavusindeksit.</w:t>
      </w:r>
      <w:r>
        <w:rPr>
          <w:rFonts w:ascii="Times New Roman" w:hAnsi="Times New Roman"/>
          <w:sz w:val="24"/>
        </w:rPr>
        <w:br/>
        <w:t>" See teave esitatakse parandatavuse indeksina või alates 1. jaanuarist 2024 vastupidavusindeksina vastavalt artiklite R. 541-210 kuni R. 541-214 sätetele.</w:t>
      </w:r>
      <w:r>
        <w:rPr>
          <w:rFonts w:ascii="Times New Roman" w:hAnsi="Times New Roman"/>
          <w:sz w:val="24"/>
        </w:rPr>
        <w:br/>
      </w:r>
      <w:r>
        <w:rPr>
          <w:rFonts w:ascii="Times New Roman" w:hAnsi="Times New Roman"/>
          <w:sz w:val="24"/>
        </w:rPr>
        <w:lastRenderedPageBreak/>
        <w:t>" II. – Artikli R. 543-226 neljandas lõigus nimetatud loetelus nimetatud pakendiliigid ja -kategooriad kuuluvad kompostitavust käsitleva tarbijateabe kohaldamisalasse.</w:t>
      </w:r>
      <w:r>
        <w:rPr>
          <w:rFonts w:ascii="Times New Roman" w:hAnsi="Times New Roman"/>
          <w:sz w:val="24"/>
        </w:rPr>
        <w:br/>
        <w:t>" See teave esitatakse viitena mõistele „kompostitav pakend“.</w:t>
      </w:r>
      <w:r>
        <w:rPr>
          <w:rFonts w:ascii="Times New Roman" w:hAnsi="Times New Roman"/>
          <w:sz w:val="24"/>
        </w:rPr>
        <w:br/>
        <w:t xml:space="preserve">„III.– Ringlussevõetud materjali lisamist mõõdetakse artikli L. 541-1-1 tähenduses ringlussevõtu teel saadud materjalide massi üldise osakaaluna. </w:t>
      </w:r>
      <w:r>
        <w:rPr>
          <w:rFonts w:ascii="Times New Roman" w:hAnsi="Times New Roman"/>
          <w:sz w:val="24"/>
        </w:rPr>
        <w:br/>
        <w:t>" Tarbijateave ringlussevõetud materjali kasutamise kohta puudutab artikli L. 541-10-1 punktides 3, 5, 6, 7, 10 ja 11 nimetatud tootekategooriaid, välja arvatud nahktooted, 13, 14 ja 15.</w:t>
      </w:r>
      <w:r>
        <w:rPr>
          <w:rFonts w:ascii="Times New Roman" w:hAnsi="Times New Roman"/>
          <w:sz w:val="24"/>
        </w:rPr>
        <w:br/>
        <w:t>" See teave nende toodete kohta esitatakse märkega „toode sisaldab vähemalt [%] ringlussevõetud materjale“.</w:t>
      </w:r>
      <w:r>
        <w:rPr>
          <w:rFonts w:ascii="Times New Roman" w:hAnsi="Times New Roman"/>
          <w:sz w:val="24"/>
        </w:rPr>
        <w:br/>
        <w:t>" Tarbijateave ringlussevõetud materjali kasutamise kohta hõlmab ka artikli L. 541-10-1 lõikes 1 nimetatud pakendeid.</w:t>
      </w:r>
      <w:r>
        <w:rPr>
          <w:rFonts w:ascii="Times New Roman" w:hAnsi="Times New Roman"/>
          <w:sz w:val="24"/>
        </w:rPr>
        <w:br/>
        <w:t>" See teave nende toodete kohta esitatakse märkega „pakend sisaldab vähemalt [%] ringlussevõetud materjale“.</w:t>
      </w:r>
      <w:r>
        <w:rPr>
          <w:rFonts w:ascii="Times New Roman" w:hAnsi="Times New Roman"/>
          <w:sz w:val="24"/>
        </w:rPr>
        <w:br/>
        <w:t>" IV. – Tarbijate teavitamine taastuvate energiaallikate kasutamisest hõlmab artikli L. 541-10-1 lõikes 4 nimetatud tooteid või ehitusmaterjale, mille kohta tuleb ehitus- ja elamuseadustiku artiklis R. 171-17 sätestatud tingimustel esitada keskkonnadeklaratsioon.</w:t>
      </w:r>
      <w:r>
        <w:rPr>
          <w:rFonts w:ascii="Times New Roman" w:hAnsi="Times New Roman"/>
          <w:sz w:val="24"/>
        </w:rPr>
        <w:br/>
        <w:t>" See teave tehakse kättesaadavaks ehitus- ja elamuseadustiku I raamatu I jaotise I peatüki 3. jao 1. alajaos sätestatud tingimustel.</w:t>
      </w:r>
      <w:r>
        <w:rPr>
          <w:rFonts w:ascii="Times New Roman" w:hAnsi="Times New Roman"/>
          <w:sz w:val="24"/>
        </w:rPr>
        <w:br/>
        <w:t>" V. – Artikli L. 541-10-1 lõikes 1 nimetatud pakend kuulub korduskasutusvõimalusi käsitleva tarbijateabe alla.</w:t>
      </w:r>
      <w:r>
        <w:rPr>
          <w:rFonts w:ascii="Times New Roman" w:hAnsi="Times New Roman"/>
          <w:sz w:val="24"/>
        </w:rPr>
        <w:br/>
        <w:t>" Korduskasutamise võimaluste all mõistetakse võimalust, et pakend vastab artikli R. 541-350 lõikes 3 sätestatud tingimustele, et kvalifitseeruda kordus- või taaskasutatud pakendiks.</w:t>
      </w:r>
      <w:r>
        <w:rPr>
          <w:rFonts w:ascii="Times New Roman" w:hAnsi="Times New Roman"/>
          <w:sz w:val="24"/>
        </w:rPr>
        <w:br/>
        <w:t>" See teave esitatakse viitena mõistele „korduskasutatav pakend“ või „korduvtäidetav pakend“.</w:t>
      </w:r>
      <w:r>
        <w:rPr>
          <w:rFonts w:ascii="Times New Roman" w:hAnsi="Times New Roman"/>
          <w:sz w:val="24"/>
        </w:rPr>
        <w:br/>
      </w:r>
      <w:r w:rsidR="000C7B06">
        <w:rPr>
          <w:rFonts w:ascii="Times New Roman" w:hAnsi="Times New Roman"/>
          <w:sz w:val="24"/>
        </w:rPr>
        <w:t>"</w:t>
      </w:r>
      <w:r w:rsidR="000C7B06">
        <w:rPr>
          <w:rFonts w:ascii="Times New Roman" w:hAnsi="Times New Roman"/>
          <w:sz w:val="24"/>
        </w:rPr>
        <w:t xml:space="preserve"> </w:t>
      </w:r>
      <w:r>
        <w:rPr>
          <w:rFonts w:ascii="Times New Roman" w:hAnsi="Times New Roman"/>
          <w:sz w:val="24"/>
        </w:rPr>
        <w:t>VI. – Ringlussevõetavus tähendab identsetest või sarnastest toodetest pärit jäätmete tegelikku ringlussevõtu võimsust.  Ringlussevõetavust iseloomustab nende jäätmete puhul:</w:t>
      </w:r>
      <w:r>
        <w:rPr>
          <w:rFonts w:ascii="Times New Roman" w:hAnsi="Times New Roman"/>
          <w:sz w:val="24"/>
        </w:rPr>
        <w:br/>
      </w:r>
      <w:r w:rsidR="000C7B06">
        <w:rPr>
          <w:rFonts w:ascii="Times New Roman" w:hAnsi="Times New Roman"/>
          <w:sz w:val="24"/>
        </w:rPr>
        <w:t>"</w:t>
      </w:r>
      <w:r>
        <w:rPr>
          <w:rFonts w:ascii="Times New Roman" w:hAnsi="Times New Roman"/>
          <w:sz w:val="24"/>
        </w:rPr>
        <w:t>1) tõhusa kogumise suutlikkus kohalikul tasandil, elanikkonna juurdepääsu kaudu kohalikele kogumispunktidele;</w:t>
      </w:r>
      <w:r>
        <w:rPr>
          <w:rFonts w:ascii="Times New Roman" w:hAnsi="Times New Roman"/>
          <w:sz w:val="24"/>
        </w:rPr>
        <w:br/>
      </w:r>
      <w:r w:rsidR="000C7B06">
        <w:rPr>
          <w:rFonts w:ascii="Times New Roman" w:hAnsi="Times New Roman"/>
          <w:sz w:val="24"/>
        </w:rPr>
        <w:t>"</w:t>
      </w:r>
      <w:r>
        <w:rPr>
          <w:rFonts w:ascii="Times New Roman" w:hAnsi="Times New Roman"/>
          <w:sz w:val="24"/>
        </w:rPr>
        <w:t>2) sortimisvõime, st suunamine teatavatesse ringlussevõtukanalitesse, et jäätmed ringlusse võtta;</w:t>
      </w:r>
      <w:r>
        <w:rPr>
          <w:rFonts w:ascii="Times New Roman" w:hAnsi="Times New Roman"/>
          <w:sz w:val="24"/>
        </w:rPr>
        <w:br/>
      </w:r>
      <w:r w:rsidR="000C7B06">
        <w:rPr>
          <w:rFonts w:ascii="Times New Roman" w:hAnsi="Times New Roman"/>
          <w:sz w:val="24"/>
        </w:rPr>
        <w:t>"</w:t>
      </w:r>
      <w:r>
        <w:rPr>
          <w:rFonts w:ascii="Times New Roman" w:hAnsi="Times New Roman"/>
          <w:sz w:val="24"/>
        </w:rPr>
        <w:t>3) selliste elementide või ainete puudumine, mis häiriksid ringlussevõetud materjali sortimist või ringlussevõttu või piiraksid selle kasutamist;</w:t>
      </w:r>
      <w:r>
        <w:rPr>
          <w:rFonts w:ascii="Times New Roman" w:hAnsi="Times New Roman"/>
          <w:sz w:val="24"/>
        </w:rPr>
        <w:br/>
      </w:r>
      <w:r w:rsidR="000C7B06">
        <w:rPr>
          <w:rFonts w:ascii="Times New Roman" w:hAnsi="Times New Roman"/>
          <w:sz w:val="24"/>
        </w:rPr>
        <w:t>"</w:t>
      </w:r>
      <w:r>
        <w:rPr>
          <w:rFonts w:ascii="Times New Roman" w:hAnsi="Times New Roman"/>
          <w:sz w:val="24"/>
        </w:rPr>
        <w:t>4) see, mil määral kasutatud ringlussevõtuprotsessis toodetud ringlussevõetud materjal moodustab rohkem kui 50% kogutud jäätmetest;</w:t>
      </w:r>
      <w:r>
        <w:rPr>
          <w:rFonts w:ascii="Times New Roman" w:hAnsi="Times New Roman"/>
          <w:sz w:val="24"/>
        </w:rPr>
        <w:br/>
      </w:r>
      <w:r w:rsidR="000C7B06">
        <w:rPr>
          <w:rFonts w:ascii="Times New Roman" w:hAnsi="Times New Roman"/>
          <w:sz w:val="24"/>
        </w:rPr>
        <w:t>"</w:t>
      </w:r>
      <w:r>
        <w:rPr>
          <w:rFonts w:ascii="Times New Roman" w:hAnsi="Times New Roman"/>
          <w:sz w:val="24"/>
        </w:rPr>
        <w:t>5) ringlussevõtu suutlikkus tööstuslikul tasandil ja praktikas, eelkõige tagades, et ringlussevõetud materjali kvaliteet on piisav, et tagada turustusvõimaluste jätkusuutlikkus, ning et ringlussevõtuahel suudab näidata piisavat suutlikkust võtta vastu tooteid, mida saab sellesse integreerida.</w:t>
      </w:r>
      <w:r>
        <w:rPr>
          <w:rFonts w:ascii="Times New Roman" w:hAnsi="Times New Roman"/>
          <w:sz w:val="24"/>
        </w:rPr>
        <w:br/>
        <w:t>Teave ringlussevõetavuse kohta tehakse tarbijale kättesaadavaks pealkirja „peamiselt ringlussevõetav toode“ või „peamiselt ringlussevõetavad pakendid“ all, kui need viis kriteeriumi on täidetud. Kui rakendatud ringlussevõtuprotsesside käigus toodetud ringlussevõetud materjal moodustab rohkem kui 95 % kogutud jäätmetest, võib kättesaadavaks tehtud teave sisaldada märget „täielikult ringlussevõetav toode“.</w:t>
      </w:r>
      <w:r>
        <w:rPr>
          <w:rFonts w:ascii="Times New Roman" w:hAnsi="Times New Roman"/>
          <w:sz w:val="24"/>
        </w:rPr>
        <w:br/>
        <w:t xml:space="preserve">" Ökoorganisatsioon, kellele nad on artikli L. 541-10 kohase laiendatud vastutuse kohustuse üle andnud, edastab selle tootjale, vajaduse korral koos vahendiga toote ringlussevõetavuse arvutamiseks vastavalt ühtlustatud meetodile. Kui tootja on loonud </w:t>
      </w:r>
      <w:r>
        <w:rPr>
          <w:rFonts w:ascii="Times New Roman" w:hAnsi="Times New Roman"/>
          <w:sz w:val="24"/>
        </w:rPr>
        <w:lastRenderedPageBreak/>
        <w:t>individuaalse laiendatud vastutuse süsteemi, määrab ta kindlaks tema vastutusalasse kuuluva teabe.</w:t>
      </w:r>
      <w:r>
        <w:rPr>
          <w:rFonts w:ascii="Times New Roman" w:hAnsi="Times New Roman"/>
          <w:sz w:val="24"/>
        </w:rPr>
        <w:br/>
        <w:t>" Kui ringlussevõtmise võimalus vastab materjalide ringlussevõtule, mis on enamasti valmistatud samaväärset laadi toodetesse, mis vastavad ühesugusele kasutusotstarbele ja otstarbele, ilma et materjali funktsionaalsus kaoks, võib tootja täiendada ringlussevõetavust käsitlevat teavet märkusega „sama liiki tootesse ringlussevõetav toode“ või „sama liiki pakendisse ringlussevõetav pakend“.</w:t>
      </w:r>
      <w:r>
        <w:rPr>
          <w:rFonts w:ascii="Times New Roman" w:hAnsi="Times New Roman"/>
          <w:sz w:val="24"/>
        </w:rPr>
        <w:br/>
        <w:t>" Artikli L. 541-10-1 lõigetes 1, 3, 4, 5, 6, 7, 10, 11, 12, 13, 14 ja 15 osutatud tootekategooriad on hõlmatud tarbijate teabega ringlussevõetavuse kohta.</w:t>
      </w:r>
      <w:r>
        <w:rPr>
          <w:rFonts w:ascii="Times New Roman" w:hAnsi="Times New Roman"/>
          <w:sz w:val="24"/>
        </w:rPr>
        <w:br/>
        <w:t>" VII. –Tarbijatele antav teave väärismetallide sisalduse kohta seoses nende ekstraheerimistingimuste keskkonnamõjuga hõlmab järgmisi metalle: kuld, hõbe, plaatina ja pallaadium.</w:t>
      </w:r>
      <w:r>
        <w:rPr>
          <w:rFonts w:ascii="Times New Roman" w:hAnsi="Times New Roman"/>
          <w:sz w:val="24"/>
        </w:rPr>
        <w:br/>
        <w:t>" Väärismetalle käsitlev teave tehakse kättesaadavaks artikli L. 541-10-1 punktides 5 ja 15 osutatud tootekategooriate kohta.</w:t>
      </w:r>
      <w:r>
        <w:rPr>
          <w:rFonts w:ascii="Times New Roman" w:hAnsi="Times New Roman"/>
          <w:sz w:val="24"/>
        </w:rPr>
        <w:br/>
        <w:t>" See teave esitatakse massina, tingimusel et see on suurem kui 1 milligramm, kas sõnadega „sisaldab vähemalt [X milligrammi] väärismetalle“ või märkega iga olemasoleva väärismetalli kohta, väljendatuna samas ühikus sisalduva miinimummassina, „sisaldab vähemalt [X milligrammi] kulda, hõbedat, plaatinat, pallaadiumi“.</w:t>
      </w:r>
      <w:r>
        <w:rPr>
          <w:rFonts w:ascii="Times New Roman" w:hAnsi="Times New Roman"/>
          <w:sz w:val="24"/>
        </w:rPr>
        <w:br/>
        <w:t>" VIII. - Tarbijale antav teave haruldaste muldmetallide olemasolu kohta, võttes arvesse nende kaevandamistingimuste keskkonnamõju, hõlmab järgmist: skandium, ütrium, lantaan, tseerium, praseodüüm, neodüüm, promeetium, samaarium, euroopium, gadoliinium, terbium, düsproosium, holmium, erbium, tuulium, üterbium ja luteetsium.</w:t>
      </w:r>
      <w:r>
        <w:rPr>
          <w:rFonts w:ascii="Times New Roman" w:hAnsi="Times New Roman"/>
          <w:sz w:val="24"/>
        </w:rPr>
        <w:br/>
        <w:t>" Haruldaste muldmetallidega seotud teave tehakse kättesaadavaks artikli L. 541-10-1 lõigetes 5 ja 15 osutatud tootekategooriate kohta.</w:t>
      </w:r>
      <w:r>
        <w:rPr>
          <w:rFonts w:ascii="Times New Roman" w:hAnsi="Times New Roman"/>
          <w:sz w:val="24"/>
        </w:rPr>
        <w:br/>
        <w:t>" Seda teavet väljendatakse massina, kui see on suurem kui 1 milligramm, kas sõnadega „sisaldab vähemalt [X milligrammi] haruldaste muldmetallide kohta“ või märkena iga haruldaste muldmetallide kohta, väljendatuna miinimummassina samas ühikus, kujul „sisaldab vähemalt [X milligrammi] skandiumi, ütriumi, lantaani, tseeriumi, praseodüümi, neodüümi, promeetiumi, samaariumi, euroopiumi, gadoliiniumi, terbiumi, düsproosiumi, holmiumi, erbiumi, tuuliumi, üterbiumi, luteetsiumi“.</w:t>
      </w:r>
      <w:r>
        <w:rPr>
          <w:rFonts w:ascii="Times New Roman" w:hAnsi="Times New Roman"/>
          <w:sz w:val="24"/>
        </w:rPr>
        <w:br/>
        <w:t>" IX. – Kui aine, segu või toote sisaldus aines, segus või tootes Euroopa Parlamendi ja nõukogu 18. detsembri 2006. aasta määruse (EÜ) nr 1907/2006, mis käsitleb keemiliste ainete registreerimist, hindamist ja autoriseerimist (REACH) (millega asutatakse Euroopa Kemikaaliamet), artikli 3 punktide 1, 2 ja 3 tähenduses on tarbija teavitamine ohtliku aine sisaldusest suurem kui 0,1 massiprotsenti, ning millega muudetakse direktiivi 1999/45/EÜ ja tunnistatakse kehtetuks nõukogu määrus (EMÜ) nr 793/93 ja komisjoni määrus (EÜ) nr 1488/94 ning samuti nõukogu direktiiv 76/769/EMÜ ja komisjoni direktiivid 91/155/EMÜ, 93/67/EMÜ, 93/105/EÜ ja 2000/21/EÜ, välja arvatud ravimid.</w:t>
      </w:r>
      <w:r>
        <w:rPr>
          <w:rFonts w:ascii="Times New Roman" w:hAnsi="Times New Roman"/>
          <w:sz w:val="24"/>
        </w:rPr>
        <w:br/>
        <w:t>" Eelmises punktis on „ohtlik aine“ mis tahes aine, mis on määratletud pärast artikli L. 541-9-1 viimases lõigus nimetatud riikliku toidu-, keskkonna- ja töötervishoiuameti arvamuse saamist, mis käsitleb jäätmeid tekitavates toodetes sisalduvate ohtlike ainete määratlemist.</w:t>
      </w:r>
      <w:r>
        <w:rPr>
          <w:rFonts w:ascii="Times New Roman" w:hAnsi="Times New Roman"/>
          <w:sz w:val="24"/>
        </w:rPr>
        <w:br/>
        <w:t>" See teave esitatakse sõnadega „sisaldab ohtlikku ainet“ või kui ohtlik aine on kantud eespool nimetatud 18. detsembri 2006. aasta määruse (EÜ) nr 1907/2006 artikli 59 lõikes 1 nimetatud ja artikli 59 lõike 10 kohaselt avaldatud loetellu, siis avaldusena „sisaldab väga ohtlikku ainet“. Teabele lisatakse iga olemasoleva ohtliku aine nimetus.</w:t>
      </w:r>
      <w:r>
        <w:rPr>
          <w:rFonts w:ascii="Times New Roman" w:hAnsi="Times New Roman"/>
          <w:sz w:val="24"/>
        </w:rPr>
        <w:br/>
        <w:t>" Seda teabe esitamise meetodit ei kohaldata siiski rahvatervise seadustiku artikli R. 5232-19 lõigetes 1 ja 2 nimetatud ainete suhtes, mille puhul kohaldatakse sama seadustiku artiklis R. 5232-20 nimetatud teavitamismeetodeid.</w:t>
      </w:r>
      <w:r>
        <w:rPr>
          <w:rFonts w:ascii="Times New Roman" w:hAnsi="Times New Roman"/>
          <w:sz w:val="24"/>
        </w:rPr>
        <w:br/>
      </w:r>
      <w:r>
        <w:rPr>
          <w:rFonts w:ascii="Times New Roman" w:hAnsi="Times New Roman"/>
          <w:sz w:val="24"/>
        </w:rPr>
        <w:lastRenderedPageBreak/>
        <w:t>" Teave tehakse kättesaadavaks hiljemalt kuus kuud pärast aine määratlemist ohtliku ainena.</w:t>
      </w:r>
      <w:r>
        <w:rPr>
          <w:rFonts w:ascii="Times New Roman" w:hAnsi="Times New Roman"/>
          <w:sz w:val="24"/>
        </w:rPr>
        <w:br/>
        <w:t>" X. – Artikli L. 541-10-1 lõikes 11 nimetatud toodete jälgitavust käsitlev tarbijateave tähendab selle riigi geograafilist tähist, kus tehakse peamiselt kõik järgmised toimingud, kui need on olemas:</w:t>
      </w:r>
      <w:r>
        <w:rPr>
          <w:rFonts w:ascii="Times New Roman" w:hAnsi="Times New Roman"/>
          <w:sz w:val="24"/>
        </w:rPr>
        <w:br/>
      </w:r>
      <w:r w:rsidR="000C7B06">
        <w:rPr>
          <w:rFonts w:ascii="Times New Roman" w:hAnsi="Times New Roman"/>
          <w:sz w:val="24"/>
        </w:rPr>
        <w:t>"</w:t>
      </w:r>
      <w:r>
        <w:rPr>
          <w:rFonts w:ascii="Times New Roman" w:hAnsi="Times New Roman"/>
          <w:sz w:val="24"/>
        </w:rPr>
        <w:t>1) kudumine;</w:t>
      </w:r>
      <w:r>
        <w:rPr>
          <w:rFonts w:ascii="Times New Roman" w:hAnsi="Times New Roman"/>
          <w:sz w:val="24"/>
        </w:rPr>
        <w:br/>
      </w:r>
      <w:r w:rsidR="000C7B06">
        <w:rPr>
          <w:rFonts w:ascii="Times New Roman" w:hAnsi="Times New Roman"/>
          <w:sz w:val="24"/>
        </w:rPr>
        <w:t>"</w:t>
      </w:r>
      <w:r>
        <w:rPr>
          <w:rFonts w:ascii="Times New Roman" w:hAnsi="Times New Roman"/>
          <w:sz w:val="24"/>
        </w:rPr>
        <w:t>2) värvimine ja trükkimine;</w:t>
      </w:r>
      <w:r>
        <w:rPr>
          <w:rFonts w:ascii="Times New Roman" w:hAnsi="Times New Roman"/>
          <w:sz w:val="24"/>
        </w:rPr>
        <w:br/>
      </w:r>
      <w:r w:rsidR="000C7B06">
        <w:rPr>
          <w:rFonts w:ascii="Times New Roman" w:hAnsi="Times New Roman"/>
          <w:sz w:val="24"/>
        </w:rPr>
        <w:t>"</w:t>
      </w:r>
      <w:r>
        <w:rPr>
          <w:rFonts w:ascii="Times New Roman" w:hAnsi="Times New Roman"/>
          <w:sz w:val="24"/>
        </w:rPr>
        <w:t>3) rätsepatöö.</w:t>
      </w:r>
      <w:r>
        <w:rPr>
          <w:rFonts w:ascii="Times New Roman" w:hAnsi="Times New Roman"/>
          <w:sz w:val="24"/>
        </w:rPr>
        <w:br/>
        <w:t>" Artikli L. 541-10-1 punkti 11 kuuluvate jalatsite puhul on need toimingud järgmised:</w:t>
      </w:r>
      <w:r>
        <w:rPr>
          <w:rFonts w:ascii="Times New Roman" w:hAnsi="Times New Roman"/>
          <w:sz w:val="24"/>
        </w:rPr>
        <w:br/>
      </w:r>
      <w:r w:rsidR="000C7B06">
        <w:rPr>
          <w:rFonts w:ascii="Times New Roman" w:hAnsi="Times New Roman"/>
          <w:sz w:val="24"/>
        </w:rPr>
        <w:t>"</w:t>
      </w:r>
      <w:r>
        <w:rPr>
          <w:rFonts w:ascii="Times New Roman" w:hAnsi="Times New Roman"/>
          <w:sz w:val="24"/>
        </w:rPr>
        <w:t>1) õmblemine;</w:t>
      </w:r>
      <w:r>
        <w:rPr>
          <w:rFonts w:ascii="Times New Roman" w:hAnsi="Times New Roman"/>
          <w:sz w:val="24"/>
        </w:rPr>
        <w:br/>
      </w:r>
      <w:r w:rsidR="000C7B06">
        <w:rPr>
          <w:rFonts w:ascii="Times New Roman" w:hAnsi="Times New Roman"/>
          <w:sz w:val="24"/>
        </w:rPr>
        <w:t>"</w:t>
      </w:r>
      <w:r>
        <w:rPr>
          <w:rFonts w:ascii="Times New Roman" w:hAnsi="Times New Roman"/>
          <w:sz w:val="24"/>
        </w:rPr>
        <w:t>2) paigaldus;</w:t>
      </w:r>
      <w:r>
        <w:rPr>
          <w:rFonts w:ascii="Times New Roman" w:hAnsi="Times New Roman"/>
          <w:sz w:val="24"/>
        </w:rPr>
        <w:br/>
      </w:r>
      <w:r w:rsidR="000C7B06">
        <w:rPr>
          <w:rFonts w:ascii="Times New Roman" w:hAnsi="Times New Roman"/>
          <w:sz w:val="24"/>
        </w:rPr>
        <w:t>"</w:t>
      </w:r>
      <w:r>
        <w:rPr>
          <w:rFonts w:ascii="Times New Roman" w:hAnsi="Times New Roman"/>
          <w:sz w:val="24"/>
        </w:rPr>
        <w:t>3) viimistlus.</w:t>
      </w:r>
      <w:r>
        <w:rPr>
          <w:rFonts w:ascii="Times New Roman" w:hAnsi="Times New Roman"/>
          <w:sz w:val="24"/>
        </w:rPr>
        <w:br/>
        <w:t>" See teave esitatakse iga etapi kohta viitena riigile, kus toiming tehti.</w:t>
      </w:r>
      <w:r>
        <w:rPr>
          <w:rFonts w:ascii="Times New Roman" w:hAnsi="Times New Roman"/>
          <w:sz w:val="24"/>
        </w:rPr>
        <w:br/>
        <w:t>" XI. – Tarbijateavet, mis on seotud plastist mikrokiudude olemasoluga artikli L. 541-10-1 punktis 11 nimetatud toodetes, esitatakse tootes sisalduvate sünteetiliste kiudude proportsionaalse massina. See teave tehakse kättesaadavaks, kui sünteetiliste kiudude osakaal ületab 50%.</w:t>
      </w:r>
      <w:r>
        <w:rPr>
          <w:rFonts w:ascii="Times New Roman" w:hAnsi="Times New Roman"/>
          <w:sz w:val="24"/>
        </w:rPr>
        <w:br/>
        <w:t>" Seda väljendatakse sõnadega „plastist mikrokiudude eraldumine keskkonda pesemise ajal“.</w:t>
      </w:r>
    </w:p>
    <w:p w14:paraId="585F1B79" w14:textId="77777777" w:rsidR="00D95325" w:rsidRPr="00D95325" w:rsidRDefault="00D95325" w:rsidP="00D95325">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 Artikkel R. 541-222. - Tootja, importija või muu isik, kes laseb turule artiklis R.541-221 osutatud tooteid, teeb kättesaadavaks teabe nende toodete või tootekategooriate keskkonnaomaduste ja -näitajate ning artiklis L. 541-10-3 osutatud lisatasude ja karistuste kohta, mida tootja maksab keskkonnaseisundi kriteeriumide alusel. Teave peab olema kättesaadav paberivabas vormingus, ostu sooritamise ajal tasuta kättesaadav ja korduskasutatav viisil, mis võimaldab koondamist. Selleks teeb tootja või importija iga artiklis R. 541-221 nimetatud toote kohta kättesaadavaks teabe, mis on esitatud spetsiaalsel veebisaidil või veebilehel, mis sisaldab lehte pealkirjaga „Toote kvaliteedi ja keskkonnaomadustega seotud leht“, et võimaldada otseseid teadusuuringuid ja päringuid internetis ning andmete väljavõtte tegemist esitatud teabe võimalikuks automaatseks töötlemiseks.</w:t>
      </w:r>
      <w:r>
        <w:rPr>
          <w:rFonts w:ascii="Times New Roman" w:hAnsi="Times New Roman"/>
          <w:sz w:val="24"/>
        </w:rPr>
        <w:br/>
        <w:t>" Artikli R. 541-221 IX punktis nimetatud ainete puhul võib sellise teabe esitada keskkonnaministri määrusega määratud avaldusega. Kui teave esitatakse taotluse kaudu ja kui tuleb luua spetsiaalne veebisait või veebileht, millel on vähemalt üks muu kvaliteedi- või keskkonnanäitaja, tuleb sellel veebisaidil või sellel lehel märkida, et teave ohtlike ainete kohta on esitatud taotluse kaudu, ning lisada sellele otsene internetilink.</w:t>
      </w:r>
      <w:r>
        <w:rPr>
          <w:rFonts w:ascii="Times New Roman" w:hAnsi="Times New Roman"/>
          <w:sz w:val="24"/>
        </w:rPr>
        <w:br/>
        <w:t>„Keskkonnaministri dekreedis täpsustatakse vajaduse korral artiklis R. 541-21 nimetatud toodete keskkonnaomadusi ja -omadusi käsitlevate veebisaitide või veebilehtede tehnilised omadused ja esitusviisid.</w:t>
      </w:r>
      <w:r>
        <w:rPr>
          <w:rFonts w:ascii="Times New Roman" w:hAnsi="Times New Roman"/>
          <w:sz w:val="24"/>
        </w:rPr>
        <w:br/>
        <w:t>" Artiklis R. 541-221 nimetatud teabe esitamise kohustus kehtib kaks aastat pärast vaatlusaluse toote viimase ühiku turule laskmist.</w:t>
      </w:r>
      <w:r>
        <w:rPr>
          <w:rFonts w:ascii="Times New Roman" w:hAnsi="Times New Roman"/>
          <w:sz w:val="24"/>
        </w:rPr>
        <w:br/>
        <w:t>" Igasugune teave keskkonnaomaduste ja -omaduste kohta, mis esitatakse materjalile vabatahtlikult, peab vastama artikli R. 541-221 sätetele.</w:t>
      </w:r>
      <w:r>
        <w:rPr>
          <w:rFonts w:ascii="Times New Roman" w:hAnsi="Times New Roman"/>
          <w:sz w:val="24"/>
        </w:rPr>
        <w:br/>
        <w:t>" Käesolevas artiklis määratletud teavitamismeetodeid ei kohaldata artikli R. 541-221 I ja IV osas nimetatud keskkonnaomaduste ja -näitajate suhtes.</w:t>
      </w:r>
    </w:p>
    <w:p w14:paraId="53ADCE18" w14:textId="77777777" w:rsidR="00D95325" w:rsidRPr="00D95325" w:rsidRDefault="00D95325" w:rsidP="00D95325">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 xml:space="preserve">" Artikkel R. 541-223. - Tarbijale mõeldud uuele tootele või pakendile on keelatud lisada </w:t>
      </w:r>
      <w:r>
        <w:rPr>
          <w:rFonts w:ascii="Times New Roman" w:hAnsi="Times New Roman"/>
          <w:sz w:val="24"/>
        </w:rPr>
        <w:lastRenderedPageBreak/>
        <w:t>sõnu „biolagunev“, „keskkonnasõbralik“ või mis tahes muud samaväärset keskkonnaalast väidet.“</w:t>
      </w:r>
    </w:p>
    <w:p w14:paraId="4DC84017" w14:textId="77777777" w:rsidR="00D95325" w:rsidRPr="00D95325" w:rsidRDefault="00D95325" w:rsidP="00D95325">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Artikkel 2</w:t>
      </w:r>
    </w:p>
    <w:p w14:paraId="164F963D" w14:textId="77777777" w:rsidR="00D95325" w:rsidRPr="00D95325" w:rsidRDefault="00D95325" w:rsidP="00D95325">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Rahvatervise seadustiku artikli R. 5232-20 esimeses lõigus on sõnastatud: „eriotstarbelisel veebilehel“ asendatakse järgmisega: „spetsiaalsel veebisaidil või veebilehel“ ja sõnastus: „ja rakenduse programmeerimisliidese lisamine“ jäetakse välja.</w:t>
      </w:r>
    </w:p>
    <w:p w14:paraId="06435A83" w14:textId="77777777" w:rsidR="00D95325" w:rsidRPr="00D95325" w:rsidRDefault="00D95325" w:rsidP="00D95325">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Artikkel 3</w:t>
      </w:r>
    </w:p>
    <w:p w14:paraId="60F3F77B" w14:textId="77777777" w:rsidR="00D95325" w:rsidRPr="00D95325" w:rsidRDefault="00D95325" w:rsidP="00D95325">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I.- Keskkonnaseadustiku artikleid R. 541-220 kuni R. 541-222, mida on muudetud käesoleva dekreedi artikliga 1, kohaldatakse:</w:t>
      </w:r>
      <w:r>
        <w:rPr>
          <w:rFonts w:ascii="Times New Roman" w:hAnsi="Times New Roman"/>
          <w:sz w:val="24"/>
        </w:rPr>
        <w:br/>
        <w:t>(1) Alates 1. jaanuarist 2023 tootjatele, importijatele ja muudele turule laskvatele üksustele, kes deklareerivad artiklis R. 541-221 osutatud toodete puhul, et nende aastakäive ületab 50 miljonit eurot, ning vastutavad igal aastal vähemalt 25 000 ühiku siseriiklikule turule laskmise eest. Neid sätteid ei kohaldata siiski toodete suhtes, mille viimane seade on turule lastud ajavahemikus 1. jaanuarist kuni 31. märtsini 2023;</w:t>
      </w:r>
      <w:r>
        <w:rPr>
          <w:rFonts w:ascii="Times New Roman" w:hAnsi="Times New Roman"/>
          <w:sz w:val="24"/>
        </w:rPr>
        <w:br/>
        <w:t>(2) Alates 1. jaanuarist 2024 tootjatele, importijatele ja mis tahes muule turule laskmisele, kes deklareerivad artiklis R. 541-221 osutatud toodete puhul, et nad lasevad siseriiklikule turule aastakäibe üle 20 miljoni euro ja vastutavad igal aastal vähemalt 10 000 ühiku nende toodete siseriiklikule turule laskmise eest.</w:t>
      </w:r>
      <w:r>
        <w:rPr>
          <w:rFonts w:ascii="Times New Roman" w:hAnsi="Times New Roman"/>
          <w:sz w:val="24"/>
        </w:rPr>
        <w:br/>
        <w:t>(3) Alates 1. jaanuarist 2025 tootjatele, importijatele ja mis tahes muule turule laskmisele, kes deklareerivad artiklis R. 541-221 osutatud toodete puhul, et nad lasevad siseriiklikule turule aastakäibe, mis ületab 10 miljonit eurot, ning vastutavad igal aastal vähemalt 10 000 ühiku nende toodete siseriiklikule turule laskmise eest.</w:t>
      </w:r>
      <w:r>
        <w:rPr>
          <w:rFonts w:ascii="Times New Roman" w:hAnsi="Times New Roman"/>
          <w:sz w:val="24"/>
        </w:rPr>
        <w:br/>
        <w:t>II. – Ilma et see piiraks I sätete kohaldamist, kohaldatakse keskkonnaseadustiku artikleid R. 541-220 kuni R. 541-222, mida on muudetud käesoleva dekreedi artikliga 1, keskkonnaseadustiku artikli L. 541-10-1 lõigetes 4 ja 12–15 nimetatud toodete suhtes alates 1. jaanuarist 2024.</w:t>
      </w:r>
      <w:r>
        <w:rPr>
          <w:rFonts w:ascii="Times New Roman" w:hAnsi="Times New Roman"/>
          <w:sz w:val="24"/>
        </w:rPr>
        <w:br/>
        <w:t>III. – Keskkonnaseadustiku artikkel R. 541-223 käesoleva dekreedi artiklist 1 tulenevas sõnastuses jõustub järgmisel päeval pärast käesoleva dekreedi avaldamist. Toodete või pakendite suhtes, mille suhtes määrust kohaldatakse, kohaldatakse varude realiseerimise aega kuni 1. jaanuarini 2023, tingimusel et need on toodetud või imporditud enne käesoleva dekreedi avaldamise kuupäeva.</w:t>
      </w:r>
    </w:p>
    <w:p w14:paraId="0A6A03C0" w14:textId="77777777" w:rsidR="00D95325" w:rsidRPr="00D95325" w:rsidRDefault="00D95325" w:rsidP="00D95325">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Artikkel 4</w:t>
      </w:r>
    </w:p>
    <w:p w14:paraId="201E9CF7" w14:textId="77777777" w:rsidR="00D95325" w:rsidRPr="00D95325" w:rsidRDefault="00D95325" w:rsidP="00D95325">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Ökoloogilise ülemineku minister ning majandus-, rahandus- ja majanduse taastamise minister vastutavad igaüks oma vastutusalas selle dekreedi rakendamise eest, mis avaldatakse Prantsuse Vabariigi ametlikus väljaandes.</w:t>
      </w:r>
    </w:p>
    <w:p w14:paraId="51787CC2" w14:textId="77777777" w:rsidR="00D95325" w:rsidRPr="00D95325" w:rsidRDefault="00D95325" w:rsidP="00D95325">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Allkirjastatud 29. aprillil 2022.</w:t>
      </w:r>
    </w:p>
    <w:p w14:paraId="1656EDD4" w14:textId="77777777" w:rsidR="00D95325" w:rsidRPr="00D95325" w:rsidRDefault="00D95325" w:rsidP="00D95325">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lastRenderedPageBreak/>
        <w:br/>
        <w:t>Jean Castex</w:t>
      </w:r>
      <w:r>
        <w:rPr>
          <w:rFonts w:ascii="Times New Roman" w:hAnsi="Times New Roman"/>
          <w:sz w:val="24"/>
        </w:rPr>
        <w:br/>
        <w:t>Peaministri nimel:</w:t>
      </w:r>
    </w:p>
    <w:p w14:paraId="1FEE9F35" w14:textId="77777777" w:rsidR="00D95325" w:rsidRPr="00D95325" w:rsidRDefault="00D95325" w:rsidP="00D95325">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ökoloogilise ülemineku minister</w:t>
      </w:r>
      <w:r>
        <w:rPr>
          <w:rFonts w:ascii="Times New Roman" w:hAnsi="Times New Roman"/>
          <w:sz w:val="24"/>
        </w:rPr>
        <w:br/>
        <w:t>Barbara Pompili</w:t>
      </w:r>
    </w:p>
    <w:p w14:paraId="205E68C8" w14:textId="77777777" w:rsidR="00D95325" w:rsidRPr="00D95325" w:rsidRDefault="00D95325" w:rsidP="00D95325">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majandus-, rahandus- ja majanduse taastamise minister</w:t>
      </w:r>
      <w:r>
        <w:rPr>
          <w:rFonts w:ascii="Times New Roman" w:hAnsi="Times New Roman"/>
          <w:sz w:val="24"/>
        </w:rPr>
        <w:br/>
        <w:t>Bruno Le Maire</w:t>
      </w:r>
    </w:p>
    <w:p w14:paraId="60E680CB" w14:textId="77777777" w:rsidR="004D07E1" w:rsidRDefault="004D07E1"/>
    <w:sectPr w:rsidR="004D07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325"/>
    <w:rsid w:val="000C7B06"/>
    <w:rsid w:val="004D07E1"/>
    <w:rsid w:val="00D836B5"/>
    <w:rsid w:val="00D953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F0288"/>
  <w15:chartTrackingRefBased/>
  <w15:docId w15:val="{72FC3528-9F73-4D0D-B45E-BB9F1E367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752684">
      <w:bodyDiv w:val="1"/>
      <w:marLeft w:val="0"/>
      <w:marRight w:val="0"/>
      <w:marTop w:val="0"/>
      <w:marBottom w:val="0"/>
      <w:divBdr>
        <w:top w:val="none" w:sz="0" w:space="0" w:color="auto"/>
        <w:left w:val="none" w:sz="0" w:space="0" w:color="auto"/>
        <w:bottom w:val="none" w:sz="0" w:space="0" w:color="auto"/>
        <w:right w:val="none" w:sz="0" w:space="0" w:color="auto"/>
      </w:divBdr>
      <w:divsChild>
        <w:div w:id="917861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2311</Words>
  <Characters>16553</Characters>
  <Application>Microsoft Office Word</Application>
  <DocSecurity>0</DocSecurity>
  <Lines>290</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Secrétariat Général</Company>
  <LinksUpToDate>false</LinksUpToDate>
  <CharactersWithSpaces>18841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class='Internal'</cp:keywords>
  <dc:description/>
  <cp:lastModifiedBy>Ines Varvodic</cp:lastModifiedBy>
  <cp:revision>2</cp:revision>
  <dcterms:created xsi:type="dcterms:W3CDTF">2022-08-12T13:12:00Z</dcterms:created>
  <dcterms:modified xsi:type="dcterms:W3CDTF">2022-08-12T13:12:00Z</dcterms:modified>
</cp:coreProperties>
</file>