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74" w:rsidRPr="0009191E" w:rsidRDefault="00CA0774" w:rsidP="00CA0774">
      <w:pPr>
        <w:spacing w:line="360" w:lineRule="auto"/>
        <w:jc w:val="center"/>
        <w:rPr>
          <w:rFonts w:ascii="Courier New" w:hAnsi="Courier New" w:cs="Courier New"/>
          <w:sz w:val="20"/>
        </w:rPr>
      </w:pPr>
      <w:r>
        <w:rPr>
          <w:rFonts w:ascii="Courier New" w:hAnsi="Courier New"/>
          <w:sz w:val="20"/>
        </w:rPr>
        <w:t>1. ------IND- 2019 0551 HU- IT-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Ministro dell'Agricoltura</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Decreto n. .../2019 del ...</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sulla</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modifica del decreto del ministro dell'Agricoltura e dello sviluppo rurale n. 152/2009, del 12 novembre 2009, sui requisiti obbligatori del codice alimentare ungherese</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In applicazione dell'autorità conferitami ai sensi dell'articolo 76, paragrafo 2, comma 5, della legge XLVI del 2008 sulla catena alimentare e la sua supervisione ufficiale, e nell'esercizio delle mie funzioni a norma dell'articolo 79, paragrafo 4, del decreto governativo n. 94/2018 del 22 maggio 2018 sui poteri e sulle responsabilità dei membri del governo, decreto quanto segue:</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Articolo 1</w:t>
      </w:r>
    </w:p>
    <w:p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seguente lettera e) è inserita all'articolo 1, paragrafo 3, del decreto del ministro dell'Agricoltura e dello sviluppo rurale n. 152/2009, del 12 novembre 2009, sui requisiti obbligatori del codice alimentare ungherese (di seguito indicato come "R"):</w:t>
      </w: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[I requisiti obbligatori del volume I del codice alimentare ungherese contenenti le descrizioni dei prodotti nazionali si stabiliscono nel seguente allegato del presente decreto:]</w:t>
      </w: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"e) </w:t>
      </w:r>
      <w:r>
        <w:rPr>
          <w:rFonts w:ascii="Times New Roman" w:hAnsi="Times New Roman"/>
          <w:i/>
          <w:color w:val="000000"/>
          <w:sz w:val="24"/>
        </w:rPr>
        <w:t>allegato 41</w:t>
      </w:r>
      <w:r>
        <w:rPr>
          <w:rFonts w:ascii="Times New Roman" w:hAnsi="Times New Roman"/>
          <w:color w:val="000000"/>
          <w:sz w:val="24"/>
        </w:rPr>
        <w:t xml:space="preserve"> relativo alla paprica macinata affumicata."</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Articolo 2</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Il seguente paragrafo 16 è aggiunto all'articolo 2 dell'R:</w:t>
      </w: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 xml:space="preserve">"(16) I prodotti non conformi alle disposizioni dell'allegato 41 istituito dal decreto del ministro dell'Agricoltura .../2019 del ... sulla modifica del decreto del ministro dell'Agricoltura e dello sviluppo rurale 152/2009, del 12 novembre 2009, (di seguito indicato come </w:t>
      </w:r>
      <w:r w:rsidR="00AF2003">
        <w:rPr>
          <w:rFonts w:ascii="Times New Roman" w:hAnsi="Times New Roman"/>
          <w:color w:val="000000"/>
          <w:sz w:val="24"/>
        </w:rPr>
        <w:t>"</w:t>
      </w:r>
      <w:r>
        <w:rPr>
          <w:rFonts w:ascii="Times New Roman" w:hAnsi="Times New Roman"/>
          <w:color w:val="000000"/>
          <w:sz w:val="24"/>
        </w:rPr>
        <w:t>MódR6</w:t>
      </w:r>
      <w:r w:rsidR="00AF2003">
        <w:rPr>
          <w:rFonts w:ascii="Times New Roman" w:hAnsi="Times New Roman"/>
          <w:color w:val="000000"/>
          <w:sz w:val="24"/>
        </w:rPr>
        <w:t>"</w:t>
      </w:r>
      <w:bookmarkStart w:id="0" w:name="_GoBack"/>
      <w:bookmarkEnd w:id="0"/>
      <w:r>
        <w:rPr>
          <w:rFonts w:ascii="Times New Roman" w:hAnsi="Times New Roman"/>
          <w:color w:val="000000"/>
          <w:sz w:val="24"/>
        </w:rPr>
        <w:t>) possono essere fabbricati per due anni dopo l'entrata in vigore del MódR6 e possono essere distribuiti fino alla data di durabilità minima."</w:t>
      </w: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Articolo 3</w:t>
      </w:r>
    </w:p>
    <w:p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L'articolo 6 seguente è aggiunto all'R:</w:t>
      </w:r>
    </w:p>
    <w:p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"Articolo 6. È stato rispettato il requisito di notifica preliminare dei progetti dell'allegato 41 del presente decreto, come previsto dagli articoli da 5 a 7 della direttiva (UE) 2015/1535 del Parlamento europeo e del Consiglio, del 9 settembre 2015, che prevede una procedura d'informazione nel settore delle regolamentazioni tecniche e delle regole relative ai servizi della società dell'informazione."</w:t>
      </w:r>
    </w:p>
    <w:p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lastRenderedPageBreak/>
        <w:t>Articolo 4</w:t>
      </w:r>
    </w:p>
    <w:p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L'allegato 41 come descritto all'allegato 1 è aggiunto all'R:</w:t>
      </w:r>
    </w:p>
    <w:p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Articolo 5</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Il presente decreto entra in vigore il terzo giorno successivo alla sua pubblicazione.</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Articolo 6</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Il presente progetto di decreto è stato notificato a norma degli articoli da 5 a 7 della direttiva (UE) 2015/1535 del Parlamento europeo e del Consiglio, del 9 settembre 2015, che prevede una procedura d'informazione nel settore delle regolamentazioni tecniche e delle regole relative ai servizi della società dell'informazione.</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Budapest, [giorno] [mese] 2019…</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Dr.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Ministro dell'Agricoltura</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lastRenderedPageBreak/>
        <w:t>Allegato 1 al decreto del ministro dell’Agricoltura n. .../2019 del ...</w:t>
      </w:r>
    </w:p>
    <w:p w:rsidR="00150DE4" w:rsidRDefault="00150DE4" w:rsidP="0045040A">
      <w:pPr>
        <w:keepNext/>
        <w:keepLines/>
        <w:spacing w:after="0" w:line="240" w:lineRule="auto"/>
        <w:rPr>
          <w:rFonts w:ascii="Times New Roman" w:hAnsi="Times New Roman" w:cs="Times New Roman"/>
          <w:i/>
          <w:sz w:val="24"/>
          <w:szCs w:val="24"/>
        </w:rPr>
      </w:pPr>
    </w:p>
    <w:p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Pr>
          <w:rFonts w:ascii="Times New Roman" w:hAnsi="Times New Roman"/>
          <w:i/>
          <w:sz w:val="24"/>
        </w:rPr>
        <w:t>"Allegato 41 del decreto del ministro dell'Agricoltura e dello sviluppo rurale n. 152/2009, del 12 novembre 2009</w:t>
      </w:r>
    </w:p>
    <w:p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Regolamento n. 1-3/18-1 del codice alimentare ungherese sulla paprica macinata affumicata</w:t>
      </w:r>
    </w:p>
    <w:p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Parte A</w:t>
      </w:r>
    </w:p>
    <w:p w:rsidR="00B94390" w:rsidRPr="00562311" w:rsidRDefault="00B94390" w:rsidP="0045040A">
      <w:pPr>
        <w:pStyle w:val="Default"/>
        <w:keepNext/>
        <w:keepLines/>
        <w:jc w:val="center"/>
        <w:rPr>
          <w:b/>
          <w:sz w:val="26"/>
          <w:szCs w:val="26"/>
        </w:rPr>
      </w:pPr>
      <w:r>
        <w:rPr>
          <w:b/>
          <w:sz w:val="26"/>
        </w:rPr>
        <w:t>DISPOSIZIONI GENERALI</w:t>
      </w:r>
    </w:p>
    <w:p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In base all'articolo 66, paragrafo 1, della legge XLVI del 2008 sulla catena alimentare e sulla sua supervisione ufficiale, il presente regolamento definisce i requisiti dei prodotti fabbricati mediante affumicatura e macinazione del frutto maturo secco delle piante </w:t>
      </w:r>
      <w:r>
        <w:rPr>
          <w:rFonts w:ascii="Times New Roman" w:hAnsi="Times New Roman"/>
          <w:i/>
          <w:sz w:val="24"/>
        </w:rPr>
        <w:t>Capsicum annuum</w:t>
      </w:r>
      <w:r>
        <w:rPr>
          <w:rFonts w:ascii="Times New Roman" w:hAnsi="Times New Roman"/>
          <w:sz w:val="24"/>
        </w:rPr>
        <w:t xml:space="preserve"> L. var. longum DC appartenenti alla famiglia delle solanacee.</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La norma non si applica alla paprica macinata con una denominazione di origine protetta ai sensi del regolamento (UE) n. 1151/2012 del Parlamento europeo e del Consiglio, del 21 novembre 2012, sui regimi di qualità dei prodotti agricoli e alimentari.</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L'espressione "paprica macinata affumicata" definita nel regolamento può essere applicata solo se il prodotto soddisfa i requisiti stabiliti nel regolamento stesso.</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I parametri di qualità definiti nel regolamento sono stati stabiliti utilizzando i metodi di ispezione registrati nell'allegato al regolamento, pertanto, previa verifica dei parametri, si dovranno applicare i metodi di ispezione ivi definiti o equivalenti.</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I prodotti fabbricati o immessi sul mercato in uno Stato membro dell'Unione europea o in Turchia oppure prodotti in uno Stato dell'AELS che è parte contraente dell'accordo sullo Spazio economico europeo sono esentati, in conformità della normativa nazionale applicabile, dall'obbligo di soddisfare le disposizioni tecniche definite nel presente regolamento, a condizione che le disposizioni in materia di protezione dei consumatori offrano un livello di protezione equivalente a quelle di cui al presente regolamento.</w:t>
      </w:r>
    </w:p>
    <w:p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Ai fini del presente regolamento valgono le seguenti definizioni:</w:t>
      </w:r>
    </w:p>
    <w:p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Buccia:</w:t>
      </w:r>
      <w:r>
        <w:rPr>
          <w:rFonts w:ascii="Times New Roman" w:hAnsi="Times New Roman"/>
          <w:sz w:val="24"/>
        </w:rPr>
        <w:t xml:space="preserve"> il pericarpo del frutto del peperone che contiene il pigmento.</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Fusto: </w:t>
      </w:r>
      <w:r>
        <w:rPr>
          <w:rFonts w:ascii="Times New Roman" w:hAnsi="Times New Roman"/>
          <w:sz w:val="24"/>
        </w:rPr>
        <w:t>una formazione verde derivante dalla fusione del peduncolo e dei sepali.</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Affumicatura: </w:t>
      </w:r>
      <w:r>
        <w:rPr>
          <w:rFonts w:ascii="Times New Roman" w:hAnsi="Times New Roman"/>
          <w:sz w:val="24"/>
        </w:rPr>
        <w:t>un'operazione volta a conferire al prodotto un gusto e un colore affumicati e a stabilire il carattere del prodotto usando il fumo. L'affumicatura è ottenuta dalla combustione diretta e imperfetta del legno duro. L'affumicatura si può effettuare nelle seguenti modalità:</w:t>
      </w:r>
    </w:p>
    <w:p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Affumicatura a fumo freddo:</w:t>
      </w:r>
      <w:r>
        <w:rPr>
          <w:rFonts w:ascii="Times New Roman" w:hAnsi="Times New Roman"/>
          <w:sz w:val="24"/>
        </w:rPr>
        <w:t xml:space="preserve"> viene effettuata a temperature non superiori a 40 °C. A seconda della durata dell'affumicatura, può essere:</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i/>
          <w:sz w:val="24"/>
        </w:rPr>
        <w:t>affumicatura lunga tradizionale a freddo</w:t>
      </w:r>
      <w:r>
        <w:rPr>
          <w:rFonts w:ascii="Times New Roman" w:hAnsi="Times New Roman"/>
          <w:sz w:val="24"/>
        </w:rPr>
        <w:t>, nel corso della quale il prodotto è affumicato periodicamente con fumo diluito molto leggero per un periodo prolungato;</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lastRenderedPageBreak/>
        <w:t xml:space="preserve">3.1.2. </w:t>
      </w:r>
      <w:r>
        <w:rPr>
          <w:rFonts w:ascii="Times New Roman" w:hAnsi="Times New Roman"/>
          <w:i/>
          <w:sz w:val="24"/>
        </w:rPr>
        <w:t>affumicatura breve a freddo</w:t>
      </w:r>
      <w:r>
        <w:rPr>
          <w:rFonts w:ascii="Times New Roman" w:hAnsi="Times New Roman"/>
          <w:sz w:val="24"/>
        </w:rPr>
        <w:t>, nel corso della quale il prodotto, per ottenere l'arrossamento adeguato, è affumicato con fumo freddo denso per alcuni giorni.</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Affumicatura a caldo:</w:t>
      </w:r>
      <w:r>
        <w:rPr>
          <w:rFonts w:ascii="Times New Roman" w:hAnsi="Times New Roman"/>
          <w:sz w:val="24"/>
        </w:rPr>
        <w:t xml:space="preserve"> viene effettuata a temperature comprese tra 40 e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Peperone:</w:t>
      </w:r>
      <w:r>
        <w:rPr>
          <w:rFonts w:ascii="Times New Roman" w:hAnsi="Times New Roman"/>
          <w:sz w:val="24"/>
        </w:rPr>
        <w:t xml:space="preserve"> piante </w:t>
      </w:r>
      <w:r>
        <w:rPr>
          <w:rFonts w:ascii="Times New Roman" w:hAnsi="Times New Roman"/>
          <w:i/>
          <w:sz w:val="24"/>
        </w:rPr>
        <w:t>Capsicum annuum</w:t>
      </w:r>
      <w:r>
        <w:rPr>
          <w:rFonts w:ascii="Times New Roman" w:hAnsi="Times New Roman"/>
          <w:sz w:val="24"/>
        </w:rPr>
        <w:t xml:space="preserve"> L. var. </w:t>
      </w:r>
      <w:r>
        <w:rPr>
          <w:rFonts w:ascii="Times New Roman" w:hAnsi="Times New Roman"/>
          <w:i/>
          <w:sz w:val="24"/>
        </w:rPr>
        <w:t>longum</w:t>
      </w:r>
      <w:r>
        <w:rPr>
          <w:rFonts w:ascii="Times New Roman" w:hAnsi="Times New Roman"/>
          <w:sz w:val="24"/>
        </w:rPr>
        <w:t xml:space="preserve"> DC, fresche o essiccate, appartenenti alla famiglia delle</w:t>
      </w:r>
      <w:r>
        <w:rPr>
          <w:rFonts w:ascii="Times New Roman" w:hAnsi="Times New Roman"/>
          <w:i/>
          <w:sz w:val="24"/>
        </w:rPr>
        <w:t xml:space="preserve"> solanacee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Aroma:</w:t>
      </w:r>
      <w:r>
        <w:rPr>
          <w:rFonts w:ascii="Times New Roman" w:hAnsi="Times New Roman"/>
          <w:sz w:val="24"/>
        </w:rPr>
        <w:t xml:space="preserve"> l'aroma, l'armonia olfattiva e la speziatura del campione preparato rilevabili tramite l'olfatto.</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Gusto:</w:t>
      </w:r>
      <w:r>
        <w:rPr>
          <w:rFonts w:ascii="Times New Roman" w:hAnsi="Times New Roman"/>
          <w:sz w:val="24"/>
        </w:rPr>
        <w:t xml:space="preserve"> il sapore, la piccantezza, l'armonia gustativa e l'asprezza che possono essere determinati assaggiando il campione per via orale.</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Tenore totale di capsaicina: </w:t>
      </w:r>
      <w:r>
        <w:rPr>
          <w:rFonts w:ascii="Times New Roman" w:hAnsi="Times New Roman"/>
          <w:sz w:val="24"/>
        </w:rPr>
        <w:t>la somma del contenuto di capsaicina e diidrocapsaicina.</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Aspetto esterno: </w:t>
      </w:r>
      <w:r>
        <w:rPr>
          <w:rFonts w:ascii="Times New Roman" w:hAnsi="Times New Roman"/>
          <w:sz w:val="24"/>
        </w:rPr>
        <w:t>la somma di tutte le proprietà visive (visibili), in particolare la finezza e l'uniformità della macinazione.</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Mosaicità: </w:t>
      </w:r>
      <w:r>
        <w:rPr>
          <w:rFonts w:ascii="Times New Roman" w:hAnsi="Times New Roman"/>
          <w:sz w:val="24"/>
        </w:rPr>
        <w:t>la presenza di pezzi molto distinti di parti del frutto (buccia, seme, fusto) sulla superficie levigata visibile ad occhio nudo.</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Colore: </w:t>
      </w:r>
      <w:r>
        <w:rPr>
          <w:rFonts w:ascii="Times New Roman" w:hAnsi="Times New Roman"/>
          <w:sz w:val="24"/>
        </w:rPr>
        <w:t>la percezione del colore del campione preparato da parte del valutatore, integrata da un esame della tonalità e della chiarezza in luce naturale diffusa o luce artificiale equivalente.</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Regione di coltura: </w:t>
      </w:r>
      <w:r>
        <w:rPr>
          <w:rFonts w:ascii="Times New Roman" w:hAnsi="Times New Roman"/>
          <w:sz w:val="24"/>
        </w:rPr>
        <w:t>il paese di produzione dei peperoni da cui è stata prodotta la paprica macinata.</w:t>
      </w:r>
    </w:p>
    <w:p w:rsidR="0034074C" w:rsidRPr="000E31A6" w:rsidRDefault="0034074C" w:rsidP="0045040A">
      <w:pPr>
        <w:spacing w:after="0" w:line="240" w:lineRule="auto"/>
        <w:jc w:val="both"/>
        <w:outlineLvl w:val="0"/>
        <w:rPr>
          <w:rFonts w:ascii="Times New Roman" w:hAnsi="Times New Roman" w:cs="Times New Roman"/>
          <w:sz w:val="24"/>
          <w:szCs w:val="24"/>
        </w:rPr>
      </w:pPr>
    </w:p>
    <w:p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Parte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PAPRICA MACINATA AFFUMICATA</w:t>
      </w:r>
    </w:p>
    <w:p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1. Definizione del prodotto</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La paprica macinata affumicata è un prodotto fabbricato affumicando e macinando il frutto maturo e secco del peperone.</w:t>
      </w:r>
    </w:p>
    <w:p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2. Ingredienti che si possono utilizzare</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Solo il frutto del peperone può essere utilizzato per la produzione di paprica macinata: la buccia, il nucleo, le venature, i semi situati all'interno del frutto e in altre parti del frutto a vari livelli, come sepali e peduncoli. Non è possibile aggiungere additivi alimentari, aroma di fumo o altri ingredienti.</w:t>
      </w:r>
    </w:p>
    <w:p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3. Caratteristiche qualitative</w:t>
      </w:r>
    </w:p>
    <w:p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3.1. Proprietà fisiche e chimiche</w:t>
      </w:r>
    </w:p>
    <w:p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Proprietà fisiche e chimiche</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Requisiti qualitativi</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Contenuto di sostanza colorante naturale, in unità di colore ASTA</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Tasso di umidità</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11 % (m/m) massimo</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Ceneri totali su base secca</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8 % (m/m) massimo</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Ceneri insolubili in acido su base secca</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0,7 % (m/m) massimo</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Estratto di etere non volatile su base secca</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16 % (m/m) massimo</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Finezza della macinatura, percentuale che passa attraverso un setaccio con diametro di 0,500 (mm)</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3.2. Classificazione della paprica macinata in base alla piccantezza</w:t>
      </w:r>
    </w:p>
    <w:p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Grado di piccantezza</w:t>
            </w:r>
          </w:p>
        </w:tc>
        <w:tc>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Tenore totale di capsaicina (mg/kg)</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Non piccante (dolce)</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inferiore a 30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Leggermente piccante</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Piccante</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Altamente piccante</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superiore a 501</w:t>
            </w:r>
          </w:p>
        </w:tc>
      </w:tr>
    </w:tbl>
    <w:p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3.3. Caratteristiche sensoriali</w:t>
      </w:r>
    </w:p>
    <w:p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C</w:t>
            </w:r>
          </w:p>
        </w:tc>
        <w:tc>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D</w:t>
            </w:r>
          </w:p>
        </w:tc>
        <w:tc>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Aspetto esterno</w:t>
            </w:r>
          </w:p>
        </w:tc>
        <w:tc>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Colore</w:t>
            </w:r>
          </w:p>
        </w:tc>
        <w:tc>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Aroma</w:t>
            </w:r>
          </w:p>
        </w:tc>
        <w:tc>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Gusto</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Caratteristiche accettabili</w:t>
            </w:r>
          </w:p>
        </w:tc>
        <w:tc>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Omogenea, finemente macinata o non discreta, leggermente a mosaico nella sua colorazione. </w:t>
            </w:r>
          </w:p>
        </w:tc>
        <w:tc>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Rosso intenso, rosso scuro, rosso mattone o rosso sangue.</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Caratteristica, limpida, intensa, speziata con un tocco di caramello. Leggermente amara, leggermente acerba con almeno un leggero aroma affumicato. Priva di tutti gli odori estranei.</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Caratteristica, aromatica, chiara, intensa, armonica, leggermente dolce con un tocco di caramello.</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Leggermente stantia, leggermente amara, leggermente acerba.</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Ha almeno un leggero sapore affumicato. Priva di tutti i sapori estranei.</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Corrisponde chiaramente alla classificazione di piccantezza indicata sulla confezione.</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Caratteristiche inaccettabili</w:t>
            </w:r>
          </w:p>
        </w:tc>
        <w:tc>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Macinatura disomogenea. Mosaicità con colorazione discreta.</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Macinatura grezza, visibile, non frantumabile, grana grossa, grande porzione fibrosa.</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Materiale estraneo visibile ad occhio nudo.</w:t>
            </w:r>
          </w:p>
        </w:tc>
        <w:tc>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Tinta gialla o marrone o rosso che diventa nero. Gialla o marrone. Colorazione irregolare.</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Colore chiaro sbiadito o brunastro, colore bruciato. </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Aroma insolito, fortemente acerbo, leggermente fermentato, affumicato, troppo forte o non rilevabile affatto. Aroma stantio, amaro, acido, ammuffito, rancido, bruciato o di altro tipo estraneo al prodotto o ripugnante nei suoi effetti.</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Insolita, stantia, erbosa, leggermente acida, amara, rancida, ammuffita, bruciata.</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Il gusto affumicato è troppo presente o per niente presente.</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Sapore estraneo non caratteristico del prodotto.</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Non corrisponde alla classificazione di piccantezza indicata sulla confezione.</w:t>
            </w:r>
          </w:p>
        </w:tc>
      </w:tr>
    </w:tbl>
    <w:p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4. Imballaggio e conservazione</w:t>
      </w:r>
    </w:p>
    <w:p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La paprica macinata affumicata deve essere imballata in una confezione resistente alla luce e impermeabile, che non assorba il grasso e sigillata in modo tale che il sigillo debba essere visibilmente violato per comprometterne l'autenticità.</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t>La paprica macinata affumicata deve essere conservata in uno spazio asciutto, fresco e ben ventilato, lontano dalla luce solare, dagli insetti e dai roditori.</w:t>
      </w:r>
    </w:p>
    <w:p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5. Denominazione</w:t>
      </w:r>
    </w:p>
    <w:p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5.1. Descrizione</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5.1.1. La descrizione dovrà contenere:</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l'espressione "paprica macinata affumicata" o un'altra espressione che comunica lo stesso significato al consumatore (ad esempio paprica affumicata macinata);</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un riferimento alla piccantezza del prodotto usando l'espressione "non piccante" o "dolce", "leggermente piccante", "piccante" o "molto piccante".</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5.1.2. Non è consentito utilizzare il nome di un'unità geografica ungherese nella descrizione o nel nome del marchio del prodotto se</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il prodotto macinato non è composto esclusivamente da peperoni coltivati in Ungheria o</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è stata mescolata paprica macinata proveniente dall'estero.</w:t>
      </w:r>
    </w:p>
    <w:p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5.2. Designazione della piccantezza</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Oltre ai requisiti di cui al punto 5.1.1.2., l'imballaggio del prodotto deve includere un pittogramma riferito alla sua piccantezza e tutto il contenuto di capsaicina in mg/kg.</w:t>
      </w:r>
    </w:p>
    <w:p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5.3. Designazione della regione di coltura</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5.3.1. L'imballaggio della paprica macinata affumicata deve includere la regione di coltura.</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5.3.1.1. Se la paprica (macinata) proviene da più regioni, esse devono essere specificate in ordine decrescente della quantità di paprica (macinata), con un'indicazione della quantità di paprica (macinata) proveniente da tali regioni in percentuale della massa totale [ad esempio Ungheria (70 %), Spagna (20 %), Cina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5.3.1.2. Se il peperone utilizzato per la paprica macinata proviene da un'unica regione, la descrizione del prodotto può riferirsi al paese in cui sono stati coltivati i peperoni (ad esempio "Paprica macinata affumicata, regione di coltura: Spagna).</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5.3.2. La regione di coltura deve essere indicata nel campo visivo principale, con una dimensione dei caratteri pari ad almeno il 50 % del carattere più grande utilizzato sull'imballaggio e non inferiore alla dimensione dei caratteri definita per le indicazioni obbligatorie dall'articolo 13, paragrafi 2 e 3, del 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w:t>
      </w:r>
    </w:p>
    <w:p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Parte C</w:t>
      </w:r>
    </w:p>
    <w:p w:rsidR="00DA67B6" w:rsidRDefault="00DA67B6" w:rsidP="0045040A">
      <w:pPr>
        <w:pStyle w:val="Default"/>
        <w:keepNext/>
        <w:keepLines/>
        <w:jc w:val="center"/>
        <w:rPr>
          <w:b/>
          <w:caps/>
        </w:rPr>
      </w:pPr>
      <w:r>
        <w:rPr>
          <w:b/>
          <w:caps/>
        </w:rPr>
        <w:t>Metodologia</w:t>
      </w:r>
    </w:p>
    <w:p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Nel verificare le caratteristiche di qualità definite nella parte B, devono essere utilizzati i seguenti metodi (o metodi equivalenti).</w:t>
      </w:r>
    </w:p>
    <w:p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Proprietà fisiche e chimiche</w:t>
            </w:r>
          </w:p>
        </w:tc>
        <w:tc>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Numero del metodo di controllo</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Contenuto di sostanza colorante naturale, in unità di colore ASTA</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Tasso di umidità</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(in base all'allegato)</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Ceneri totali su base secca</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Ceneri insolubili in acido su base secca</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Estratto di etere non volatile su base secca</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Finezza della macinatura, percentuale che passa attraverso un setaccio con diametro di 0,500 (mm)</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Tenore totale di capsaicina (la somma del contenuto di capsaicina e diidrocapsaicina)</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Caratteristiche sensoriali</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w:rsidR="00ED79BB" w:rsidRPr="0005027E" w:rsidRDefault="00ED79BB" w:rsidP="0045040A">
      <w:pPr>
        <w:spacing w:after="0" w:line="240" w:lineRule="auto"/>
        <w:rPr>
          <w:rFonts w:ascii="Times New Roman" w:hAnsi="Times New Roman" w:cs="Times New Roman"/>
          <w:sz w:val="24"/>
          <w:szCs w:val="24"/>
        </w:rPr>
      </w:pPr>
    </w:p>
    <w:sectPr w:rsidR="00ED79BB" w:rsidRPr="0005027E" w:rsidSect="00EE71E2">
      <w:headerReference w:type="default" r:id="rId8"/>
      <w:footerReference w:type="default" r:id="rId9"/>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AF2003">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15:restartNumberingAfterBreak="0">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2003"/>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19A6BA2-5014-4230-AF2D-3679A20E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it-IT"/>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it-IT"/>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it-IT"/>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8BF7-9E02-46F4-B93C-6562F1A8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1999</Words>
  <Characters>11397</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Author</cp:lastModifiedBy>
  <cp:revision>2</cp:revision>
  <cp:lastPrinted>2019-09-23T10:13:00Z</cp:lastPrinted>
  <dcterms:created xsi:type="dcterms:W3CDTF">2019-11-14T09:16:00Z</dcterms:created>
  <dcterms:modified xsi:type="dcterms:W3CDTF">2019-11-14T09:16:00Z</dcterms:modified>
</cp:coreProperties>
</file>