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 xml:space="preserve">1. </w:t>
      </w:r>
      <w:r>
        <w:rPr>
          <w:rFonts w:ascii="Courier New" w:hAnsi="Courier New"/>
          <w:sz w:val="20"/>
        </w:rPr>
        <w:t>------IND- 2019 0551 HU- NL-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Minister van Landbouw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Besluit nr. …/2019 van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tot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wijziging van besluit nr. 152/2009 van de minister van Landbouw en Plattelandsontwikkeling van 12 november 2009 inzake bindende eisen van de Codex Alimentarius Hungaricus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Overeenkomstig de machtiging toegekend krachtens § 76, lid 2, punt 5, van wet XLVI van 2008 inzake de voedselketen en het officiële toezicht erop, en handelend in het kader van mijn taken, zoals vastgelegd in § 79, lid 4, van regeringsbesluit nr. 94/2018 van 22 mei 2018 betreffende de taken en bevoegdheden van de regering, besluit ik hierbij het volgende: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De volgende letter e) wordt toegevoegd aan § 1, lid 3, van besluit nr. 152/2009 van de minister van Landbouw en Plattelandsontwikkeling van 12 november 2009 inzake bindende eisen van de Codex Alimentarius Hungaricus (hierna R genoemd):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[De bindende eisen van hoofdstuk I van de Codex Alimentarius Hungaricus houdende nationale productbeschrijvingen worden vastgesteld in de volgende bijlage bij dit besluit:]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color w:val="000000"/>
          <w:sz w:val="24"/>
          <w:i w:val="1"/>
        </w:rPr>
        <w:t>Bijlage 41</w:t>
      </w:r>
      <w:r>
        <w:rPr>
          <w:rFonts w:ascii="Times New Roman" w:hAnsi="Times New Roman"/>
          <w:color w:val="000000"/>
          <w:sz w:val="24"/>
        </w:rPr>
        <w:t xml:space="preserve"> betreffende gerookt paprikapoeder.”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Het volgende lid 16 wordt aan § 2 van de R toegevoegd: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“(16) Producten die niet voldoen aan de bepalingen van bijlage 41 vastgesteld bij besluit .../2019 van de minister van Landbouw van ... tot wijziging van besluit nr. 152/2009 van de minister van Landbouw en Plattelandsontwikkeling van 12 november 2009 (hierna MódR6 genoemd) kunnen gedurende twee jaar na de inwerkingtreding van MódR6 blijven worden vervaardigd en mogen worden gedistribueerd tot hun datum van minimale houdbaarheid.”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De volgende § 6 wordt aan de R toegevoegd: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 6 Er is voldaan aan de eis voor voorafgaande kennisgeving van ontwerpbijlage 41 bij dit besluit, zoals bepaald in de artikelen 5 tot en met 7 van Richtlijn (EU) 2015/1535 van het Europees Parlement en de Raad van 9 september 2015 betreffende een informatieprocedure op het gebied van technische voorschriften en regels betreffende de diensten van de informatiemaatschappij.”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Bijlage 41 zoals beschreven in bijlage 1 wordt aan de R toegevoegd.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Dit besluit treedt in werking op de derde dag na de bekendmaking ervan.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Er is voldaan aan de eis voor voorafgaande kennisgeving van dit ontwerpbesluit, zoals vastgelegd in de artikelen 5 t/m 7 van Richtlijn (EU) 2015/1535 van het Europees Parlement en de Raad van 9 september 2015 betreffende een informatieprocedure op het gebied van technische voorschriften en regels betreffende de diensten van de informatiemaatschappij.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Boedapest, [dag] [maand]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Dr.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De minister van Landbouw</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t>Bijlage 1 bij besluit .../2019 van [datum] van de minister van Landbouw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keepNext/>
        <w:keepLines/>
        <w:spacing w:after="0" w:line="240" w:lineRule="auto"/>
        <w:rPr>
          <w:rFonts w:ascii="Times New Roman" w:hAnsi="Times New Roman" w:cs="Times New Roman"/>
          <w:i/>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Bijlage 41 bij besluit nr. 152/2009 van de minister van Landbouw en Plattelandsontwikkeling van 12 november 2009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Verordening nr. 1-3/18-1 van de Codex Alimentarius Hungaricus inzake gerookt paprikapoeder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Deel A</w:t>
      </w:r>
    </w:p>
    <w:p w:rsidR="00B94390" w:rsidRPr="00562311" w:rsidRDefault="00B94390" w:rsidP="0045040A">
      <w:pPr>
        <w:pStyle w:val="Default"/>
        <w:keepNext/>
        <w:keepLines/>
        <w:jc w:val="center"/>
        <w:rPr>
          <w:b/>
          <w:sz w:val="26"/>
          <w:szCs w:val="26"/>
        </w:rPr>
      </w:pPr>
      <w:r>
        <w:rPr>
          <w:b/>
          <w:sz w:val="26"/>
        </w:rPr>
        <w:t>ALGEMENE BEPALINGEN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Op basis van § 66, lid 1, van wet XLVI van 2008 inzake de voedselketen en het officiële toezicht erop worden in deze verordening de voorschriften vastgesteld voor producten die vervaardigd worden door het roken en malen van de rijpe, gedroogde vrucht van de plant </w:t>
      </w:r>
      <w:r>
        <w:rPr>
          <w:rFonts w:ascii="Times New Roman" w:hAnsi="Times New Roman"/>
          <w:i/>
          <w:sz w:val="24"/>
        </w:rPr>
        <w:t>Capsicum annuum</w:t>
      </w:r>
      <w:r>
        <w:rPr>
          <w:rFonts w:ascii="Times New Roman" w:hAnsi="Times New Roman"/>
          <w:sz w:val="24"/>
        </w:rPr>
        <w:t xml:space="preserve"> L. var. longum (DC.), behorend tot de familie van de nachtschade (Solanaceae).</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Deze voorschriften zijn niet van toepassing op paprikapoeder met een beschermde oorsprongsbenaming zoals bepaald in Verordening (EU) nr. 1151/2012 van het Europees Parlement en de Raad van 21 november 2012 inzake kwaliteitsregelingen voor landbouwproducten en levensmiddelen.</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De term gerookt paprikapoeder zoals gedefinieerd in deze verordening mag alleen worden gebruikt als het product voldoet aan de vereisten die daarin zijn vastgesteld.</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De in de verordening gedefinieerde kwaliteitsparameters zijn vastgesteld met gebruik van de inspectiemethoden beschreven in de bijlage bij de verordening; voor de verificatie van de parameters moeten derhalve de daarin beschreven inspectiemethoden of gelijkwaardige methoden worden toegepast.</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Producten die worden geproduceerd of op de markt gebracht in een lidstaat van de Europese Unie of in Turkije, of geproduceerd in een EVA-land dat partij is bij de Overeenkomst betreffende de Europese Economische Ruimte in overeenstemming met de geldende nationale wetgeving, moeten niet voldoen aan de in deze verordening vermelde technische bepalingen, op voorwaarde dat de bepalingen inzake consumentenbescherming hetzelfde beschermingsniveau bieden als de bepalingen van deze verordening.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Voor de toepassing van deze verordening geldt: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sz w:val="24"/>
          <w:b w:val="1"/>
        </w:rPr>
        <w:t>Schil:</w:t>
      </w:r>
      <w:r>
        <w:rPr>
          <w:rFonts w:ascii="Times New Roman" w:hAnsi="Times New Roman"/>
          <w:sz w:val="24"/>
        </w:rPr>
        <w:t xml:space="preserve"> de vruchtwand van de peper die pigment bevat.</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Steel: </w:t>
      </w:r>
      <w:r>
        <w:rPr>
          <w:rFonts w:ascii="Times New Roman" w:hAnsi="Times New Roman"/>
          <w:sz w:val="24"/>
        </w:rPr>
        <w:t>een groen resultaat als gevolg van de samengroeiing van de steel en de kelk.</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Roken: </w:t>
      </w:r>
      <w:r>
        <w:rPr>
          <w:rFonts w:ascii="Times New Roman" w:hAnsi="Times New Roman"/>
          <w:sz w:val="24"/>
        </w:rPr>
        <w:t xml:space="preserve">behandeling waarmee wordt beoogd het product een gerookte smaak en kleur te geven en het karakter van het product te bepalen door middel van rook. </w:t>
      </w:r>
      <w:r>
        <w:rPr>
          <w:rFonts w:ascii="Times New Roman" w:hAnsi="Times New Roman"/>
          <w:sz w:val="24"/>
        </w:rPr>
        <w:t xml:space="preserve">Het roken wordt bewerkstelligd door de onvolledige, rechtstreekse verbranding van hardhout. </w:t>
      </w:r>
      <w:r>
        <w:rPr>
          <w:rFonts w:ascii="Times New Roman" w:hAnsi="Times New Roman"/>
          <w:sz w:val="24"/>
        </w:rPr>
        <w:t>Het roken kan op de volgende manieren plaatsvinden: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Roken met koude rook:</w:t>
      </w:r>
      <w:r>
        <w:rPr>
          <w:rFonts w:ascii="Times New Roman" w:hAnsi="Times New Roman"/>
          <w:sz w:val="24"/>
        </w:rPr>
        <w:t xml:space="preserve"> </w:t>
      </w:r>
      <w:r>
        <w:rPr>
          <w:rFonts w:ascii="Times New Roman" w:hAnsi="Times New Roman"/>
          <w:sz w:val="24"/>
        </w:rPr>
        <w:t>dit gebeurt bij temperaturen van maximaal 40 °C. Afhankelijk van de duur van het roken kan het gaan om:</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sz w:val="24"/>
          <w:i w:val="1"/>
        </w:rPr>
        <w:t>traditioneel lang roken met koude rook</w:t>
      </w:r>
      <w:r>
        <w:rPr>
          <w:rFonts w:ascii="Times New Roman" w:hAnsi="Times New Roman"/>
          <w:sz w:val="24"/>
        </w:rPr>
        <w:t>, waarbij het product regelmatig wordt gerookt met dunne, lichtere rook gedurende een langere periode;</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3.1.2. </w:t>
      </w:r>
      <w:r>
        <w:rPr>
          <w:rFonts w:ascii="Times New Roman" w:hAnsi="Times New Roman"/>
          <w:sz w:val="24"/>
          <w:i w:val="1"/>
        </w:rPr>
        <w:t>een kort rookproces met koude rook</w:t>
      </w:r>
      <w:r>
        <w:rPr>
          <w:rFonts w:ascii="Times New Roman" w:hAnsi="Times New Roman"/>
          <w:sz w:val="24"/>
        </w:rPr>
        <w:t>, waarbij het product – om de gewenste rode kleur te verkrijgen – gedurende een aantal dagen wordt gerookt met dichte koude rook.</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Warm roken:</w:t>
      </w:r>
      <w:r>
        <w:rPr>
          <w:rFonts w:ascii="Times New Roman" w:hAnsi="Times New Roman"/>
          <w:sz w:val="24"/>
        </w:rPr>
        <w:t xml:space="preserve"> </w:t>
      </w:r>
      <w:r>
        <w:rPr>
          <w:rFonts w:ascii="Times New Roman" w:hAnsi="Times New Roman"/>
          <w:sz w:val="24"/>
        </w:rPr>
        <w:t>dit gebeurt bij temperaturen die uiteenlopen van 40 tot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Paprika:</w:t>
      </w:r>
      <w:r>
        <w:rPr>
          <w:rFonts w:ascii="Times New Roman" w:hAnsi="Times New Roman"/>
          <w:sz w:val="24"/>
        </w:rPr>
        <w:t xml:space="preserve"> </w:t>
      </w:r>
      <w:r>
        <w:rPr>
          <w:rFonts w:ascii="Times New Roman" w:hAnsi="Times New Roman"/>
          <w:sz w:val="24"/>
        </w:rPr>
        <w:t xml:space="preserve">de plant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 vers of gedroogd, behorend tot de nachtschadefamilie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xml:space="preserve"> de geur, de geursamenstelling en het kruidenprofiel van het bereide monster die/dat met reuk vast te stellen zijn/is.</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sz w:val="24"/>
          <w:b w:val="1"/>
        </w:rPr>
        <w:t>Smaak:</w:t>
      </w:r>
      <w:r>
        <w:rPr>
          <w:rFonts w:ascii="Times New Roman" w:hAnsi="Times New Roman"/>
          <w:sz w:val="24"/>
        </w:rPr>
        <w:t xml:space="preserve"> de smaak, kruidigheid, smaaksamenstelling en pikantheid die kunnen worden vastgesteld door het monster te proeven.</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Totale capsaïcinegehalte: </w:t>
      </w:r>
      <w:r>
        <w:rPr>
          <w:rFonts w:ascii="Times New Roman" w:hAnsi="Times New Roman"/>
          <w:sz w:val="24"/>
        </w:rPr>
        <w:t>het gezamenlijke gehalte aan capsaïcine en dihydrocapsaïcine.</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Extern uitzicht: </w:t>
      </w:r>
      <w:r>
        <w:rPr>
          <w:rFonts w:ascii="Times New Roman" w:hAnsi="Times New Roman"/>
          <w:sz w:val="24"/>
        </w:rPr>
        <w:t>het geheel van alle visuele (zichtbare) kenmerken, met name de fijnheid en gelijkmatigheid van de vermaling.</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Schakering: </w:t>
      </w:r>
      <w:r>
        <w:rPr>
          <w:rFonts w:ascii="Times New Roman" w:hAnsi="Times New Roman"/>
          <w:sz w:val="24"/>
        </w:rPr>
        <w:t>de met het blote oog waarneembare aanwezigheid van herkenbare vruchtdelen (schil, zaad, steel) op het uitgestreken oppervlak.</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Kleur: </w:t>
      </w:r>
      <w:r>
        <w:rPr>
          <w:rFonts w:ascii="Times New Roman" w:hAnsi="Times New Roman"/>
          <w:sz w:val="24"/>
        </w:rPr>
        <w:t>de kleur van het bereide monster die door de beoordelaar wordt waargenomen, aangevuld met een onderzoek van de tint en helderheid bij diffuus daglicht of vergelijkbaar kunstlicht.</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Teeltgebied: </w:t>
      </w:r>
      <w:r>
        <w:rPr>
          <w:rFonts w:ascii="Times New Roman" w:hAnsi="Times New Roman"/>
          <w:sz w:val="24"/>
        </w:rPr>
        <w:t>het land waar de pepers worden verbouwd waar het paprikapoeder van wordt gemaakt.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074C" w:rsidRPr="000E31A6" w:rsidRDefault="0034074C" w:rsidP="0045040A">
      <w:pPr>
        <w:spacing w:after="0" w:line="240" w:lineRule="auto"/>
        <w:jc w:val="both"/>
        <w:outlineLvl w:val="0"/>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Deel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GEROOKT PAPRIKAPOEDER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1. </w:t>
      </w:r>
      <w:r>
        <w:rPr>
          <w:rFonts w:ascii="Times New Roman" w:hAnsi="Times New Roman"/>
          <w:b/>
          <w:i/>
          <w:sz w:val="24"/>
        </w:rPr>
        <w:t>Definitie van het product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Gerookt paprikapoeder is een product dat wordt vervaardigd door het roken en malen van de rijpe, gedroogde vrucht van de paprikaplant.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2. </w:t>
      </w:r>
      <w:r>
        <w:rPr>
          <w:rFonts w:ascii="Times New Roman" w:hAnsi="Times New Roman"/>
          <w:b/>
          <w:i/>
          <w:sz w:val="24"/>
        </w:rPr>
        <w:t>Ingrediënt dat kan worden gebruikt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 xml:space="preserve">Alleen de paprikavrucht mag worden gebruikt voor de productie van paprikapoeder: de schil, het vruchtbeginsel, de zaadlijsten en de zaden in de vrucht en andere vruchtdelen in wisselende mate, zoals kelkbladen en stelen. </w:t>
      </w:r>
      <w:r>
        <w:rPr>
          <w:rFonts w:ascii="Times New Roman" w:hAnsi="Times New Roman"/>
          <w:sz w:val="24"/>
        </w:rPr>
        <w:t>Er mogen geen levensmiddelenadditieven, rookaroma of andere ingrediënten worden toegevoegd.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 xml:space="preserve">3. </w:t>
      </w:r>
      <w:r>
        <w:rPr>
          <w:rFonts w:ascii="Times New Roman" w:hAnsi="Times New Roman"/>
          <w:b/>
          <w:i/>
          <w:sz w:val="24"/>
        </w:rPr>
        <w:t>Kwaliteitskenmerken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 xml:space="preserve">3.1. </w:t>
      </w:r>
      <w:r>
        <w:rPr>
          <w:rFonts w:ascii="Times New Roman" w:hAnsi="Times New Roman"/>
          <w:i/>
          <w:sz w:val="24"/>
        </w:rPr>
        <w:t>Fysische en chemische eigenschappen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Fysische en chemische eigenschappen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Kwaliteitseisen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Gehalte aan natuurlijke kleurstoffen, in ASTA-kleureenheden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Vochtgehalte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maximaal 11 % (m/m)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Totale as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maximaal 8 % (m/m)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In zuur onoplosbare as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maximaal 0,7 % (m/m)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Niet-vluchtig etherextract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maximaal 16 % (m/m)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Maalfijnheid, percentage dat door een zeef van ø 0,500 (mm) gaat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3.2. </w:t>
      </w:r>
      <w:r>
        <w:rPr>
          <w:rFonts w:ascii="Times New Roman" w:hAnsi="Times New Roman"/>
          <w:i/>
          <w:sz w:val="24"/>
        </w:rPr>
        <w:t>Indeling van paprikapoeder op basis van pikantheid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Mate van pikantheid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Totale capsaïcinegehalte (mg/kg)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Niet-pikant (zoet)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minder dan 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Licht pikant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Pikant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Zeer pikant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meer dan 501</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3.3. </w:t>
      </w:r>
      <w:r>
        <w:rPr>
          <w:rFonts w:ascii="Times New Roman" w:hAnsi="Times New Roman"/>
          <w:i/>
          <w:sz w:val="24"/>
        </w:rPr>
        <w:t>Zintuiglijke kenmerken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Extern uitzicht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Kleur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Smaak</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Aanvaardbare kenmerken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Homogeen, fijngemalen of niet korrelig, met lichte kleurschakeringen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Egaal rood, donkerrood, baksteenrood of bloedrood.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Karakteristiek, helder, intens, kruidig met een vleugje karamel. </w:t>
            </w:r>
            <w:r>
              <w:rPr>
                <w:rFonts w:ascii="Times New Roman" w:hAnsi="Times New Roman"/>
                <w:sz w:val="20"/>
              </w:rPr>
              <w:t xml:space="preserve">Licht bitter, licht wrang met ten minste een licht rokerig aroma. </w:t>
            </w:r>
            <w:r>
              <w:rPr>
                <w:rFonts w:ascii="Times New Roman" w:hAnsi="Times New Roman"/>
                <w:sz w:val="20"/>
              </w:rPr>
              <w:t>Vrij van alle vreemde geuren.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Karakteristiek, aromatisch, helder, intens, harmonieus, enigszins zoet met een vleugje karamel.</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Licht verschaald, licht bitter, licht wrang.</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Heeft ten minste een licht rokerige smaak. </w:t>
            </w:r>
            <w:r>
              <w:rPr>
                <w:rFonts w:ascii="Times New Roman" w:hAnsi="Times New Roman"/>
                <w:sz w:val="20"/>
              </w:rPr>
              <w:t>Vrij van alle vreemde smaken.</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Komt duidelijk overeen met de graad van pikantheid die op de verpakking staat vermeld.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Niet-aanvaardbare kenmerken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Niet-homogeen gemalen. </w:t>
            </w:r>
            <w:r>
              <w:rPr>
                <w:rFonts w:ascii="Times New Roman" w:hAnsi="Times New Roman"/>
                <w:sz w:val="20"/>
              </w:rPr>
              <w:t>Kleurschakering met duidelijke kleurverschillen.</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Grof gemalen, korrelig, met onvermaalbare klontjes, met groot vezelig deel.</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Met het blote oog waarneembaar vreemd materiaal.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Gele of bruine tint, of naar zwart neigend rood. </w:t>
            </w:r>
            <w:r>
              <w:rPr>
                <w:rFonts w:ascii="Times New Roman" w:hAnsi="Times New Roman"/>
                <w:sz w:val="20"/>
              </w:rPr>
              <w:t xml:space="preserve">Geel of bruin. </w:t>
            </w:r>
            <w:r>
              <w:rPr>
                <w:rFonts w:ascii="Times New Roman" w:hAnsi="Times New Roman"/>
                <w:sz w:val="20"/>
              </w:rPr>
              <w:t>Ongelijkmatige kleuring.</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Vervaagde lichte kleur of bruinachtige, verbrande kleur.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Niet-karakteristiek, zeer wrang, licht gefermenteerd, te sterk of niet-waarneembaar rokerig aroma. </w:t>
            </w:r>
            <w:r>
              <w:rPr>
                <w:rFonts w:ascii="Times New Roman" w:hAnsi="Times New Roman"/>
                <w:sz w:val="20"/>
              </w:rPr>
              <w:t>Verschaald, bitter, zuur, muf, ranzig, verbrand of andere geur die vreemd is aan het product of weerzinwekkend 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Niet-karakteristiek, verschaald, grasachtig, licht zuur, bitter ranzig, muf, schimmelig, verbrand.</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De rokerige smaak is te sterk of juist helemaal niet aanwezig.</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Vreemde smaak die ongewoon is voor het product.</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Komt niet overeen met de graad van pikantheid die op de verpakking staat vermeld.</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 xml:space="preserve">4. </w:t>
      </w:r>
      <w:r>
        <w:rPr>
          <w:rFonts w:ascii="Times New Roman" w:hAnsi="Times New Roman"/>
          <w:b/>
          <w:i/>
          <w:sz w:val="24"/>
        </w:rPr>
        <w:t>Verpakking en opslag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Het gerookte paprikapoeder moet worden verpakt in een licht beschermende, waterdichte verpakking die geen vet opneemt en zodanig is afgesloten dat de sluiting zichtbaar moet worden verbroken om de authenticiteit ervan aan te tasten.</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Gerookt paprikapoeder moet worden bewaard in een droge, koele, goed geventileerde ruimte vrij van zonlicht, insecten en knaagdieren.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 xml:space="preserve">5. </w:t>
      </w:r>
      <w:r>
        <w:rPr>
          <w:rFonts w:ascii="Times New Roman" w:hAnsi="Times New Roman"/>
          <w:b/>
          <w:i/>
          <w:sz w:val="24"/>
        </w:rPr>
        <w:t>Benaming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5.1. </w:t>
      </w:r>
      <w:r>
        <w:rPr>
          <w:rFonts w:ascii="Times New Roman" w:hAnsi="Times New Roman"/>
          <w:i/>
          <w:sz w:val="24"/>
        </w:rPr>
        <w:t>Beschrijving</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 xml:space="preserve">5.1.1. </w:t>
      </w:r>
      <w:r>
        <w:rPr>
          <w:rFonts w:ascii="Times New Roman" w:hAnsi="Times New Roman"/>
          <w:sz w:val="24"/>
        </w:rPr>
        <w:t>De beschrijving bevat:</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de term “gerookt paprikapoeder” of een andere term die voor de consument dezelfde betekenis heeft (bijv. gerookte gemalen paprika);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een aanduiding van de pikantheid van het product met de termen “niet-pikant” of “zoet”, “licht pikant”, “pikant” of “zeer pikant”.</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 xml:space="preserve">5.1.2. </w:t>
      </w:r>
      <w:r>
        <w:rPr>
          <w:rFonts w:ascii="Times New Roman" w:hAnsi="Times New Roman"/>
          <w:sz w:val="24"/>
        </w:rPr>
        <w:t>Het is niet toegestaan om een Hongaarse gebiedsaanduiding te gebruiken in de beschrijving of de merknaam van het product indien:</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het gemalen product niet uitsluitend is gemaakt van pepers die in Hongarije zijn geteeld, of</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er paprikapoeder doorheen is gemengd dat niet afkomstig is uit Hongarije.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5.2. </w:t>
      </w:r>
      <w:r>
        <w:rPr>
          <w:rFonts w:ascii="Times New Roman" w:hAnsi="Times New Roman"/>
          <w:i/>
          <w:sz w:val="24"/>
        </w:rPr>
        <w:t>Aanduiding pikantheid</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Naast de vereiste aanduiding vermeld in 5.1.1.2. moet de verpakking van het product een pictogram bevatten waarmee de pikantheid en het totale capsaïcinegehalte in mg/kg wordt aangeduid.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5.3. </w:t>
      </w:r>
      <w:r>
        <w:rPr>
          <w:rFonts w:ascii="Times New Roman" w:hAnsi="Times New Roman"/>
          <w:i/>
          <w:sz w:val="24"/>
        </w:rPr>
        <w:t>Aanduiding van het teeltgebied</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 xml:space="preserve">5.3.1. </w:t>
      </w:r>
      <w:r>
        <w:rPr>
          <w:rFonts w:ascii="Times New Roman" w:hAnsi="Times New Roman"/>
          <w:sz w:val="24"/>
        </w:rPr>
        <w:t>Op de verpakking van het gerookte paprikapoeder moet het teeltgebied worden vermeld.</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5.3.1.1. </w:t>
      </w:r>
      <w:r>
        <w:rPr>
          <w:rFonts w:ascii="Times New Roman" w:hAnsi="Times New Roman"/>
          <w:sz w:val="24"/>
        </w:rPr>
        <w:t>Als de paprika (het paprikapoeder) afkomstig is uit verschillende regio’s, moeten deze in dalende volgorde van de gebruikte hoeveelheid paprika(poeder) worden vermeld, onder weergave van het percentage paprika(poeder) dat uit iedere regio afkomstig is, [bijvoorbeeld, Hongarije (70 %), Spanje (20 %), China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5.3.1.2. </w:t>
      </w:r>
      <w:r>
        <w:rPr>
          <w:rFonts w:ascii="Times New Roman" w:hAnsi="Times New Roman"/>
          <w:sz w:val="24"/>
        </w:rPr>
        <w:t xml:space="preserve">Indien de pepers die gebruikt zijn voor het paprikapoeder uit één enkele regio komen, mag in de beschrijving van het product worden verwezen naar het land waar de pepers zijn geteeld (bijvoorbeeld Gerookt paprikapoeder, Teeltgebied: </w:t>
      </w:r>
      <w:r>
        <w:rPr>
          <w:rFonts w:ascii="Times New Roman" w:hAnsi="Times New Roman"/>
          <w:sz w:val="24"/>
        </w:rPr>
        <w:t>Spanje).</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5.3.2. </w:t>
      </w:r>
      <w:r>
        <w:rPr>
          <w:rFonts w:ascii="Times New Roman" w:hAnsi="Times New Roman"/>
          <w:sz w:val="24"/>
        </w:rPr>
        <w:t>Het teeltgebied moet weergegeven worden in het hoofdgezichtsveld met een lettergrootte die ten minste 50 % bedraagt van het grootste lettertype dat op de verpakking wordt gebruikt en mag niet kleiner zijn dan de lettergrootte die is vastgesteld voor de verplichte vermeldingen zoals gedefinieerd in artikel 13, leden 2 en 3,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Deel C</w:t>
      </w:r>
    </w:p>
    <w:p w:rsidR="00DA67B6" w:rsidRDefault="00DA67B6" w:rsidP="0045040A">
      <w:pPr>
        <w:pStyle w:val="Default"/>
        <w:keepNext/>
        <w:keepLines/>
        <w:jc w:val="center"/>
        <w:rPr>
          <w:b/>
          <w:caps/>
        </w:rPr>
      </w:pPr>
      <w:r>
        <w:rPr>
          <w:b/>
          <w:caps/>
        </w:rPr>
        <w:t>Methodologie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Bij de verificatie van de kwaliteitskenmerken gedefinieerd in deel B moeten de volgende methoden – of daaraan gelijkwaardige methoden – worden gehanteerd.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Fysische en chemische eigenschappen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Inspectiemethodenummer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Gehalte aan natuurlijke kleurstoffen, in ASTA-kleureenheden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Vochtgehalte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(overeenkomstig bijlage)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Totale as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In zuur onoplosbare as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Niet-vluchtig etherextract op droge basis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Maalfijnheid, percentage dat door een zeef van ø 0,500 (mm) gaat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Totale capsaïcinegehalte (het gezamenlijke gehalte aan capsaïcine en dihydrocapsaïcine)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Zintuiglijke kenmerken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RDefault="00ED79BB" w:rsidP="0045040A">
      <w:pPr>
        <w:spacing w:after="0" w:line="240" w:lineRule="auto"/>
        <w:rPr>
          <w:rFonts w:ascii="Times New Roman" w:hAnsi="Times New Roman" w:cs="Times New Roman"/>
          <w:sz w:val="24"/>
          <w:szCs w:val="24"/>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nl-NL"/>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nl-NL"/>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header" Target="header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