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B9" w:rsidRPr="00AF44E5" w:rsidRDefault="00A21DB1" w:rsidP="00F41BB9">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sz w:val="20"/>
        </w:rPr>
        <w:t>1. --</w:t>
      </w:r>
      <w:r w:rsidR="002C2D55">
        <w:rPr>
          <w:rFonts w:ascii="Courier New" w:hAnsi="Courier New"/>
          <w:sz w:val="20"/>
        </w:rPr>
        <w:t>-</w:t>
      </w:r>
      <w:r>
        <w:rPr>
          <w:rFonts w:ascii="Courier New" w:hAnsi="Courier New"/>
          <w:sz w:val="20"/>
        </w:rPr>
        <w:t xml:space="preserve">---IND- 2019 0551 HU- DE- ------ </w:t>
      </w:r>
      <w:r>
        <w:rPr>
          <w:rFonts w:ascii="Segoe UI" w:hAnsi="Segoe UI"/>
          <w:color w:val="000000"/>
          <w:sz w:val="20"/>
        </w:rPr>
        <w:t>20201130</w:t>
      </w:r>
      <w:r w:rsidR="005443DC">
        <w:rPr>
          <w:rFonts w:ascii="Segoe UI" w:hAnsi="Segoe UI"/>
          <w:color w:val="000000"/>
          <w:sz w:val="20"/>
        </w:rPr>
        <w:t xml:space="preserve"> </w:t>
      </w:r>
      <w:bookmarkStart w:id="0" w:name="_GoBack"/>
      <w:bookmarkEnd w:id="0"/>
      <w:r>
        <w:rPr>
          <w:rFonts w:ascii="Courier New" w:hAnsi="Courier New"/>
          <w:sz w:val="20"/>
        </w:rPr>
        <w:t>--- --- FINAL</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Verordnung Nr. 8/2020 des Agrarministers (AM) vom 25. März 2020</w:t>
      </w:r>
    </w:p>
    <w:p w:rsidR="00F41BB9" w:rsidRPr="00AF44E5" w:rsidRDefault="00F41BB9" w:rsidP="00F41BB9">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zur Änderung der Verordnung Nr. 152/2009 des Ministeriums für Landwirtschaft und Entwicklung des ländlichen Raums (FVM) vom 12. November 2009 über die obligatorischen Vorschriften des Codex Alimentarius Hungaricus</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Aufgrund der in § 76 Absatz 2 Nummer 5 des Gesetzes Nr. XLVI von 2008 über die Lebensmittelkette und deren behördliche Beaufsichtigung übertragenen Befugnis und in meiner Funktion gemäß § 79 Nummer 3 der Regierungsverordnung Nr. 94/2018 vom 22. Mai 2018 über die Aufgaben und Zuständigkeiten der Regierungsmitglieder wird verordnet: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1 </w:t>
      </w:r>
      <w:r>
        <w:rPr>
          <w:rFonts w:ascii="Times New Roman" w:hAnsi="Times New Roman"/>
          <w:sz w:val="24"/>
        </w:rPr>
        <w:t>§ 1 Absatz 3 der Verordnung Nr. 152/2009 vom 12. November 2009 des Ministeriums für Landwirtschaft und Entwicklung des ländlichen Raums (FVM) über die obligatorischen Vorschriften des Codex Alimentarius Hungaricus (nachfolgend: „R.“) wird um folgenden Buchstaben </w:t>
      </w:r>
      <w:r>
        <w:rPr>
          <w:rFonts w:ascii="Times New Roman" w:hAnsi="Times New Roman"/>
          <w:i/>
          <w:sz w:val="24"/>
        </w:rPr>
        <w:t>e</w:t>
      </w:r>
      <w:r>
        <w:rPr>
          <w:rFonts w:ascii="Times New Roman" w:hAnsi="Times New Roman"/>
          <w:sz w:val="24"/>
        </w:rPr>
        <w:t xml:space="preserve"> ergänzt: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[Die obligatorischen Vorschriften von Band I des Codex Alimentarius Hungaricus mit den nationalen Produktbeschreibungen werden in den folgenden Anhängen dieser Verordnung veröffentlicht:]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w:t>
      </w:r>
      <w:r>
        <w:rPr>
          <w:rFonts w:ascii="Times New Roman" w:hAnsi="Times New Roman"/>
          <w:i/>
          <w:sz w:val="24"/>
        </w:rPr>
        <w:t xml:space="preserve">e) </w:t>
      </w:r>
      <w:r>
        <w:rPr>
          <w:rFonts w:ascii="Times New Roman" w:hAnsi="Times New Roman"/>
          <w:sz w:val="24"/>
        </w:rPr>
        <w:t>Anhang 41 über geräuchertes Gewürzpaprikapulver.”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2 </w:t>
      </w:r>
      <w:r>
        <w:rPr>
          <w:rFonts w:ascii="Times New Roman" w:hAnsi="Times New Roman"/>
          <w:sz w:val="24"/>
        </w:rPr>
        <w:t>An § 2 R. wird folgender Absatz 16 angefügt: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Produkte, die nicht den Bestimmungen von Anhang 41, festgelegt mit der Verordnung Nr. 8/2020 des Agrarministers (AM) vom 25. März 2020 über die Änderung der Verordnung Nr. 152/2009 des Ministeriums für Landwirtschaft und Entwicklung des ländlichen Raums (FVM) vom 12. November 2009 über die obligatorischen Vorschriften des Codex Alimentarius Hungaricus (nachfolgend „MódR6.“) entsprechen, dürfen bis zu zwei Jahre nach Inkrafttreten der MódR6. hergestellt und bis zum Ablauf des Mindesthaltbarkeitsdatums in Verkehr gebracht werden.“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3 </w:t>
      </w:r>
      <w:r>
        <w:rPr>
          <w:rFonts w:ascii="Times New Roman" w:hAnsi="Times New Roman"/>
          <w:sz w:val="24"/>
        </w:rPr>
        <w:t>In die R. wird folgender § 6 eingefügt: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6. Der Entwurf zu Anhang 41 wurde notifiziert gemäß Artikel 5 bis 7 der Richtlinie (EU) 2015/1535 des Europäischen Parlaments und des Rates vom 9. September 2015 über ein Informationsverfahren auf dem Gebiet der technischen Vorschriften und der Vorschriften für die Dienste der Informationsgesellschaft.“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4</w:t>
      </w:r>
      <w:r>
        <w:rPr>
          <w:rFonts w:ascii="Times New Roman" w:hAnsi="Times New Roman"/>
          <w:sz w:val="24"/>
        </w:rPr>
        <w:t xml:space="preserve"> An die R. wird Anhang 41 gemäß Anhang 1 angefügt.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5 </w:t>
      </w:r>
      <w:r>
        <w:rPr>
          <w:rFonts w:ascii="Times New Roman" w:hAnsi="Times New Roman"/>
          <w:sz w:val="24"/>
        </w:rPr>
        <w:t>Die vorliegende Verordnung tritt am dritten Tag nach ihrer Bekanntmachung in Kraft.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Die in den Artikeln 5 bis 7 der Richtlinie (EU) 2015/1535 des Europäischen Parlaments und des Rates vom 9. September 2015 über ein Informationsverfahren auf dem Gebiet der technischen Vorschriften und der Vorschriften für die Dienste der Informationsgesellschaft vorgeschriebene vorausgehende Notifizierung dieses Verordnungsentwurfs wurde durchgeführt.</w:t>
      </w:r>
    </w:p>
    <w:p w:rsidR="00F41BB9" w:rsidRPr="00AF44E5" w:rsidRDefault="00F41BB9" w:rsidP="00AF44E5">
      <w:pPr>
        <w:keepNext/>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Anhang 1 zur Verordnung Nr. 8/2020 des Agrarministers (AM) vom 25. März 2020</w:t>
      </w:r>
    </w:p>
    <w:p w:rsidR="00F41BB9" w:rsidRPr="00AF44E5" w:rsidRDefault="00F41BB9" w:rsidP="00AF44E5">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i/>
          <w:sz w:val="24"/>
        </w:rPr>
        <w:t>„Anhang 41 zur Verordnung Nr. 152/2009 des Ministeriums für Landwirtschaft und Entwicklung des ländlichen Raums (FVM) vom 12. November 2009</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4"/>
        </w:rPr>
        <w:t>Vorschrift Nr. 1-3/18-1 des Codex Alimentarius Hungaricus über geräuchertes Gewürzpaprikapulver</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TEIL A</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i/>
          <w:sz w:val="24"/>
        </w:rPr>
        <w:t>ALLGEMEINE BESTIMMUNGEN</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In dieser Vorschrift werden aufgrund von § 66 Absatz 1 des Gesetzes Nr. XLVI von 2008 über die Lebensmittelkette und deren behördliche Beaufsichtigung die Anforderungen an die Qualität und Zusammensetzung der Produkte festgelegt, die durch Räuchern und Mahlen der reifen, getrockneten Frucht von Capsicum annuum L. var. longum DC., die zur Familie der Nachtschattengewächse (Solanaceae) gehört, hergestellt werden.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Die Vorschrift bezieht sich nicht auf die aufgrund der Verordnung (EU) Nr. 1151/2012 des Europäischen Parlaments und des Rates vom 21. November 2012 über Qualitätsregelungen für Agrarerzeugnisse und Lebensmittel geschützte Ursprungsbezeichnung von Gewürzpaprikapulver.</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Die in der Vorschrift bestimmte Bezeichnung „geräuchertes Gewürzpaprikapulver“ darf nur dann verwendet werden, wenn das Produkt den Anforderungen der vorliegenden Vorschrift entspricht.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Die in der Vorschrift festgelegten Qualitätsmerkmale wurden mit den Prüfungsmethoden gemäß Teil C des Anhangs der Vorschrift bestimmt, so dass zur Kontrolle dieser Qualitätsmerkmale die dort aufgeführten oder damit gleichwertige Prüfmethoden anzuwenden sind.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5. Den in dieser Vorschrift festgelegten technischen Spezifikationen müssen solche Erzeugnisse nicht entsprechen, die in einem der Mitgliedstaaten der Europäischen Union oder in der Türkei hergestellt oder in Verkehr gebracht wurden oder die in einem der am Abkommen über den Europäischen Wirtschaftsraum beteiligten EFTA-Staaten gemäß den dort geltenden Vorschriften hergestellt wurden, vorausgesetzt, dass die maßgeblichen Vorschriften hinsichtlich des Verbraucherschutzes einen mit den Bestimmungen der vorliegenden Verordnung gleichwertigen Schutz gewährleisten.</w:t>
      </w:r>
    </w:p>
    <w:p w:rsidR="00F41BB9" w:rsidRPr="00AF44E5" w:rsidRDefault="00F41BB9" w:rsidP="00AF44E5">
      <w:pPr>
        <w:keepNext/>
        <w:autoSpaceDE w:val="0"/>
        <w:autoSpaceDN w:val="0"/>
        <w:adjustRightInd w:val="0"/>
        <w:spacing w:before="240" w:after="240" w:line="240" w:lineRule="auto"/>
        <w:ind w:firstLine="204"/>
        <w:jc w:val="center"/>
        <w:rPr>
          <w:rFonts w:ascii="Times New Roman" w:hAnsi="Times New Roman" w:cs="Times New Roman"/>
          <w:sz w:val="24"/>
          <w:szCs w:val="24"/>
        </w:rPr>
      </w:pPr>
      <w:r>
        <w:rPr>
          <w:rFonts w:ascii="Times New Roman" w:hAnsi="Times New Roman"/>
          <w:b/>
          <w:sz w:val="24"/>
        </w:rPr>
        <w:t>II.</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In Anwendung dieser Vorschrift gelten folgende Begriffsbestimmungen: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Haut:</w:t>
      </w:r>
      <w:r>
        <w:rPr>
          <w:rFonts w:ascii="Times New Roman" w:hAnsi="Times New Roman"/>
          <w:sz w:val="24"/>
        </w:rPr>
        <w:t xml:space="preserve"> die Farbstoffe enthaltende Fruchtwand der Paprikafrucht.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 xml:space="preserve">Kerngehäuse: </w:t>
      </w:r>
      <w:r>
        <w:rPr>
          <w:rFonts w:ascii="Times New Roman" w:hAnsi="Times New Roman"/>
          <w:sz w:val="24"/>
        </w:rPr>
        <w:t>Grünes Gebilde, das durch das Zusammenwachsen von Fruchtstiel und Kelchblatt entsteht.</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lastRenderedPageBreak/>
        <w:t xml:space="preserve">3. </w:t>
      </w:r>
      <w:r>
        <w:rPr>
          <w:rFonts w:ascii="Times New Roman" w:hAnsi="Times New Roman"/>
          <w:i/>
          <w:sz w:val="24"/>
        </w:rPr>
        <w:t xml:space="preserve">Räuchern: </w:t>
      </w:r>
      <w:r>
        <w:rPr>
          <w:rFonts w:ascii="Times New Roman" w:hAnsi="Times New Roman"/>
          <w:sz w:val="24"/>
        </w:rPr>
        <w:t>ein Verfahren, dessen Ziel es ist, den Erzeugnissen mit dem erzeugten Rauch einen Rauchgeschmack und eine Räucherfarbe zu verleihen und einen Produktcharakter entstehen zu lassen. Dabei werden die Erzeugnisse direkt oder indirekt dem Rauch von Holzfeuer (Hartholz) ausgesetzt. Folgende Räucherverfahren können dabei angewendet werden:</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3.1. </w:t>
      </w:r>
      <w:r>
        <w:rPr>
          <w:rFonts w:ascii="Times New Roman" w:hAnsi="Times New Roman"/>
          <w:i/>
          <w:sz w:val="24"/>
        </w:rPr>
        <w:t xml:space="preserve">Kalträuchern: </w:t>
      </w:r>
      <w:r>
        <w:rPr>
          <w:rFonts w:ascii="Times New Roman" w:hAnsi="Times New Roman"/>
          <w:sz w:val="24"/>
        </w:rPr>
        <w:t>Räuchern bei Temperaturen unter 40 °C, mit unterschiedlicher Dauer für:</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3.1.1. herkömmliches langes Kalträuchern, bei dem das Produkt über längere Zeit in mehreren Phasen dem verdünnten Rauch ausgesetzt wird,</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3.1.2. ein kurzes Räucherverfahren, bei dem das Produkt – bei entsprechendem Durchröten – mit dichtem kaltem Rauch über mehrere Tage geräuchert wird;</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 xml:space="preserve">3.2. </w:t>
      </w:r>
      <w:r>
        <w:rPr>
          <w:rFonts w:ascii="Times New Roman" w:hAnsi="Times New Roman"/>
          <w:i/>
          <w:sz w:val="24"/>
        </w:rPr>
        <w:t>Warmräuchern</w:t>
      </w:r>
      <w:r>
        <w:rPr>
          <w:rFonts w:ascii="Times New Roman" w:hAnsi="Times New Roman"/>
          <w:sz w:val="24"/>
        </w:rPr>
        <w:t>: Räuchern bei einer Temperatur von 40 bis 60 °C.</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Gewürzpaprika:</w:t>
      </w:r>
      <w:r>
        <w:rPr>
          <w:rFonts w:ascii="Times New Roman" w:hAnsi="Times New Roman"/>
          <w:sz w:val="24"/>
        </w:rPr>
        <w:t xml:space="preserve"> zur Familie der Nachtschattengewächse (Solanaceae) gehörende Pflanzenart Capsicum annuum L. var. longum DC., frisch oder getrocknet.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Geruch:</w:t>
      </w:r>
      <w:r>
        <w:rPr>
          <w:rFonts w:ascii="Times New Roman" w:hAnsi="Times New Roman"/>
          <w:sz w:val="24"/>
        </w:rPr>
        <w:t xml:space="preserve"> Duft, Geruchsharmonie und Würze des vorbereiteten Musters, die mit dem Geruchssinn wahrnehmbar sind.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Geschmack:</w:t>
      </w:r>
      <w:r>
        <w:rPr>
          <w:rFonts w:ascii="Times New Roman" w:hAnsi="Times New Roman"/>
          <w:sz w:val="24"/>
        </w:rPr>
        <w:t xml:space="preserve"> Aroma, Würze, Geschmacksharmonie und Schärfe des Musters, die den Geschmack bilden und durch Verkosten des Musters wahrzunehmen sind.</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 xml:space="preserve">Äußere Erscheinung: </w:t>
      </w:r>
      <w:r>
        <w:rPr>
          <w:rFonts w:ascii="Times New Roman" w:hAnsi="Times New Roman"/>
          <w:sz w:val="24"/>
        </w:rPr>
        <w:t>Gesamtheit der visuellen (sichtbaren) Eigenschaften, insbesondere die Feinheit und Einheitlichkeit der Mahlung.</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 xml:space="preserve">Mosaikartig: </w:t>
      </w:r>
      <w:r>
        <w:rPr>
          <w:rFonts w:ascii="Times New Roman" w:hAnsi="Times New Roman"/>
          <w:sz w:val="24"/>
        </w:rPr>
        <w:t>Präsenz von gut zu unterscheidenden Stücken der Fruchtteile (Haut, Kerne, Gehäuse) auf der geglätteten Oberfläche in mit dem Auge wahrnehmbarem Maße.</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 xml:space="preserve">Gesamt-Capsaicingehalt: </w:t>
      </w:r>
      <w:r>
        <w:rPr>
          <w:rFonts w:ascii="Times New Roman" w:hAnsi="Times New Roman"/>
          <w:sz w:val="24"/>
        </w:rPr>
        <w:t>Gesamtgehalt an Capsaicin und Dihydrocapsaicin.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 xml:space="preserve">Farbe: </w:t>
      </w:r>
      <w:r>
        <w:rPr>
          <w:rFonts w:ascii="Times New Roman" w:hAnsi="Times New Roman"/>
          <w:sz w:val="24"/>
        </w:rPr>
        <w:t>die Farbempfindung des Prüfers in Bezug auf das vorbereitete Muster, ergänzt durch die Prüfung der Nuancen und Reinheit in natürlichem, gestreutem Licht oder in einem gleichwertigen künstlichen Licht.</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i/>
          <w:sz w:val="24"/>
        </w:rPr>
        <w:t xml:space="preserve">Anbaugebiet: </w:t>
      </w:r>
      <w:r>
        <w:rPr>
          <w:rFonts w:ascii="Times New Roman" w:hAnsi="Times New Roman"/>
          <w:sz w:val="24"/>
        </w:rPr>
        <w:t>das Land, in dem der Gewürzpaprika, der die Grundlage des Pulvers bildet, angebaut wurde.</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TEIL B</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GERÄUCHERTES GEWÜRZPAPRIKAPULVER</w:t>
      </w:r>
    </w:p>
    <w:p w:rsidR="00F41BB9" w:rsidRPr="00AF44E5" w:rsidRDefault="00F41BB9" w:rsidP="00AF44E5">
      <w:pPr>
        <w:keepNext/>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Produktdefinition</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Geräuchertes Gewürzpaprikapulver ist das aus der reifen, getrockneten Frucht der Gewürzpaprika durch Räuchern und Mahlen hergestellte Produkt.</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2. Verwendbare Zutaten</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2.1. Zur Herstellung von geräuchertem Gewürzpaprikapulver darf ausschließlich die Frucht von Gewürzpaprika verwendet werden: Haut, Fruchtknoten, Fasern, Kerne in der Frucht sowie in veränderlichen Anteilen andere Bestandteile der Frucht wie das Kelchblatt und der Fruchtstiel.</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2.2. Die Verwendung von Lebensmittelzusatzstoffen, Raucharoma und sonstigen Zutaten ist nicht gestattet.</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3. Qualitätsmerkmale</w:t>
      </w:r>
    </w:p>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3.1. Physikalische und chemische Merkmale</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Physikalische und chemische Merkmale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Qualitätsanforderungen</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 an natürlichen, färbenden Substanzen, in ASTA-Farbeinheiten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Feuchtigkeitsgehalt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höchstens 11 %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Gesamtasche,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höchstens 8 %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 an nicht säurelöslicher Asche,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höchstens 0,7 %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Mit Ether extrahierbare nicht flüchtige Bestandteile,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höchstens 16 % (m/m)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Mahlfeinheitsgrad, Teil der durch ein Sieb mit ø 0,500 (mm) fällt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100 %</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3.2. Einteilung der Gewürzpaprikapulver nach Schärfe</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Bezeichnung der Schärfe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Gesamt-Capsaicingehalt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Nicht scharf (süß)</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weniger als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Leicht scharf</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Scharf</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Sehr scharf</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über 500</w:t>
            </w:r>
          </w:p>
        </w:tc>
      </w:tr>
    </w:tbl>
    <w:p w:rsidR="00F41BB9" w:rsidRPr="00AF44E5" w:rsidRDefault="00F41BB9" w:rsidP="00AF44E5">
      <w:pPr>
        <w:keepNext/>
        <w:autoSpaceDE w:val="0"/>
        <w:autoSpaceDN w:val="0"/>
        <w:adjustRightInd w:val="0"/>
        <w:spacing w:before="240" w:after="240" w:line="240" w:lineRule="auto"/>
        <w:ind w:left="204" w:firstLine="204"/>
        <w:jc w:val="both"/>
        <w:rPr>
          <w:rFonts w:ascii="Times New Roman" w:hAnsi="Times New Roman" w:cs="Times New Roman"/>
          <w:sz w:val="24"/>
          <w:szCs w:val="24"/>
        </w:rPr>
      </w:pPr>
      <w:r>
        <w:rPr>
          <w:rFonts w:ascii="Times New Roman" w:hAnsi="Times New Roman"/>
          <w:sz w:val="24"/>
        </w:rPr>
        <w:t>3.3. Organoleptische Merkmale</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Äußere Erscheinung</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Farbe</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Geruch</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Geschmack</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Annehmbare Merkmale</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Homogen, feine Mahlung oder in nicht zu unterscheidenden Farbeffekten leicht mosaikartig.</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Gleichmäßig rot, dunkelrot, ziegelrot oder fuchsrot.</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Charakteristisch, klar, intensiv, würzig, leicht nach Karamell.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Leicht bitter, leicht herb, zumindest ein leichter Rauchduft. Frei von sonstigem fremdem Geruch.</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Charakteristisch, aromatisch, klar, intensiv, harmonisch, leicht süßlich, leicht nach Karamell.</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Leicht schal oder leicht bitter, leicht herb. Zumindest ein leichter Rauchgeschmack. Frei von sonstigem fremdem Geschmack.</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Muss der auf der Verpackung angegebenen Schärfekategorie gut erkennbar entsprechen.</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Nicht annehmbare Merkmale</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Nicht homogene Mahlung. Mosaikartig in zu unterscheidenden Farbeffekten. Grobe Mahlung oder Zusammensetzung, nicht zerdrückbare, klumpige Körner, hoher Faseranteil.</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Mit bloßem Auge erkennbare Fremdstoffe.</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Gelblich oder bräunlich oder rot mit schwarzen Nuancen. Gelb oder braun. Ungleichmäßige Farbeffekte.</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Verblasste helle Färbung oder </w:t>
            </w:r>
            <w:r>
              <w:rPr>
                <w:rFonts w:ascii="Times New Roman" w:hAnsi="Times New Roman"/>
                <w:sz w:val="20"/>
              </w:rPr>
              <w:lastRenderedPageBreak/>
              <w:t>braun verfärbt, verbrannt.</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 xml:space="preserve">Unscheinbar, sehr herb, leicht vergoren, zu stark oder gar nicht wahrnehmbarer Rauchgeruch. Auch nach Luftzufuhr noch schal, bitter, sauer, muffig, schimmelig, ranzig, verbrannt oder sonstiger fremder, für </w:t>
            </w:r>
            <w:r>
              <w:rPr>
                <w:rFonts w:ascii="Times New Roman" w:hAnsi="Times New Roman"/>
                <w:sz w:val="20"/>
              </w:rPr>
              <w:lastRenderedPageBreak/>
              <w:t>das Produkt untypischer oder widerlicher Geruch.</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lastRenderedPageBreak/>
              <w:t>Untypisch, schal, grasig, leicht sauer, bitter, ranzig, muffig, verbrannt, schimmelig.</w:t>
            </w:r>
          </w:p>
          <w:p w:rsidR="00ED5194"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Der Rauchgeschmack ist zu stark oder gar nicht wahrnehmbar.</w:t>
            </w:r>
          </w:p>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 xml:space="preserve">Für das Produkt untypischer fremder Geschmack. Entspricht </w:t>
            </w:r>
            <w:r>
              <w:rPr>
                <w:rFonts w:ascii="Times New Roman" w:hAnsi="Times New Roman"/>
                <w:sz w:val="20"/>
              </w:rPr>
              <w:lastRenderedPageBreak/>
              <w:t xml:space="preserve">nicht der auf der Verpackung angegebenen Schärfekategorie. </w:t>
            </w:r>
          </w:p>
        </w:tc>
      </w:tr>
    </w:tbl>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lastRenderedPageBreak/>
        <w:t>4. Verpackung und Lagerung</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4.1. In Verkehr zu bringendes geräuchertes Gewürzpaprikapulver ist in undurchlässigem Verpackungsmaterial mit Lichtschutz zu verpacken, das kein Fett absorbiert, und so zu verschließen, dass seine Echtheit garantiert ist, sofern keine Beschädigung des Verschlusses sichtbar ist.</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4.2. Das geräucherte Gewürzpaprikapulver ist trocken, kühl, gut belüftet, vor direkter Sonneneinstrahlung, Insekten und Nagetieren geschützt zu lagern.</w:t>
      </w:r>
    </w:p>
    <w:p w:rsidR="00F41BB9" w:rsidRPr="00AF44E5" w:rsidRDefault="00F41BB9" w:rsidP="00AF44E5">
      <w:pPr>
        <w:keepNext/>
        <w:autoSpaceDE w:val="0"/>
        <w:autoSpaceDN w:val="0"/>
        <w:adjustRightInd w:val="0"/>
        <w:spacing w:before="240" w:after="0" w:line="240" w:lineRule="auto"/>
        <w:ind w:firstLine="204"/>
        <w:jc w:val="both"/>
        <w:rPr>
          <w:rFonts w:ascii="Times New Roman" w:hAnsi="Times New Roman" w:cs="Times New Roman"/>
          <w:sz w:val="24"/>
          <w:szCs w:val="24"/>
        </w:rPr>
      </w:pPr>
      <w:r>
        <w:rPr>
          <w:rFonts w:ascii="Times New Roman" w:hAnsi="Times New Roman"/>
          <w:sz w:val="24"/>
        </w:rPr>
        <w:t>5. Kennzeichnung</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5.1. Bezeichnung</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5.1.1. Die Bezeichnung muss Folgendes enthalten: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5.1.1.1. den Begriff „geräuchertes Gewürzpaprikapulver“ oder „geräucherter, gemahlener Gewürzpaprika“ oder eine andere Bezeichnung mit der gleichen Bedeutung für den Verbraucher wie „geräucherter Paprika“ (z. B. geräucherter gemahlener Paprika);</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5.1.1.2. den Hinweis auf die Schärfe des Produkts mit den Begriffen „nicht scharf“ oder „süß“, „leicht scharf“,</w:t>
      </w:r>
    </w:p>
    <w:p w:rsidR="00F41BB9" w:rsidRPr="00AF44E5" w:rsidRDefault="00F41BB9" w:rsidP="00F41BB9">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„scharf“ oder „sehr scharf“.</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5.1.2. Es ist verboten, in der Bezeichnung und dem Markennamen des Produktes eine ungarische geographische Einheit anzugeben, wenn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5.1.2.1. das Paprikapulver nicht ausschließlich unter Verwendung von in Ungarn angebautem Gewürzpaprika hergestellt wurde, oder</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5.1.2.2. es mit Gewürzpaprikapulver, dass nicht aus Ungarn stammt, gemischt wurde.</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5.2. Angabe der Schärfe</w:t>
      </w:r>
    </w:p>
    <w:p w:rsidR="00F41BB9" w:rsidRPr="00AF44E5" w:rsidRDefault="00F41BB9" w:rsidP="00F41BB9">
      <w:pPr>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Über die Bestimmungen in Nummer 5.1.1.2. hinaus muss auf der Produktverpackung ein Piktogramm zur Darstellung der Schärfe sowie der Gesamt-Capsaicingehalt in mg/kg enthalten sein.</w:t>
      </w:r>
    </w:p>
    <w:p w:rsidR="00F41BB9" w:rsidRPr="00AF44E5" w:rsidRDefault="00F41BB9" w:rsidP="00AF44E5">
      <w:pPr>
        <w:keepNext/>
        <w:autoSpaceDE w:val="0"/>
        <w:autoSpaceDN w:val="0"/>
        <w:adjustRightInd w:val="0"/>
        <w:spacing w:after="0" w:line="240" w:lineRule="auto"/>
        <w:ind w:left="204" w:firstLine="204"/>
        <w:jc w:val="both"/>
        <w:rPr>
          <w:rFonts w:ascii="Times New Roman" w:hAnsi="Times New Roman" w:cs="Times New Roman"/>
          <w:sz w:val="24"/>
          <w:szCs w:val="24"/>
        </w:rPr>
      </w:pPr>
      <w:r>
        <w:rPr>
          <w:rFonts w:ascii="Times New Roman" w:hAnsi="Times New Roman"/>
          <w:sz w:val="24"/>
        </w:rPr>
        <w:t>5.3. Angabe des Anbaugebiets</w:t>
      </w:r>
    </w:p>
    <w:p w:rsidR="00F41BB9" w:rsidRPr="00AF44E5" w:rsidRDefault="00F41BB9" w:rsidP="00AF44E5">
      <w:pPr>
        <w:keepNext/>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5.3.1. Das Anbaugebiet ist auf der Verpackung des geräucherten Gewürzpaprikapulvers anzugeben.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5.3.1.1. Wird Gewürzpaprika(-pulver) aus mehreren Anbaugebieten verwendet, so sind die entsprechenden Anbaugebiete in absteigender Reihenfolge der verwendeten Menge an Gewürzpaprika(-pulver) und unter Angabe der verwendeten Menge an Gewürzpaprika(-pulver) aus diesen Anbaugebieten in Masseprozent [z. B. Ungarn (70 %), Spanien (20 %), China (10 %)] anzugeben.</w:t>
      </w:r>
    </w:p>
    <w:p w:rsidR="00F41BB9" w:rsidRPr="00AF44E5" w:rsidRDefault="00F41BB9" w:rsidP="00F41BB9">
      <w:pPr>
        <w:autoSpaceDE w:val="0"/>
        <w:autoSpaceDN w:val="0"/>
        <w:adjustRightInd w:val="0"/>
        <w:spacing w:after="0" w:line="240" w:lineRule="auto"/>
        <w:ind w:left="816" w:hanging="204"/>
        <w:jc w:val="both"/>
        <w:rPr>
          <w:rFonts w:ascii="Times New Roman" w:hAnsi="Times New Roman" w:cs="Times New Roman"/>
          <w:sz w:val="24"/>
          <w:szCs w:val="24"/>
        </w:rPr>
      </w:pPr>
      <w:r>
        <w:rPr>
          <w:rFonts w:ascii="Times New Roman" w:hAnsi="Times New Roman"/>
          <w:sz w:val="24"/>
        </w:rPr>
        <w:t>5.3.1.2. Stammt das verwendete Paprikapulver aus nur einem Anbaugebiet, kann in der Bezeichnung des Produktes auch auf das Land verwiesen werden, in dem der Gewürzpaprika angebaut wurde (z. B. geräuchertes Gewürzpaprikapulver, Anbaugebiet: Spanien).</w:t>
      </w:r>
    </w:p>
    <w:p w:rsidR="00F41BB9" w:rsidRPr="00AF44E5" w:rsidRDefault="00F41BB9" w:rsidP="00F41BB9">
      <w:pPr>
        <w:autoSpaceDE w:val="0"/>
        <w:autoSpaceDN w:val="0"/>
        <w:adjustRightInd w:val="0"/>
        <w:spacing w:after="0" w:line="240" w:lineRule="auto"/>
        <w:ind w:left="612" w:hanging="204"/>
        <w:jc w:val="both"/>
        <w:rPr>
          <w:rFonts w:ascii="Times New Roman" w:hAnsi="Times New Roman" w:cs="Times New Roman"/>
          <w:sz w:val="24"/>
          <w:szCs w:val="24"/>
        </w:rPr>
      </w:pPr>
      <w:r>
        <w:rPr>
          <w:rFonts w:ascii="Times New Roman" w:hAnsi="Times New Roman"/>
          <w:sz w:val="24"/>
        </w:rPr>
        <w:t xml:space="preserve">5.3.2. Das Anbaugebiet ist im Hauptsichtfeld in einer Größe, die mindestens 50 % der größten auf der Verpackung verwendeten Schriftgröße beträgt und nicht kleiner sein darf als die in Artikel 13 Absatz 2 und 3 der Verordnung (EU) Nr. 1169/2011 des Europäischen Parlaments und des Rates vom 25. Oktober 2011 betreffend die Information der </w:t>
      </w:r>
      <w:r>
        <w:rPr>
          <w:rFonts w:ascii="Times New Roman" w:hAnsi="Times New Roman"/>
          <w:sz w:val="24"/>
        </w:rPr>
        <w:lastRenderedPageBreak/>
        <w:t>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für die verpflichtenden Angaben festgelegte Schriftgröße.</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TEIL C</w:t>
      </w:r>
    </w:p>
    <w:p w:rsidR="00F41BB9" w:rsidRPr="00AF44E5" w:rsidRDefault="00F41BB9" w:rsidP="00AF44E5">
      <w:pPr>
        <w:keepNext/>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sz w:val="24"/>
        </w:rPr>
        <w:t>METHODIK</w:t>
      </w:r>
    </w:p>
    <w:p w:rsidR="00F41BB9" w:rsidRPr="00AF44E5" w:rsidRDefault="00F41BB9" w:rsidP="00AF44E5">
      <w:pPr>
        <w:keepNext/>
        <w:autoSpaceDE w:val="0"/>
        <w:autoSpaceDN w:val="0"/>
        <w:adjustRightInd w:val="0"/>
        <w:spacing w:after="240" w:line="240" w:lineRule="auto"/>
        <w:ind w:firstLine="204"/>
        <w:jc w:val="both"/>
        <w:rPr>
          <w:rFonts w:ascii="Times New Roman" w:hAnsi="Times New Roman" w:cs="Times New Roman"/>
          <w:sz w:val="24"/>
          <w:szCs w:val="24"/>
        </w:rPr>
      </w:pPr>
      <w:r>
        <w:rPr>
          <w:rFonts w:ascii="Times New Roman" w:hAnsi="Times New Roman"/>
          <w:sz w:val="24"/>
        </w:rPr>
        <w:t>Bei der Kontrolle der in Teil B festgelegten Qualitätsmerkmale sind die nachfolgend aufgeführten – oder damit gleichwertige – Methoden anzuwenden.</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Physikalische und chemische Merkmale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Ziffer der Analysemethode</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 an natürlichen, färbenden Substanzen, in ASTA-Farbeinheiten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Feuchtigkeitsgehalt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EN ISO 7540</w:t>
            </w:r>
            <w:r>
              <w:rPr>
                <w:rFonts w:ascii="Times New Roman" w:hAnsi="Times New Roman"/>
                <w:sz w:val="20"/>
              </w:rPr>
              <w:br/>
              <w:t>(entsprechend dem Anhang)</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Gesamtasche,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Gehalt an nicht säurelöslicher Asche,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Mit Ether extrahierbare nicht flüchtige Bestandteile, bezogen auf die Trockenmasse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Mahlfeinheitsgrad, Teil der durch ein Sieb mit ø 0,500 (mm) fällt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Gesamt-Capsaicingehalt</w:t>
            </w:r>
            <w:r>
              <w:rPr>
                <w:rFonts w:ascii="Times New Roman" w:hAnsi="Times New Roman"/>
                <w:sz w:val="20"/>
              </w:rPr>
              <w:br/>
              <w:t>(Gesamtgehalt an Capsaicin und Dihydrocapsaicin)</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sz w:val="20"/>
              </w:rPr>
              <w:t>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Organoleptische Merkmale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rFonts w:ascii="Times New Roman" w:hAnsi="Times New Roman" w:cs="Times New Roman"/>
                <w:sz w:val="20"/>
                <w:szCs w:val="20"/>
              </w:rPr>
            </w:pPr>
            <w:r>
              <w:rPr>
                <w:rFonts w:ascii="Times New Roman" w:hAnsi="Times New Roman"/>
                <w:sz w:val="20"/>
              </w:rPr>
              <w:t>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rFonts w:ascii="Times New Roman" w:hAnsi="Times New Roman" w:cs="Times New Roman"/>
                <w:sz w:val="20"/>
                <w:szCs w:val="20"/>
              </w:rPr>
            </w:pPr>
            <w:r>
              <w:rPr>
                <w:rFonts w:ascii="Times New Roman" w:hAnsi="Times New Roman"/>
                <w:sz w:val="20"/>
              </w:rPr>
              <w:t xml:space="preserve"> „</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E56" w:rsidRDefault="00A50E56" w:rsidP="00A57A6B">
      <w:pPr>
        <w:spacing w:after="0" w:line="240" w:lineRule="auto"/>
      </w:pPr>
      <w:r>
        <w:separator/>
      </w:r>
    </w:p>
  </w:endnote>
  <w:endnote w:type="continuationSeparator" w:id="0">
    <w:p w:rsidR="00A50E56" w:rsidRDefault="00A50E56"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E56" w:rsidRDefault="00A50E56" w:rsidP="00A57A6B">
      <w:pPr>
        <w:spacing w:after="0" w:line="240" w:lineRule="auto"/>
      </w:pPr>
      <w:r>
        <w:separator/>
      </w:r>
    </w:p>
  </w:footnote>
  <w:footnote w:type="continuationSeparator" w:id="0">
    <w:p w:rsidR="00A50E56" w:rsidRDefault="00A50E56"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9"/>
    <w:rsid w:val="0015196D"/>
    <w:rsid w:val="002C2D55"/>
    <w:rsid w:val="00327C84"/>
    <w:rsid w:val="0041205F"/>
    <w:rsid w:val="005443DC"/>
    <w:rsid w:val="00813465"/>
    <w:rsid w:val="00A21DB1"/>
    <w:rsid w:val="00A50E56"/>
    <w:rsid w:val="00A57A6B"/>
    <w:rsid w:val="00A8487D"/>
    <w:rsid w:val="00AF44E5"/>
    <w:rsid w:val="00B82F49"/>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CE08A-9501-42E5-8362-202DA9499D7B}">
  <ds:schemaRefs>
    <ds:schemaRef ds:uri="http://schemas.microsoft.com/sharepoint/v3/contenttype/forms"/>
  </ds:schemaRefs>
</ds:datastoreItem>
</file>

<file path=customXml/itemProps3.xml><?xml version="1.0" encoding="utf-8"?>
<ds:datastoreItem xmlns:ds="http://schemas.openxmlformats.org/officeDocument/2006/customXml" ds:itemID="{C54711B7-8959-41A6-9C69-25C157340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Ke, Tingting</cp:lastModifiedBy>
  <cp:revision>11</cp:revision>
  <dcterms:created xsi:type="dcterms:W3CDTF">2020-09-23T11:04:00Z</dcterms:created>
  <dcterms:modified xsi:type="dcterms:W3CDTF">2020-12-04T02:22:00Z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