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BB9" w:rsidRPr="00AF44E5" w:rsidRDefault="00A21DB1" w:rsidP="00F41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/>
          <w:sz w:val="20"/>
          <w:szCs w:val="20"/>
        </w:rPr>
        <w:t>1. ----</w:t>
      </w:r>
      <w:r w:rsidR="00AA5901">
        <w:rPr>
          <w:rFonts w:ascii="Courier New" w:hAnsi="Courier New"/>
          <w:sz w:val="20"/>
          <w:szCs w:val="20"/>
        </w:rPr>
        <w:t>-</w:t>
      </w: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-IND- 2019 0551 HU- HR- ------ </w:t>
      </w:r>
      <w:r>
        <w:rPr>
          <w:rFonts w:ascii="Segoe UI" w:hAnsi="Segoe UI"/>
          <w:color w:val="000000"/>
          <w:sz w:val="20"/>
          <w:szCs w:val="20"/>
        </w:rPr>
        <w:t>20201130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ourier New" w:hAnsi="Courier New"/>
          <w:sz w:val="20"/>
          <w:szCs w:val="20"/>
        </w:rPr>
        <w:t>--- --- FINAL</w:t>
      </w:r>
    </w:p>
    <w:p w:rsidR="00F41BB9" w:rsidRPr="00AF44E5" w:rsidRDefault="00F41BB9" w:rsidP="00F41BB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Uredba br. 8/2020 ministra poljoprivrede od 25. ožujka 2020.</w:t>
      </w:r>
    </w:p>
    <w:p w:rsidR="00F41BB9" w:rsidRPr="00AF44E5" w:rsidRDefault="00F41BB9" w:rsidP="00F41BB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kojom se izmjenjuje Uredba br. 152/2009 ministra poljoprivrede i ruralnog razvoja od 12. studenoga 2009. o obveznim zahtjevima dokumenta Codex Alimentarius Hungaricus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skladu s ovlaštenjem dodijeljenim člankom 76. stavkom 2. točkom 5. Zakona XLVI iz 2008. o prehrambenom lancu i njegovom službenom nadzoru te u okviru opsega mojih dužnosti, kako je utvrđeno člankom 79. stavkom 3. Uredbe Vlade br. 94/2018 od 22. svibnja 2018. o dužnostima i ovlastima članova Vlade, ovime utvrđujem sljedeće: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 1.</w:t>
      </w:r>
      <w:r>
        <w:rPr>
          <w:rFonts w:ascii="Times New Roman" w:hAnsi="Times New Roman"/>
          <w:sz w:val="24"/>
          <w:szCs w:val="24"/>
        </w:rPr>
        <w:t xml:space="preserve"> Sljedeća točka </w:t>
      </w:r>
      <w:r>
        <w:rPr>
          <w:rFonts w:ascii="Times New Roman" w:hAnsi="Times New Roman"/>
          <w:i/>
          <w:iCs/>
          <w:sz w:val="24"/>
          <w:szCs w:val="24"/>
        </w:rPr>
        <w:t>(e)</w:t>
      </w:r>
      <w:r>
        <w:rPr>
          <w:rFonts w:ascii="Times New Roman" w:hAnsi="Times New Roman"/>
          <w:sz w:val="24"/>
          <w:szCs w:val="24"/>
        </w:rPr>
        <w:t xml:space="preserve"> dodaje se članku 1. stavku 3. Uredbe br. 152/2009 ministra poljoprivrede i ruralnog razvoja od 12. studenoga 2009. o obveznim zahtjevima za „Codex Alimentarius Hungaricus” (u daljnjem tekstu: „Uredba”):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[Obvezni zahtjevi poglavlja I. dokumenta Codex Alimentarius Hungaricus koje sadržava opise nacionalnih proizvoda, utvrđeni su u sljedećem Prilogu ovoj Uredbi:]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„(e) </w:t>
      </w:r>
      <w:r>
        <w:rPr>
          <w:rFonts w:ascii="Times New Roman" w:hAnsi="Times New Roman"/>
          <w:i/>
          <w:iCs/>
          <w:sz w:val="24"/>
          <w:szCs w:val="24"/>
        </w:rPr>
        <w:t>Prilog 41.</w:t>
      </w:r>
      <w:r>
        <w:rPr>
          <w:rFonts w:ascii="Times New Roman" w:hAnsi="Times New Roman"/>
          <w:sz w:val="24"/>
          <w:szCs w:val="24"/>
        </w:rPr>
        <w:t xml:space="preserve"> u pogledu dimljene mljevene paprike.”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 2.</w:t>
      </w:r>
      <w:r>
        <w:rPr>
          <w:rFonts w:ascii="Times New Roman" w:hAnsi="Times New Roman"/>
          <w:sz w:val="24"/>
          <w:szCs w:val="24"/>
        </w:rPr>
        <w:t xml:space="preserve"> Članku 2. Uredbe dodaje se sljedeći stavak 16.: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„16. Proizvodi koji nisu sukladni s odredbama Priloga 41. Uredbi br. 8/2020 ministra poljoprivrede od 25. ožujka 2020. o izmjeni Uredbe br. 152/2009 ministra poljoprivrede i ruralnog razvoja od 12. studenoga 2009. o obveznim zahtjevima dokumenta Codex Alimentarius Hungaricus (dalje u tekstu: „Izmijenjena uredba 6”) mogu se proizvoditi tijekom dvije godine nakon stupanja na snagu Izmijenjene uredbe 6 i smiju se distribuirati do njihova roka valjanosti.”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 3.</w:t>
      </w:r>
      <w:r>
        <w:rPr>
          <w:rFonts w:ascii="Times New Roman" w:hAnsi="Times New Roman"/>
          <w:sz w:val="24"/>
          <w:szCs w:val="24"/>
        </w:rPr>
        <w:t xml:space="preserve"> Sljedeći članak 6. dodaje se Uredbi: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„Članak 6. Ispunjen je zahtjev za prethodno priopćenje nacrta Priloga 41. ovoj Uredbi, kako je propisano člancima od 5. do 7. Direktive (EU) 2015/1535 Europskog parlamenta i Vijeća od 9. rujna 2015. o utvrđivanju postupka pružanja informacija u području tehničkih propisa i pravila o uslugama informacijskog društva.”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 4.</w:t>
      </w:r>
      <w:r>
        <w:rPr>
          <w:rFonts w:ascii="Times New Roman" w:hAnsi="Times New Roman"/>
          <w:sz w:val="24"/>
          <w:szCs w:val="24"/>
        </w:rPr>
        <w:t xml:space="preserve"> Uredbi se dodaje Prilog 41., kako je opisan u Prilogu 1.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 5.</w:t>
      </w:r>
      <w:r>
        <w:rPr>
          <w:rFonts w:ascii="Times New Roman" w:hAnsi="Times New Roman"/>
          <w:sz w:val="24"/>
          <w:szCs w:val="24"/>
        </w:rPr>
        <w:t xml:space="preserve"> Ova Uredba stupa na snagu treći dan nakon njezine objave.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6.</w:t>
      </w:r>
      <w:r>
        <w:rPr>
          <w:rFonts w:ascii="Times New Roman" w:hAnsi="Times New Roman"/>
          <w:sz w:val="24"/>
          <w:szCs w:val="24"/>
        </w:rPr>
        <w:t xml:space="preserve"> Ispunjen je zahtjev za prethodno obavješćivanje o nacrtu ove Uredbe, kako je propisano člancima 5. do 7. Direktive (EU) 2015/1535 Europskog parlamenta i Vijeća od 9. rujna 2015. o utvrđivanju postupka pružanja informacija u području tehničkih propisa i pravila o uslugama informacijskog društva.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lastRenderedPageBreak/>
        <w:t>Prilog 1. Uredbi br. 8/2020 ministra poljoprivrede od 25. ožujka 2020.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„Prilog 41. Uredbi br. 152/2009 ministra poljoprivrede i ruralnog razvoja od 12. studenoga 2009.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Uredba br. 1-3/18-1 zakonika Codexa Alimentariusa Hungaricus u pogledu dimljene mljevene paprike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DIO A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OPĆE ODREDBE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 skladu s člankom 66. stavkom 1. Zakona XLVI iz 2008. o prehrambenom lancu i njegovom službenom nadzoru, ovom su Uredbom utvrđeni zahtjevi za proizvode dobivene dimljenjem i mljevenjem zrelih, sušenih plodova Capsicum annuum L. sorta longum DC koji pripadaju porodici pomoćnica (Solanaceae).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Norma se ne primjenjuje na mljevenu papriku koja nosi zaštićenu oznaku izvornosti u skladu s Uredbom (EU) br. 1151/2012 Europskog parlamenta i Vijeća od 21. studenoga 2012. o sustavima kvalitete za poljoprivredne i prehrambene proizvode.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Izraz dimljena mljevena paprika definiran u Uredbi smije se primjenjivati samo ako proizvod ispunjava zahtjeve utvrđene u ovoj Uredbi.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Značajke kvalitete definirane u Uredbi utvrđene su primjenom metoda pregleda iz dijela C Uredbe. Prema tome, nakon provjere značajki kvalitete valja primjenjivati metode pregleda utvrđene u tom dijelu ili njegovom jednakovrijednom dokumentu.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Proizvodi koji se proizvode ili stavljaju na tržište u bilo kojoj državi članici Europske unije ili Turskoj ili koji se proizvode u državi EFTA-e koja je potpisnica Sporazuma o Europskom gospodarskom prostoru u skladu s važećim nacionalnim zakonodavstvom ne moraju ispunjavati tehničke odredbe utvrđene u ovom propisu pod uvjetom da se odredbama kojima se uređuje zaštita potrošača jamči jednaki stupanj zaštite kao i odredbama ove Uredbe.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potrebe ove Uredbe: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i/>
          <w:iCs/>
          <w:sz w:val="24"/>
          <w:szCs w:val="24"/>
        </w:rPr>
        <w:t>Koža</w:t>
      </w:r>
      <w:r>
        <w:rPr>
          <w:rFonts w:ascii="Times New Roman" w:hAnsi="Times New Roman"/>
          <w:sz w:val="24"/>
          <w:szCs w:val="24"/>
        </w:rPr>
        <w:t>: perikarp ploda paprike koji sadrži pigment.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i/>
          <w:iCs/>
          <w:sz w:val="24"/>
          <w:szCs w:val="24"/>
        </w:rPr>
        <w:t>Stabljika</w:t>
      </w:r>
      <w:r>
        <w:rPr>
          <w:rFonts w:ascii="Times New Roman" w:hAnsi="Times New Roman"/>
          <w:sz w:val="24"/>
          <w:szCs w:val="24"/>
        </w:rPr>
        <w:t>: zelena formacija koja nastaje spajanjem peteljke i čašičnih listića.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i/>
          <w:iCs/>
          <w:sz w:val="24"/>
          <w:szCs w:val="24"/>
        </w:rPr>
        <w:t>Dimljenje</w:t>
      </w:r>
      <w:r>
        <w:rPr>
          <w:rFonts w:ascii="Times New Roman" w:hAnsi="Times New Roman"/>
          <w:sz w:val="24"/>
          <w:szCs w:val="24"/>
        </w:rPr>
        <w:t>: radnja kojom se proizvodu želi dati dimljeni okus i boja i kojom se uspostavlja narav proizvoda s pomoću dima. Dimljenje se postiže nesavršenim, izravnim sagorijevanjem tvrde drvne građe. Dimljenje se može provoditi na sljedeće načine: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i/>
          <w:iCs/>
          <w:sz w:val="24"/>
          <w:szCs w:val="24"/>
        </w:rPr>
        <w:t>hladno dimljenje</w:t>
      </w:r>
      <w:r>
        <w:rPr>
          <w:rFonts w:ascii="Times New Roman" w:hAnsi="Times New Roman"/>
          <w:sz w:val="24"/>
          <w:szCs w:val="24"/>
        </w:rPr>
        <w:t>: dimljenje koje se provodi na temperaturama koje premašuju 40 °C; ovisno o njegovom trajanju, ono može biti: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 tradicionalno dugo hladno dimljenje, tijekom kojeg se proizvod redovno dimi s pomoću razrijeđenog, laganijeg dima tijekom duljeg razdoblja;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 kratki postupak hladnog dimljenja, tijekom kojeg se proizvod – kako bi se poprimila crvena boja – dimi tijekom nekoliko dana s pomoću gustog, hladnog dima.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>
        <w:rPr>
          <w:rFonts w:ascii="Times New Roman" w:hAnsi="Times New Roman"/>
          <w:i/>
          <w:iCs/>
          <w:sz w:val="24"/>
          <w:szCs w:val="24"/>
        </w:rPr>
        <w:t>vruće dimljenje</w:t>
      </w:r>
      <w:r>
        <w:rPr>
          <w:rFonts w:ascii="Times New Roman" w:hAnsi="Times New Roman"/>
          <w:sz w:val="24"/>
          <w:szCs w:val="24"/>
        </w:rPr>
        <w:t>: dimljenje koje se provodi na temperaturama u rasponu od 40 do 60 °C.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i/>
          <w:iCs/>
          <w:sz w:val="24"/>
          <w:szCs w:val="24"/>
        </w:rPr>
        <w:t>Paprika:</w:t>
      </w:r>
      <w:r>
        <w:rPr>
          <w:rFonts w:ascii="Times New Roman" w:hAnsi="Times New Roman"/>
          <w:sz w:val="24"/>
          <w:szCs w:val="24"/>
        </w:rPr>
        <w:t xml:space="preserve"> Plodovi biljke </w:t>
      </w:r>
      <w:r>
        <w:rPr>
          <w:rFonts w:ascii="Times New Roman" w:hAnsi="Times New Roman"/>
          <w:i/>
          <w:iCs/>
          <w:sz w:val="24"/>
          <w:szCs w:val="24"/>
        </w:rPr>
        <w:t>Capsicum annuum</w:t>
      </w:r>
      <w:r>
        <w:rPr>
          <w:rFonts w:ascii="Times New Roman" w:hAnsi="Times New Roman"/>
          <w:sz w:val="24"/>
          <w:szCs w:val="24"/>
        </w:rPr>
        <w:t xml:space="preserve"> L. sorte </w:t>
      </w:r>
      <w:r>
        <w:rPr>
          <w:rFonts w:ascii="Times New Roman" w:hAnsi="Times New Roman"/>
          <w:i/>
          <w:iCs/>
          <w:sz w:val="24"/>
          <w:szCs w:val="24"/>
        </w:rPr>
        <w:t>longum</w:t>
      </w:r>
      <w:r>
        <w:rPr>
          <w:rFonts w:ascii="Times New Roman" w:hAnsi="Times New Roman"/>
          <w:sz w:val="24"/>
          <w:szCs w:val="24"/>
        </w:rPr>
        <w:t xml:space="preserve"> DC, svježi ili sušeni, koji pripadaju porodici pomoćnica (</w:t>
      </w:r>
      <w:r>
        <w:rPr>
          <w:rFonts w:ascii="Times New Roman" w:hAnsi="Times New Roman"/>
          <w:i/>
          <w:iCs/>
          <w:sz w:val="24"/>
          <w:szCs w:val="24"/>
        </w:rPr>
        <w:t>Solanaceae</w:t>
      </w:r>
      <w:r>
        <w:rPr>
          <w:rFonts w:ascii="Times New Roman" w:hAnsi="Times New Roman"/>
          <w:sz w:val="24"/>
          <w:szCs w:val="24"/>
        </w:rPr>
        <w:t>).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Aroma:</w:t>
      </w:r>
      <w:r>
        <w:rPr>
          <w:rFonts w:ascii="Times New Roman" w:hAnsi="Times New Roman"/>
          <w:sz w:val="24"/>
          <w:szCs w:val="24"/>
        </w:rPr>
        <w:t xml:space="preserve"> aroma, olfaktorni sklad i začinjenost pripremljenog uzorka koji se mogu doživjeti s pomoću organa njuha.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b/>
          <w:sz w:val="24"/>
          <w:szCs w:val="24"/>
        </w:rPr>
        <w:t>Okus:</w:t>
      </w:r>
      <w:r>
        <w:rPr>
          <w:rFonts w:ascii="Times New Roman" w:hAnsi="Times New Roman"/>
          <w:sz w:val="24"/>
          <w:szCs w:val="24"/>
        </w:rPr>
        <w:t xml:space="preserve"> okus, začinjenost, okusni sklad i oporost koji se mogu utvrditi oralnim kušanjem uzorka.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i/>
          <w:iCs/>
          <w:sz w:val="24"/>
          <w:szCs w:val="24"/>
        </w:rPr>
        <w:t>Vanjski izgled</w:t>
      </w:r>
      <w:r>
        <w:rPr>
          <w:rFonts w:ascii="Times New Roman" w:hAnsi="Times New Roman"/>
          <w:sz w:val="24"/>
          <w:szCs w:val="24"/>
        </w:rPr>
        <w:t>: zbroj svih vizualnih (vidljivih) svojstava, osobito veličine i ujednačenosti mljevenih zrna.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i/>
          <w:iCs/>
          <w:sz w:val="24"/>
          <w:szCs w:val="24"/>
        </w:rPr>
        <w:t>Mozaičnost</w:t>
      </w:r>
      <w:r>
        <w:rPr>
          <w:rFonts w:ascii="Times New Roman" w:hAnsi="Times New Roman"/>
          <w:sz w:val="24"/>
          <w:szCs w:val="24"/>
        </w:rPr>
        <w:t>: prisutnost izrazito različitih komada dijelova ploda (koža, sjemenka, stapka) na glatkoj površini vidljiva golim okom.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i/>
          <w:iCs/>
          <w:sz w:val="24"/>
          <w:szCs w:val="24"/>
        </w:rPr>
        <w:t>Ukupni sadržaj kapsaicina</w:t>
      </w:r>
      <w:r>
        <w:rPr>
          <w:rFonts w:ascii="Times New Roman" w:hAnsi="Times New Roman"/>
          <w:sz w:val="24"/>
          <w:szCs w:val="24"/>
        </w:rPr>
        <w:t>: zbroj sadržaja kapsaicina i dihidrokapsaicina.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i/>
          <w:iCs/>
          <w:sz w:val="24"/>
          <w:szCs w:val="24"/>
        </w:rPr>
        <w:t>Boja</w:t>
      </w:r>
      <w:r>
        <w:rPr>
          <w:rFonts w:ascii="Times New Roman" w:hAnsi="Times New Roman"/>
          <w:sz w:val="24"/>
          <w:szCs w:val="24"/>
        </w:rPr>
        <w:t>: percepcija boje pripremljenog uzorka koju doživljava ocjenjivač, dopunjena ispitivanjem nijanse i jasnoće u prirodnoj difuznoj svjetlosti ili jednakovrijednoj umjetnoj svjetlosti.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>
        <w:rPr>
          <w:rFonts w:ascii="Times New Roman" w:hAnsi="Times New Roman"/>
          <w:i/>
          <w:iCs/>
          <w:sz w:val="24"/>
          <w:szCs w:val="24"/>
        </w:rPr>
        <w:t>Regija uzgoja</w:t>
      </w:r>
      <w:r>
        <w:rPr>
          <w:rFonts w:ascii="Times New Roman" w:hAnsi="Times New Roman"/>
          <w:sz w:val="24"/>
          <w:szCs w:val="24"/>
        </w:rPr>
        <w:t>: zemlja u kojoj su proizvedene paprike od kojih je dobivena mljevena paprika.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DIO B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DIMLJENA MLJEVENA PAPRIKA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Definicija proizvoda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Dimljena mljevena paprika je proizvod dobiven dimljenjem i mljevenjem zrelog, sušenog ploda paprike.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Sastojak koji se smije upotrebljavati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Za proizvodnju mljevene paprike smiju se koristiti samo plodovi paprike: koža, plodnica, žile, sjemenke koji se nalaze unutar ploda i ostalih dijelova ploda u određenoj mjeri, kao što su čašični listići i peteljke.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Ne smiju se dodavati dodaci hrani, aroma dima ili drugi sastojci.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Značajke kvalitete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Fizikalna i kemijska svojstva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5636"/>
        <w:gridCol w:w="3212"/>
      </w:tblGrid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Fizikalna i kemijska svojstva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Zahtjevi kvalitete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Sadržaj prirodnog bojila, u jedinicama boje ASTA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Udio vlage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Najviše 11 % (m/m)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Ukupni pepeo na suhoj osnovi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Najviše 8 % (m/m)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Pepeo netopiv u kiselini na suhoj osnovi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Najviše 0,7 % (m/m)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Nehlapljivi ekstrakt etera na suhoj osnovi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Najviše 16 % (m/m)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Veličina mljevenih zrna, udio koji prolazi kroz sito s otvorima veličine 0,500 (mm)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100 %</w:t>
            </w:r>
          </w:p>
        </w:tc>
      </w:tr>
    </w:tbl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Klasifikacija mljevene paprike na temelju oporosti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5636"/>
        <w:gridCol w:w="3212"/>
      </w:tblGrid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Stupanj oporosti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Ukupni sadržaj kapsaicina (mg/kg)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Neopora (slatka)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manje od 30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Blago opora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30–200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Opora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201–500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Izrazito opora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više od 500</w:t>
            </w:r>
          </w:p>
        </w:tc>
      </w:tr>
    </w:tbl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Organoleptička svojstva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1582"/>
        <w:gridCol w:w="1946"/>
        <w:gridCol w:w="1428"/>
        <w:gridCol w:w="2028"/>
        <w:gridCol w:w="2072"/>
      </w:tblGrid>
      <w:tr w:rsidR="00F41BB9" w:rsidRPr="00AF44E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</w:tr>
      <w:tr w:rsidR="00F41BB9" w:rsidRPr="00AF44E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Vanjski izgled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Boja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Aroma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Okus</w:t>
            </w:r>
          </w:p>
        </w:tc>
      </w:tr>
      <w:tr w:rsidR="00F41BB9" w:rsidRPr="00AF44E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Prihvatljiva svojstva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Ujednačen, sitno mljevena zrna koja se ne mogu razaznati golim okom, donekle mozaična u pogledu boje.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Crvena, tamnocrvena boja, boja opeke ili krvavocrvena boja.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Karakteristična, jasna, intenzivna, začinjena s notom karamele.</w:t>
            </w:r>
          </w:p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Blago gorak, blago oštar s barem blagom dimljenom aromom. Bez stranih mirisa.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Karakteristična, aromatična, jasna, usklađena, donekle slatka s notom karamele.</w:t>
            </w:r>
          </w:p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Donekle užegao, blago gorak, blago oštar. Ima donekle dimljeni okus. Bez stranih okusa.</w:t>
            </w:r>
          </w:p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Jasno odgovara klasifikaciju oporosti navedenu na ambalaži.</w:t>
            </w:r>
          </w:p>
        </w:tc>
      </w:tr>
      <w:tr w:rsidR="00F41BB9" w:rsidRPr="00AF44E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Neprihvatljiva svojstva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Neujednačena zrna. Mozaičnost s diskretnom bojom. Grubo mljevena zrna koja se dobro razlikuju, ne mogu se smrskati, grudasta zrna, veliki udio vlakana.</w:t>
            </w:r>
          </w:p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Strani materijal vidljiv golim okom.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Žuta ili smeđa nijansa ili crvena boja koja prelazi u crnu. Žuta ili smeđa. Neujednačena boja.</w:t>
            </w:r>
          </w:p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Izblijedjela svijetla boja ili smećkasta boja paljevine.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Nekarakteristična, izrazito oštra, blago fermentirana, dimljena aroma je presnažna ili nije uopće uočljiva. Užegla, gorka, pljesniva, užarena, spaljena ili druga aroma koja nije svojstvena proizvodu ili ima odbojni učinak.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Nekarakterističan, užegao, travnati, donekle kiseo, gorak, užaren, pljesniv, spaljen.</w:t>
            </w:r>
          </w:p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Okus dima je presnažan ili nije uopće prisutan.</w:t>
            </w:r>
          </w:p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Strani okus nesvojstven proizvodu. Nije sukladan klasifikaciji oporosti navedenu na ambalaži. </w:t>
            </w:r>
          </w:p>
        </w:tc>
      </w:tr>
    </w:tbl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Ambalaža i skladištenje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Dimljena mljevena paprika mora se pakirati u nepropusnu ambalažu zaštićenu od svjetlosti koja ne upija masti i koja je zapečaćena na način da, kako bi njezina autentičnost bila ugrožena, pečat mora biti vidljivo slomljen.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Dimljena mljevena paprika mora se čuvati na suhom, hladnom, dobro prozračenom mjestu zaštićenom od sunčeve svjetlosti, insekata i glodavaca.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Oznaka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Opis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 Opis mora sadržavati sljedeće: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5.1.1.1. izraz „dimljena mljevena paprika” ili neki drugi izraz koji prenosi isto značenje potrošaču (npr. mljevena dimljena paprika);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5.1.1.2. upućivanje na oporost proizvoda s pomoću izraz „neopora” ili „slatka”, „blago opora”,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„opora” ili „izrazito opora”.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 Nije dopuštena uporaba naziva mađarske zemljopisne jedinice u opisu ili trgovačkom nazivu proizvoda ako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5.1.2.1. mljeveni proizvod nije dobiven isključivo od paprika uzgojenih u Mađarskoj ili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5.1.2.2. u proizvod je umiješana mljevena paprika dobivena izvan Mađarske.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Oznaka oporosti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Nastavno na zahtjev utvrđen u točki 5.1.1.2., na ambalaži proizvoda mora biti prikazan simbol koji ukazuje na njegovu oporost i sav sadržaj kapsaicina u mg/kg.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Oznaka uzgojne regije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5.3.1. Na ambalaži dimljene mljevene paprike mora biti navedena uzgojna regija.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5.3.1.1. Ako je (mljevena) paprika dobivena iz nekoliko regija, regije moraju biti utvrđene u padajućem redoslijedu kvalitete (mljevene) paprike, uz navod količine (mljevene) paprike dobivene iz tih regija u obliku postotka ukupne mase, [primjerice, Mađarska (70 %), Španjolska(20 %), Kina (10 %)].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5.3.1.2. Ako paprika korištena za mljevenu papriku potječe iz samo jedne regije, opis proizvoda može sadržavati upućivanje na zemlju u kojoj su paprike uzgojene (primjerice, Dimljena mljevena paprika, Uzgojna regija: Španjolska).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5.3.2. Uzgojna regija mora biti otisnuta u glavnom vidnom polju slovima čija veličina iznosi najviše 50 % najvećih slova korištenih na ambalaži, ali ne smije biti manja od veličine slova definirane za obavezne navode utvrđene u članku 13. stavcima 2. i 3. Uredbe (EU) br. 1169/2011 Europskog parlamenta i Vijeća od 25. listopada 2011. o pružanju informacija o hrani potrošačima, kojom se izmjenjuju Uredbe (EZ) br. 1924/2006 i (EZ) br. 1925/2006 Europskog parlamenta i Vijeća te se ukidaju Direktiva Komisije 87/250/EEZ, Direktiva Vijeća 90/496/EEZ, Direktiva Komisije 1999/10/EZ, Direktiva 2000/13/EZ Europskog parlamenta i Vijeća, Direktive Komisije 2002/67/EZ i 2008/5/EZ te Uredba Komisije (EZ) br. 608/2004.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DIO C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METODOLOGIJA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Prilikom provjere značajki kvalitete definiranih u dijelu B moraju se koristiti sljedeće metode ili jednakovrijedne metode.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5762"/>
        <w:gridCol w:w="3214"/>
      </w:tblGrid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Fizikalna i kemijska svojstva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 metode pregleda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Sadržaj prirodnog bojila, u jedinicama boje ASTA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 EN ISO 7541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Udio vlage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MSZ EN ISO 7540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(U skladu s Prilogom)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Ukupni pepeo na suhoj osnovi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 ISO 928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Pepeo netopiv u kiselini na suhoj osnovi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 ISO 930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Nehlapljivi ekstrakt etera na suhoj osnovi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 ISO 1108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Veličina mljevenih zrna, udio koji prolazi kroz sito s otvorima veličine 0,500 (mm)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 ISO 3588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Ukupni sadržaj kapsaicina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(zbroj sadržaja kapsaicina i dihidrokapsaicina)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 9681-4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Organoleptička svojstva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 9681-2</w:t>
            </w:r>
          </w:p>
        </w:tc>
      </w:tr>
      <w:tr w:rsidR="00F41BB9" w:rsidRPr="00AF44E5"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”</w:t>
            </w:r>
          </w:p>
        </w:tc>
      </w:tr>
    </w:tbl>
    <w:p w:rsidR="00A8487D" w:rsidRPr="00AF44E5" w:rsidRDefault="00A8487D" w:rsidP="00ED5194"/>
    <w:sectPr w:rsidR="00A8487D" w:rsidRPr="00AF44E5" w:rsidSect="009C445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DA0" w:rsidRDefault="000A4DA0" w:rsidP="00A57A6B">
      <w:pPr>
        <w:spacing w:after="0" w:line="240" w:lineRule="auto"/>
      </w:pPr>
      <w:r>
        <w:separator/>
      </w:r>
    </w:p>
  </w:endnote>
  <w:endnote w:type="continuationSeparator" w:id="0">
    <w:p w:rsidR="000A4DA0" w:rsidRDefault="000A4DA0" w:rsidP="00A5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DA0" w:rsidRDefault="000A4DA0" w:rsidP="00A57A6B">
      <w:pPr>
        <w:spacing w:after="0" w:line="240" w:lineRule="auto"/>
      </w:pPr>
      <w:r>
        <w:separator/>
      </w:r>
    </w:p>
  </w:footnote>
  <w:footnote w:type="continuationSeparator" w:id="0">
    <w:p w:rsidR="000A4DA0" w:rsidRDefault="000A4DA0" w:rsidP="00A57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B9"/>
    <w:rsid w:val="000A4DA0"/>
    <w:rsid w:val="0015196D"/>
    <w:rsid w:val="00327C84"/>
    <w:rsid w:val="0041205F"/>
    <w:rsid w:val="00813465"/>
    <w:rsid w:val="00A21DB1"/>
    <w:rsid w:val="00A57A6B"/>
    <w:rsid w:val="00A8487D"/>
    <w:rsid w:val="00AA5901"/>
    <w:rsid w:val="00AF44E5"/>
    <w:rsid w:val="00BD2EF1"/>
    <w:rsid w:val="00ED5194"/>
    <w:rsid w:val="00F4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B8E6E6-6BF4-4A47-9926-3070D1A0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kezds">
    <w:name w:val="Bekezdés"/>
    <w:uiPriority w:val="99"/>
    <w:rsid w:val="00F41BB9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rsid w:val="00F41BB9"/>
    <w:pPr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rsid w:val="00F41BB9"/>
    <w:pPr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rsid w:val="00F41BB9"/>
    <w:pPr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F41BB9"/>
    <w:pPr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rsid w:val="00F41BB9"/>
    <w:pPr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rsid w:val="00F41BB9"/>
    <w:pPr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rsid w:val="00F41BB9"/>
    <w:pPr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rsid w:val="00F41BB9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F41BB9"/>
    <w:pPr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rsid w:val="00F41BB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7A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A6B"/>
  </w:style>
  <w:style w:type="paragraph" w:styleId="Footer">
    <w:name w:val="footer"/>
    <w:basedOn w:val="Normal"/>
    <w:link w:val="FooterChar"/>
    <w:uiPriority w:val="99"/>
    <w:unhideWhenUsed/>
    <w:rsid w:val="00A57A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CE08A-9501-42E5-8362-202DA9499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403BA-A410-4814-B71E-3CDFF4259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711B7-8959-41A6-9C69-25C1573405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1765</Words>
  <Characters>10061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11803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 Zsolt</dc:creator>
  <cp:lastModifiedBy>Ke, Tingting</cp:lastModifiedBy>
  <cp:revision>8</cp:revision>
  <dcterms:created xsi:type="dcterms:W3CDTF">2020-09-23T11:04:00Z</dcterms:created>
  <dcterms:modified xsi:type="dcterms:W3CDTF">2020-12-03T02:28:00Z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