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EA3" w:rsidRPr="00D04EA3" w:rsidRDefault="00D04EA3" w:rsidP="00066D66">
      <w:pPr>
        <w:pStyle w:val="HeadingRunIn"/>
        <w:keepNext w:val="0"/>
        <w:widowControl w:val="0"/>
        <w:suppressAutoHyphens/>
        <w:spacing w:before="0" w:line="320" w:lineRule="atLeast"/>
        <w:rPr>
          <w:rFonts w:ascii="Times" w:hAnsi="Times" w:cs="Times"/>
          <w:b w:val="0"/>
          <w:w w:val="100"/>
        </w:rPr>
      </w:pPr>
      <w:r>
        <w:rPr>
          <w:rFonts w:ascii="Courier New" w:hAnsi="Courier New"/>
          <w:b w:val="0"/>
          <w:sz w:val="20"/>
        </w:rPr>
        <w:t>1. --</w:t>
      </w:r>
      <w:r w:rsidR="00E75A3F">
        <w:rPr>
          <w:rFonts w:ascii="Courier New" w:hAnsi="Courier New"/>
          <w:b w:val="0"/>
          <w:sz w:val="20"/>
        </w:rPr>
        <w:t>-</w:t>
      </w:r>
      <w:bookmarkStart w:id="0" w:name="_GoBack"/>
      <w:bookmarkEnd w:id="0"/>
      <w:r>
        <w:rPr>
          <w:rFonts w:ascii="Courier New" w:hAnsi="Courier New"/>
          <w:b w:val="0"/>
          <w:sz w:val="20"/>
        </w:rPr>
        <w:t>---IND- 2020 0314 S-- CS- ------ 20201130</w:t>
      </w:r>
      <w:r>
        <w:rPr>
          <w:rFonts w:ascii="Calibri" w:hAnsi="Calibri"/>
          <w:b w:val="0"/>
          <w:sz w:val="20"/>
        </w:rPr>
        <w:t xml:space="preserve"> </w:t>
      </w:r>
      <w:r>
        <w:rPr>
          <w:rFonts w:ascii="Courier New" w:hAnsi="Courier New"/>
          <w:b w:val="0"/>
          <w:sz w:val="20"/>
        </w:rPr>
        <w:t>--- --- FINAL</w:t>
      </w:r>
    </w:p>
    <w:p w:rsidR="00066D66" w:rsidRDefault="00066D66" w:rsidP="00066D66">
      <w:pPr>
        <w:pStyle w:val="HeadingRunIn"/>
        <w:keepNext w:val="0"/>
        <w:widowControl w:val="0"/>
        <w:suppressAutoHyphens/>
        <w:spacing w:before="0" w:line="320" w:lineRule="atLeast"/>
        <w:rPr>
          <w:rFonts w:ascii="Times" w:hAnsi="Times" w:cs="Times"/>
          <w:w w:val="100"/>
        </w:rPr>
      </w:pPr>
      <w:r>
        <w:rPr>
          <w:rFonts w:ascii="Times" w:hAnsi="Times"/>
        </w:rPr>
        <w:t>SIFS 2020:2</w:t>
      </w:r>
    </w:p>
    <w:p w:rsidR="00066D66" w:rsidRDefault="00066D66" w:rsidP="00066D66">
      <w:pPr>
        <w:pStyle w:val="HeadingRunIn"/>
        <w:keepNext w:val="0"/>
        <w:widowControl w:val="0"/>
        <w:suppressAutoHyphens/>
        <w:spacing w:before="0" w:line="200" w:lineRule="atLeast"/>
        <w:rPr>
          <w:rFonts w:ascii="Times" w:hAnsi="Times" w:cs="Times"/>
          <w:b w:val="0"/>
          <w:bCs w:val="0"/>
          <w:w w:val="100"/>
          <w:sz w:val="17"/>
          <w:szCs w:val="17"/>
        </w:rPr>
      </w:pPr>
      <w:r>
        <w:rPr>
          <w:rFonts w:ascii="Times" w:hAnsi="Times"/>
          <w:b w:val="0"/>
          <w:sz w:val="17"/>
        </w:rPr>
        <w:t>Zveřejněno</w:t>
      </w:r>
      <w:r>
        <w:rPr>
          <w:rFonts w:ascii="Times" w:hAnsi="Times"/>
          <w:b w:val="0"/>
          <w:sz w:val="17"/>
        </w:rPr>
        <w:br/>
        <w:t>dne 1. října 2020</w:t>
      </w:r>
    </w:p>
    <w:p w:rsidR="00D97284" w:rsidRDefault="00D97284"/>
    <w:p w:rsidR="00066D66" w:rsidRDefault="00066D66" w:rsidP="00066D66">
      <w:pPr>
        <w:pStyle w:val="HeadingRunIn"/>
        <w:keepNext w:val="0"/>
        <w:widowControl w:val="0"/>
        <w:suppressAutoHyphens/>
        <w:spacing w:before="0" w:line="240" w:lineRule="atLeast"/>
        <w:ind w:right="240"/>
        <w:rPr>
          <w:rFonts w:ascii="Times" w:hAnsi="Times" w:cs="Times"/>
          <w:w w:val="100"/>
          <w:sz w:val="26"/>
          <w:szCs w:val="26"/>
        </w:rPr>
      </w:pPr>
      <w:r>
        <w:rPr>
          <w:rFonts w:ascii="Times" w:hAnsi="Times"/>
          <w:sz w:val="26"/>
        </w:rPr>
        <w:t>Předpisy a obecná doporučení Švédského úřadu pro hazardní hry o omezení a zákazech některých druhů sázek za účelem zamezení manipulace sportovních soutěží (včetně falšování zápasů) a o nahlašování podezření na manipulaci;</w:t>
      </w:r>
    </w:p>
    <w:p w:rsidR="00066D66" w:rsidRDefault="00066D66" w:rsidP="00066D66">
      <w:pPr>
        <w:pStyle w:val="HeadingRunIn"/>
        <w:keepNext w:val="0"/>
        <w:tabs>
          <w:tab w:val="left" w:pos="3060"/>
        </w:tabs>
        <w:spacing w:before="220" w:line="220" w:lineRule="atLeast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b w:val="0"/>
          <w:sz w:val="19"/>
        </w:rPr>
        <w:t>přijato dne 14. září 2020.</w:t>
      </w:r>
    </w:p>
    <w:p w:rsidR="00066D66" w:rsidRDefault="00066D66" w:rsidP="00066D66">
      <w:pPr>
        <w:pStyle w:val="HeadingRunIn"/>
        <w:keepNext w:val="0"/>
        <w:tabs>
          <w:tab w:val="left" w:pos="3060"/>
        </w:tabs>
        <w:spacing w:before="220" w:line="220" w:lineRule="atLeast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b w:val="0"/>
          <w:sz w:val="19"/>
        </w:rPr>
        <w:t>Na základě kapitoly 16, § 6 odst. 1 a § 11 bodu 2 vyhlášky o hazardních hrách (2018:1475) Švédský úřad pro hazardní hry tímto stanoví</w:t>
      </w:r>
      <w:r>
        <w:rPr>
          <w:rFonts w:ascii="Times" w:hAnsi="Times" w:cs="Times"/>
          <w:b w:val="0"/>
          <w:bCs w:val="0"/>
          <w:w w:val="100"/>
          <w:sz w:val="19"/>
          <w:szCs w:val="19"/>
          <w:vertAlign w:val="superscript"/>
          <w:lang w:val="sv-SE"/>
        </w:rPr>
        <w:footnoteReference w:id="1"/>
      </w:r>
      <w:r>
        <w:rPr>
          <w:rFonts w:ascii="Times" w:hAnsi="Times"/>
          <w:b w:val="0"/>
          <w:sz w:val="19"/>
        </w:rPr>
        <w:t xml:space="preserve"> a schvaluje níže uvedená obecná doporučení.</w:t>
      </w:r>
    </w:p>
    <w:p w:rsidR="00066D66" w:rsidRDefault="00066D66" w:rsidP="00066D66">
      <w:pPr>
        <w:pStyle w:val="HeadingRunIn"/>
        <w:widowControl w:val="0"/>
        <w:suppressAutoHyphens/>
        <w:spacing w:before="360" w:line="220" w:lineRule="atLeast"/>
        <w:rPr>
          <w:rFonts w:ascii="Times" w:hAnsi="Times" w:cs="Times"/>
          <w:w w:val="100"/>
          <w:sz w:val="21"/>
          <w:szCs w:val="21"/>
        </w:rPr>
      </w:pPr>
      <w:r>
        <w:rPr>
          <w:rFonts w:ascii="Times" w:hAnsi="Times"/>
          <w:sz w:val="21"/>
        </w:rPr>
        <w:t>Kapitola 1 Rozsah platnosti a terminologie</w:t>
      </w:r>
    </w:p>
    <w:p w:rsidR="00066D66" w:rsidRDefault="00066D66" w:rsidP="00066D66">
      <w:pPr>
        <w:pStyle w:val="HeadingRunIn"/>
        <w:keepNext w:val="0"/>
        <w:spacing w:before="100" w:line="220" w:lineRule="atLeast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sz w:val="19"/>
        </w:rPr>
        <w:t>§ 1</w:t>
      </w:r>
      <w:r>
        <w:rPr>
          <w:rFonts w:ascii="Times" w:hAnsi="Times"/>
          <w:b w:val="0"/>
          <w:sz w:val="19"/>
        </w:rPr>
        <w:t> Tyto předpisy a obecná doporučení obsahují doplňující ustanovení k zákonu o hazardních hrách (2018:1138) a vyhlášce o hazardních hrách (2018:1475). Tyto předpisy se vztahují na sázení na sporty, které se hrají ve Švédsku, na osoby, které disponují oprávněním k poskytování sázení v souladu s kapitolou 8 zákona o hazardních hrách.</w:t>
      </w:r>
    </w:p>
    <w:p w:rsidR="00066D66" w:rsidRDefault="00066D66" w:rsidP="00066D66">
      <w:pPr>
        <w:pStyle w:val="HeadingRunIn"/>
        <w:keepNext w:val="0"/>
        <w:tabs>
          <w:tab w:val="left" w:pos="3060"/>
        </w:tabs>
        <w:spacing w:before="220" w:line="220" w:lineRule="atLeast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sz w:val="19"/>
        </w:rPr>
        <w:t>§ 2</w:t>
      </w:r>
      <w:r>
        <w:rPr>
          <w:rFonts w:ascii="Times" w:hAnsi="Times"/>
          <w:b w:val="0"/>
          <w:sz w:val="19"/>
        </w:rPr>
        <w:t> Termíny a názvy použité v těchto předpisech mají stejný význam jako v zákonu o hazardních hrách (2018:1138) a ve vyhlášce o hazardních hrách (2018:1475).</w:t>
      </w:r>
    </w:p>
    <w:p w:rsidR="00066D66" w:rsidRDefault="00066D66" w:rsidP="00066D66">
      <w:pPr>
        <w:pStyle w:val="HeadingRunIn"/>
        <w:keepNext w:val="0"/>
        <w:tabs>
          <w:tab w:val="left" w:pos="3060"/>
        </w:tabs>
        <w:spacing w:before="0" w:line="220" w:lineRule="atLeast"/>
        <w:ind w:firstLine="180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b w:val="0"/>
          <w:sz w:val="19"/>
        </w:rPr>
        <w:t>V těchto předpisech a obecném doporučení se sportem rozumí individuální nebo týmový výkon v soutěži, která je často spojovávána s fyzickou aktivitou a která vyžaduje dovednost a je rozhodována na základě jak dovedností, tak štěstí, kdy se dovednosti účastníků liší a mají ve velké míře vliv na výkonnost a mají často povahu soutěže, např. bandy, basketbal, elektronické sporty, fotbal, koňské akce, golf, lední hokej, motorové sporty, lyžování, střelba nebo tenis.</w:t>
      </w:r>
    </w:p>
    <w:p w:rsidR="00066D66" w:rsidRDefault="00066D66" w:rsidP="00066D66">
      <w:pPr>
        <w:pStyle w:val="HeadingRunIn"/>
        <w:widowControl w:val="0"/>
        <w:suppressAutoHyphens/>
        <w:spacing w:before="360" w:line="220" w:lineRule="atLeast"/>
        <w:rPr>
          <w:rFonts w:ascii="Times" w:hAnsi="Times" w:cs="Times"/>
          <w:w w:val="100"/>
          <w:sz w:val="21"/>
          <w:szCs w:val="21"/>
        </w:rPr>
      </w:pPr>
      <w:r>
        <w:rPr>
          <w:rFonts w:ascii="Times" w:hAnsi="Times"/>
          <w:sz w:val="21"/>
        </w:rPr>
        <w:t>Kapitola 2 Zákaz sázení na některé postihy a výkon nezletilých</w:t>
      </w:r>
    </w:p>
    <w:p w:rsidR="00066D66" w:rsidRDefault="00066D66" w:rsidP="00066D66">
      <w:pPr>
        <w:pStyle w:val="HeadingRunIn"/>
        <w:keepNext w:val="0"/>
        <w:spacing w:before="100" w:line="220" w:lineRule="atLeast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sz w:val="19"/>
        </w:rPr>
        <w:t>§ 1</w:t>
      </w:r>
      <w:r>
        <w:rPr>
          <w:rFonts w:ascii="Times" w:hAnsi="Times"/>
          <w:b w:val="0"/>
          <w:sz w:val="19"/>
        </w:rPr>
        <w:t xml:space="preserve"> Sázení na postihy nesmí být poskytováno v případě porušování pravidel v souvislosti se zápasem, závodem nebo turnajem. </w:t>
      </w:r>
    </w:p>
    <w:p w:rsidR="00066D66" w:rsidRDefault="00066D66" w:rsidP="00066D66">
      <w:pPr>
        <w:pStyle w:val="HeadingRunIn"/>
        <w:widowControl w:val="0"/>
        <w:suppressAutoHyphens/>
        <w:spacing w:before="220" w:line="220" w:lineRule="atLeast"/>
        <w:ind w:left="500"/>
        <w:rPr>
          <w:rFonts w:ascii="Times" w:hAnsi="Times" w:cs="Times"/>
          <w:b w:val="0"/>
          <w:bCs w:val="0"/>
          <w:i/>
          <w:iCs/>
          <w:w w:val="100"/>
          <w:sz w:val="19"/>
          <w:szCs w:val="19"/>
        </w:rPr>
      </w:pPr>
      <w:r>
        <w:rPr>
          <w:rFonts w:ascii="Times" w:hAnsi="Times"/>
          <w:b w:val="0"/>
          <w:i/>
          <w:sz w:val="19"/>
        </w:rPr>
        <w:lastRenderedPageBreak/>
        <w:t>Obecná doporučení:</w:t>
      </w:r>
    </w:p>
    <w:p w:rsidR="00066D66" w:rsidRDefault="00066D66" w:rsidP="00066D66">
      <w:pPr>
        <w:pStyle w:val="HeadingRunIn"/>
        <w:keepNext w:val="0"/>
        <w:spacing w:before="100" w:line="220" w:lineRule="atLeast"/>
        <w:ind w:left="500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b w:val="0"/>
          <w:sz w:val="19"/>
        </w:rPr>
        <w:t>Postihy zahrnují červenou nebo žlutou kartu, trestné hody, nájezdy, penaltové kopy, vyloučení, varování, diskvalifikace atd.</w:t>
      </w:r>
    </w:p>
    <w:p w:rsidR="00066D66" w:rsidRDefault="00066D66" w:rsidP="00066D66">
      <w:pPr>
        <w:pStyle w:val="HeadingRunIn"/>
        <w:keepNext w:val="0"/>
        <w:tabs>
          <w:tab w:val="left" w:pos="3060"/>
        </w:tabs>
        <w:spacing w:before="220" w:line="220" w:lineRule="atLeast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sz w:val="19"/>
        </w:rPr>
        <w:t>§ 2</w:t>
      </w:r>
      <w:r>
        <w:rPr>
          <w:rFonts w:ascii="Times" w:hAnsi="Times"/>
          <w:b w:val="0"/>
          <w:sz w:val="19"/>
        </w:rPr>
        <w:t xml:space="preserve"> Sázení nesmí být nabízeno na výkony jednotlivců v zápase, závodu nebo turnaji v případě účastníka, který je v době podání sázky mladší 18 let. </w:t>
      </w:r>
    </w:p>
    <w:p w:rsidR="00066D66" w:rsidRDefault="00066D66" w:rsidP="00066D66">
      <w:pPr>
        <w:pStyle w:val="HeadingRunIn"/>
        <w:widowControl w:val="0"/>
        <w:suppressAutoHyphens/>
        <w:spacing w:before="360" w:line="220" w:lineRule="atLeast"/>
        <w:rPr>
          <w:rFonts w:ascii="Times" w:hAnsi="Times" w:cs="Times"/>
          <w:w w:val="100"/>
          <w:sz w:val="21"/>
          <w:szCs w:val="21"/>
        </w:rPr>
      </w:pPr>
      <w:r>
        <w:rPr>
          <w:rFonts w:ascii="Times" w:hAnsi="Times"/>
          <w:sz w:val="21"/>
        </w:rPr>
        <w:t>Kapitola 3 Specifika týkající se omezení a zákazů na fotbalové sázky</w:t>
      </w:r>
    </w:p>
    <w:p w:rsidR="00066D66" w:rsidRDefault="00066D66" w:rsidP="008742B9">
      <w:pPr>
        <w:pStyle w:val="HeadingRunIn"/>
        <w:spacing w:before="100" w:line="220" w:lineRule="atLeast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sz w:val="19"/>
        </w:rPr>
        <w:t>§ 1</w:t>
      </w:r>
      <w:r>
        <w:rPr>
          <w:rFonts w:ascii="Times" w:hAnsi="Times"/>
          <w:b w:val="0"/>
          <w:sz w:val="19"/>
        </w:rPr>
        <w:t xml:space="preserve"> Sázení na fotbal, s omezeními uvedenými v kapitolách 1 a 2, může být nabízeno na </w:t>
      </w:r>
    </w:p>
    <w:p w:rsidR="00066D66" w:rsidRDefault="00066D66" w:rsidP="00066D66">
      <w:pPr>
        <w:pStyle w:val="HeadingRunIn"/>
        <w:keepNext w:val="0"/>
        <w:tabs>
          <w:tab w:val="left" w:pos="240"/>
        </w:tabs>
        <w:spacing w:before="0" w:line="220" w:lineRule="atLeast"/>
        <w:ind w:left="240" w:hanging="240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b w:val="0"/>
          <w:sz w:val="19"/>
        </w:rPr>
        <w:t>–</w:t>
      </w:r>
      <w:r>
        <w:rPr>
          <w:rFonts w:ascii="Times" w:hAnsi="Times"/>
          <w:b w:val="0"/>
          <w:sz w:val="19"/>
        </w:rPr>
        <w:tab/>
        <w:t xml:space="preserve">čtyřech nejvyšších ligových úrovních v rámci švédského ligového systému, </w:t>
      </w:r>
    </w:p>
    <w:p w:rsidR="00066D66" w:rsidRDefault="00066D66" w:rsidP="00066D66">
      <w:pPr>
        <w:pStyle w:val="HeadingRunIn"/>
        <w:keepNext w:val="0"/>
        <w:tabs>
          <w:tab w:val="left" w:pos="240"/>
        </w:tabs>
        <w:spacing w:before="0" w:line="220" w:lineRule="atLeast"/>
        <w:ind w:left="240" w:hanging="240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b w:val="0"/>
          <w:sz w:val="19"/>
        </w:rPr>
        <w:t>–</w:t>
      </w:r>
      <w:r>
        <w:rPr>
          <w:rFonts w:ascii="Times" w:hAnsi="Times"/>
          <w:b w:val="0"/>
          <w:sz w:val="19"/>
        </w:rPr>
        <w:tab/>
        <w:t xml:space="preserve">zápasy mezi týmy na mezinárodní klubové úrovni, kdy týmy jsou součástí jedné ze čtyř nejvyšších ligových úrovní v příslušných zemích, </w:t>
      </w:r>
    </w:p>
    <w:p w:rsidR="00066D66" w:rsidRDefault="00066D66" w:rsidP="00066D66">
      <w:pPr>
        <w:pStyle w:val="HeadingRunIn"/>
        <w:keepNext w:val="0"/>
        <w:tabs>
          <w:tab w:val="left" w:pos="240"/>
        </w:tabs>
        <w:spacing w:before="0" w:line="220" w:lineRule="atLeast"/>
        <w:ind w:left="240" w:hanging="240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b w:val="0"/>
          <w:sz w:val="19"/>
        </w:rPr>
        <w:t>–</w:t>
      </w:r>
      <w:r>
        <w:rPr>
          <w:rFonts w:ascii="Times" w:hAnsi="Times"/>
          <w:b w:val="0"/>
          <w:sz w:val="19"/>
        </w:rPr>
        <w:tab/>
        <w:t>zápasy Švédského poháru, kde týmy jsou součástí jedné ze čtyř nejvyšších ligových úrovní ve švédském ligovém systému a</w:t>
      </w:r>
    </w:p>
    <w:p w:rsidR="00066D66" w:rsidRDefault="00066D66" w:rsidP="00066D66">
      <w:pPr>
        <w:pStyle w:val="HeadingRunIn"/>
        <w:keepNext w:val="0"/>
        <w:tabs>
          <w:tab w:val="left" w:pos="240"/>
        </w:tabs>
        <w:spacing w:before="0" w:line="220" w:lineRule="atLeast"/>
        <w:ind w:left="240" w:hanging="240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b w:val="0"/>
          <w:sz w:val="19"/>
        </w:rPr>
        <w:t>–</w:t>
      </w:r>
      <w:r>
        <w:rPr>
          <w:rFonts w:ascii="Times" w:hAnsi="Times"/>
          <w:b w:val="0"/>
          <w:sz w:val="19"/>
        </w:rPr>
        <w:tab/>
        <w:t>zápasy, kterých se účastní národní týmy hráčů do 21 let (U21) až národní A týmy.</w:t>
      </w:r>
    </w:p>
    <w:p w:rsidR="00066D66" w:rsidRDefault="00066D66" w:rsidP="008742B9">
      <w:pPr>
        <w:pStyle w:val="HeadingRunIn"/>
        <w:keepNext w:val="0"/>
        <w:tabs>
          <w:tab w:val="left" w:pos="2940"/>
        </w:tabs>
        <w:spacing w:before="0" w:line="220" w:lineRule="atLeast"/>
        <w:ind w:firstLine="180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b w:val="0"/>
          <w:sz w:val="19"/>
        </w:rPr>
        <w:t xml:space="preserve">Sázení na </w:t>
      </w:r>
      <w:proofErr w:type="spellStart"/>
      <w:r>
        <w:rPr>
          <w:rFonts w:ascii="Times" w:hAnsi="Times"/>
          <w:b w:val="0"/>
          <w:sz w:val="19"/>
        </w:rPr>
        <w:t>tréningové</w:t>
      </w:r>
      <w:proofErr w:type="spellEnd"/>
      <w:r>
        <w:rPr>
          <w:rFonts w:ascii="Times" w:hAnsi="Times"/>
          <w:b w:val="0"/>
          <w:sz w:val="19"/>
        </w:rPr>
        <w:t xml:space="preserve"> nebo přátelské zápasy nesmí být nabízeno v jiných případech, než jsou zápasy, kterých se účastní národní týmy U21 až po národní A týmy. </w:t>
      </w:r>
    </w:p>
    <w:p w:rsidR="00066D66" w:rsidRDefault="00066D66" w:rsidP="00066D66">
      <w:pPr>
        <w:pStyle w:val="HeadingRunIn"/>
        <w:widowControl w:val="0"/>
        <w:suppressAutoHyphens/>
        <w:spacing w:before="220" w:line="220" w:lineRule="atLeast"/>
        <w:ind w:left="500"/>
        <w:rPr>
          <w:rFonts w:ascii="Times" w:hAnsi="Times" w:cs="Times"/>
          <w:b w:val="0"/>
          <w:bCs w:val="0"/>
          <w:i/>
          <w:iCs/>
          <w:w w:val="100"/>
          <w:sz w:val="19"/>
          <w:szCs w:val="19"/>
        </w:rPr>
      </w:pPr>
      <w:r>
        <w:rPr>
          <w:rFonts w:ascii="Times" w:hAnsi="Times"/>
          <w:b w:val="0"/>
          <w:i/>
          <w:sz w:val="19"/>
        </w:rPr>
        <w:t>Obecná doporučení:</w:t>
      </w:r>
    </w:p>
    <w:p w:rsidR="00066D66" w:rsidRDefault="00066D66" w:rsidP="00066D66">
      <w:pPr>
        <w:pStyle w:val="HeadingRunIn"/>
        <w:keepNext w:val="0"/>
        <w:spacing w:before="100" w:line="220" w:lineRule="atLeast"/>
        <w:ind w:left="500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b w:val="0"/>
          <w:sz w:val="19"/>
        </w:rPr>
        <w:t xml:space="preserve">Například zápasy mezi týmy na mezinárodní klubové úrovni mohou být zápasy v rámci evropských pohárů, které jsou hrány ve Švédsku. </w:t>
      </w:r>
    </w:p>
    <w:p w:rsidR="00066D66" w:rsidRDefault="00066D66" w:rsidP="00066D66">
      <w:pPr>
        <w:pStyle w:val="HeadingRunIn"/>
        <w:widowControl w:val="0"/>
        <w:suppressAutoHyphens/>
        <w:spacing w:before="360" w:line="220" w:lineRule="atLeast"/>
        <w:rPr>
          <w:rFonts w:ascii="Times" w:hAnsi="Times" w:cs="Times"/>
          <w:w w:val="100"/>
          <w:sz w:val="21"/>
          <w:szCs w:val="21"/>
        </w:rPr>
      </w:pPr>
      <w:r>
        <w:rPr>
          <w:rFonts w:ascii="Times" w:hAnsi="Times"/>
          <w:sz w:val="21"/>
        </w:rPr>
        <w:t>Kapitola 4 Nahlašování zaznamenaných podezřelých manipulací sportovních utkání, na které se podávají sázky</w:t>
      </w:r>
    </w:p>
    <w:p w:rsidR="00066D66" w:rsidRDefault="00066D66" w:rsidP="00066D66">
      <w:pPr>
        <w:pStyle w:val="HeadingRunIn"/>
        <w:keepNext w:val="0"/>
        <w:spacing w:before="100" w:line="220" w:lineRule="atLeast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sz w:val="19"/>
        </w:rPr>
        <w:t>§ 1</w:t>
      </w:r>
      <w:r>
        <w:rPr>
          <w:rFonts w:ascii="Times" w:hAnsi="Times"/>
          <w:b w:val="0"/>
          <w:sz w:val="19"/>
        </w:rPr>
        <w:t> Nejpozději do dne 31. března každého roku musí držitelé licencí zaslat Švédskému úřadu pro hazardní hry zprávu o zaznamenaných podezřelých manipulacích sportovních utkání v předešlém roce, na která se podávaly sázky v souladu s kapitolou 8, § 1 odst. 3 předpisů a obecných doporučení Švédského úřadu pro hazardní hry (LIFS 2018:8) o technických požadavcích, jakož i akreditaci orgánů, které kontrolují, zkoušejí a osvědčují činnosti v oblasti hazardních her.</w:t>
      </w:r>
    </w:p>
    <w:p w:rsidR="00066D66" w:rsidRDefault="00066D66" w:rsidP="008742B9">
      <w:pPr>
        <w:pStyle w:val="HeadingRunIn"/>
        <w:keepNext w:val="0"/>
        <w:tabs>
          <w:tab w:val="left" w:pos="2940"/>
        </w:tabs>
        <w:spacing w:before="0" w:line="220" w:lineRule="atLeast"/>
        <w:ind w:firstLine="180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b w:val="0"/>
          <w:sz w:val="19"/>
        </w:rPr>
        <w:t xml:space="preserve">Každá zaznamenaná podezřelá manipulace utkání musí obsahovat datum podezřelé manipulace a její záměr. </w:t>
      </w:r>
    </w:p>
    <w:p w:rsidR="00066D66" w:rsidRDefault="00066D66" w:rsidP="00066D66">
      <w:pPr>
        <w:pStyle w:val="HeadingRunIn"/>
        <w:widowControl w:val="0"/>
        <w:suppressAutoHyphens/>
        <w:spacing w:before="220" w:line="220" w:lineRule="atLeast"/>
        <w:ind w:left="500"/>
        <w:rPr>
          <w:rFonts w:ascii="Times" w:hAnsi="Times" w:cs="Times"/>
          <w:b w:val="0"/>
          <w:bCs w:val="0"/>
          <w:i/>
          <w:iCs/>
          <w:w w:val="100"/>
          <w:sz w:val="19"/>
          <w:szCs w:val="19"/>
        </w:rPr>
      </w:pPr>
      <w:r>
        <w:rPr>
          <w:rFonts w:ascii="Times" w:hAnsi="Times"/>
          <w:b w:val="0"/>
          <w:i/>
          <w:sz w:val="19"/>
        </w:rPr>
        <w:t>Obecná doporučení:</w:t>
      </w:r>
    </w:p>
    <w:p w:rsidR="00066D66" w:rsidRDefault="00066D66" w:rsidP="00066D66">
      <w:pPr>
        <w:pStyle w:val="HeadingRunIn"/>
        <w:keepNext w:val="0"/>
        <w:spacing w:before="100" w:line="220" w:lineRule="atLeast"/>
        <w:ind w:left="500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b w:val="0"/>
          <w:sz w:val="19"/>
        </w:rPr>
        <w:t>Nahlašování zaznamenané podezřelé manipulace by se mělo týkat pouze zápasu, závodu nebo turnaje. Veškeré osobní údaje týkající se manipulací by neměly být součástí zprávy, je-li to možné. Držitelé licence by měly shromažďovat podezřelé manipulace utkání pravidelně.</w:t>
      </w:r>
    </w:p>
    <w:p w:rsidR="00066D66" w:rsidRDefault="00066D66" w:rsidP="00066D66">
      <w:pPr>
        <w:pStyle w:val="HeadingRunIn"/>
        <w:keepNext w:val="0"/>
        <w:pBdr>
          <w:top w:val="single" w:sz="8" w:space="0" w:color="auto"/>
        </w:pBdr>
        <w:spacing w:before="0" w:line="220" w:lineRule="atLeast"/>
        <w:ind w:firstLine="180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b w:val="0"/>
          <w:sz w:val="19"/>
        </w:rPr>
        <w:t>Tyto předpisy a obecná doporučení vstupují v platnost dne 1. ledna 2021.</w:t>
      </w:r>
    </w:p>
    <w:p w:rsidR="00066D66" w:rsidRDefault="00066D66" w:rsidP="00066D66">
      <w:pPr>
        <w:pStyle w:val="HeadingRunIn"/>
        <w:keepNext w:val="0"/>
        <w:tabs>
          <w:tab w:val="left" w:pos="3060"/>
        </w:tabs>
        <w:spacing w:before="220" w:line="220" w:lineRule="atLeast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b w:val="0"/>
          <w:sz w:val="19"/>
        </w:rPr>
        <w:t>Jménem Švédského úřadu pro hazardní hry</w:t>
      </w:r>
    </w:p>
    <w:p w:rsidR="00066D66" w:rsidRDefault="00066D66" w:rsidP="00066D66">
      <w:pPr>
        <w:pStyle w:val="HeadingRunIn"/>
        <w:keepNext w:val="0"/>
        <w:tabs>
          <w:tab w:val="left" w:pos="3060"/>
        </w:tabs>
        <w:spacing w:before="220" w:line="220" w:lineRule="atLeast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b w:val="0"/>
          <w:sz w:val="19"/>
        </w:rPr>
        <w:t>CAMILLA ROSENBERG</w:t>
      </w:r>
    </w:p>
    <w:p w:rsidR="00066D66" w:rsidRDefault="00066D66" w:rsidP="008742B9">
      <w:pPr>
        <w:pStyle w:val="HeadingRunIn"/>
        <w:keepNext w:val="0"/>
        <w:tabs>
          <w:tab w:val="left" w:pos="2940"/>
        </w:tabs>
        <w:spacing w:before="0" w:line="220" w:lineRule="atLeast"/>
        <w:jc w:val="center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b w:val="0"/>
          <w:sz w:val="19"/>
        </w:rPr>
        <w:t xml:space="preserve">Johan </w:t>
      </w:r>
      <w:proofErr w:type="spellStart"/>
      <w:r>
        <w:rPr>
          <w:rFonts w:ascii="Times" w:hAnsi="Times"/>
          <w:b w:val="0"/>
          <w:sz w:val="19"/>
        </w:rPr>
        <w:t>Röhr</w:t>
      </w:r>
      <w:proofErr w:type="spellEnd"/>
    </w:p>
    <w:sectPr w:rsidR="00066D66" w:rsidSect="00066D66">
      <w:headerReference w:type="default" r:id="rId9"/>
      <w:pgSz w:w="9356" w:h="13721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775" w:rsidRDefault="004A3775" w:rsidP="00066D66">
      <w:pPr>
        <w:spacing w:after="0" w:line="240" w:lineRule="auto"/>
      </w:pPr>
      <w:r>
        <w:separator/>
      </w:r>
    </w:p>
  </w:endnote>
  <w:endnote w:type="continuationSeparator" w:id="0">
    <w:p w:rsidR="004A3775" w:rsidRDefault="004A3775" w:rsidP="0006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775" w:rsidRDefault="004A3775" w:rsidP="00066D66">
      <w:pPr>
        <w:spacing w:after="0" w:line="240" w:lineRule="auto"/>
      </w:pPr>
      <w:r>
        <w:separator/>
      </w:r>
    </w:p>
  </w:footnote>
  <w:footnote w:type="continuationSeparator" w:id="0">
    <w:p w:rsidR="004A3775" w:rsidRDefault="004A3775" w:rsidP="00066D66">
      <w:pPr>
        <w:spacing w:after="0" w:line="240" w:lineRule="auto"/>
      </w:pPr>
      <w:r>
        <w:continuationSeparator/>
      </w:r>
    </w:p>
  </w:footnote>
  <w:footnote w:id="1">
    <w:p w:rsidR="00066D66" w:rsidRPr="008742B9" w:rsidRDefault="00066D66" w:rsidP="00066D66">
      <w:pPr>
        <w:pStyle w:val="HeadingRunIn"/>
        <w:keepNext w:val="0"/>
        <w:widowControl w:val="0"/>
        <w:tabs>
          <w:tab w:val="left" w:pos="100"/>
        </w:tabs>
        <w:spacing w:before="0" w:line="160" w:lineRule="atLeast"/>
        <w:jc w:val="both"/>
        <w:rPr>
          <w:rFonts w:ascii="Times" w:hAnsi="Times" w:cs="Times"/>
          <w:b w:val="0"/>
          <w:bCs w:val="0"/>
          <w:sz w:val="17"/>
          <w:szCs w:val="17"/>
        </w:rPr>
      </w:pPr>
      <w:r>
        <w:rPr>
          <w:rFonts w:ascii="Times" w:hAnsi="Times" w:cs="Times"/>
          <w:b w:val="0"/>
          <w:bCs w:val="0"/>
          <w:sz w:val="17"/>
          <w:szCs w:val="17"/>
          <w:vertAlign w:val="superscript"/>
          <w:lang w:val="sv-SE"/>
        </w:rPr>
        <w:footnoteRef/>
      </w:r>
      <w:r>
        <w:rPr>
          <w:rFonts w:ascii="Times" w:hAnsi="Times"/>
          <w:b w:val="0"/>
          <w:sz w:val="17"/>
        </w:rPr>
        <w:t xml:space="preserve"> Viz směrnice Evropského parlamentu a Rady (EU) 2015/1535 ze dne 9. září 2015 o postupu při poskytování informací v oblasti technických předpisů a předpisů pro služby informační společnosti.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D11" w:rsidRDefault="004A3775">
    <w:pPr>
      <w:autoSpaceDE w:val="0"/>
      <w:autoSpaceDN w:val="0"/>
      <w:adjustRightInd w:val="0"/>
      <w:spacing w:after="0" w:line="240" w:lineRule="auto"/>
      <w:rPr>
        <w:rFonts w:ascii="Symbol" w:hAnsi="Symbo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1304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66"/>
    <w:rsid w:val="00066D66"/>
    <w:rsid w:val="002B6792"/>
    <w:rsid w:val="004A3775"/>
    <w:rsid w:val="008742B9"/>
    <w:rsid w:val="00CC2B55"/>
    <w:rsid w:val="00D04EA3"/>
    <w:rsid w:val="00D97284"/>
    <w:rsid w:val="00E32B38"/>
    <w:rsid w:val="00E75A3F"/>
    <w:rsid w:val="00F8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83235"/>
  <w15:chartTrackingRefBased/>
  <w15:docId w15:val="{B189AE44-5298-4600-B0D9-F649FFF2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RunIn">
    <w:name w:val="HeadingRunIn"/>
    <w:next w:val="Normal"/>
    <w:rsid w:val="00066D66"/>
    <w:pPr>
      <w:keepNext/>
      <w:autoSpaceDE w:val="0"/>
      <w:autoSpaceDN w:val="0"/>
      <w:adjustRightInd w:val="0"/>
      <w:spacing w:before="120" w:after="0" w:line="280" w:lineRule="atLeast"/>
    </w:pPr>
    <w:rPr>
      <w:rFonts w:ascii="Times New Roman" w:hAnsi="Times New Roman" w:cs="Times New Roman"/>
      <w:b/>
      <w:bCs/>
      <w:color w:val="000000"/>
      <w:w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2B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B38"/>
  </w:style>
  <w:style w:type="paragraph" w:styleId="Footer">
    <w:name w:val="footer"/>
    <w:basedOn w:val="Normal"/>
    <w:link w:val="FooterChar"/>
    <w:uiPriority w:val="99"/>
    <w:unhideWhenUsed/>
    <w:rsid w:val="00E32B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009100-FA1D-4B3E-A766-3F5A89490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6BB8B8-7281-4125-9D08-F459F53451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2197A-D8AC-4B17-82B2-EE85EAECD7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3397</Characters>
  <Application>Microsoft Office Word</Application>
  <DocSecurity>0</DocSecurity>
  <Lines>28</Lines>
  <Paragraphs>7</Paragraphs>
  <ScaleCrop>false</ScaleCrop>
  <Company>Elanders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Persson, Göran</dc:creator>
  <cp:keywords/>
  <dc:description/>
  <cp:lastModifiedBy>Ke, Tingting</cp:lastModifiedBy>
  <cp:revision>6</cp:revision>
  <dcterms:created xsi:type="dcterms:W3CDTF">2020-09-25T09:09:00Z</dcterms:created>
  <dcterms:modified xsi:type="dcterms:W3CDTF">2020-11-26T07:45:00Z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