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EA3" w:rsidRPr="00B66B0D" w:rsidRDefault="00D04EA3" w:rsidP="00066D66">
      <w:pPr>
        <w:pStyle w:val="HeadingRunIn"/>
        <w:keepNext w:val="0"/>
        <w:widowControl w:val="0"/>
        <w:suppressAutoHyphens/>
        <w:spacing w:before="0" w:line="320" w:lineRule="atLeast"/>
        <w:rPr>
          <w:rFonts w:ascii="Times" w:hAnsi="Times" w:cs="Times"/>
          <w:b w:val="0"/>
          <w:w w:val="100"/>
        </w:rPr>
      </w:pPr>
      <w:bookmarkStart w:id="0" w:name="_GoBack"/>
      <w:r w:rsidRPr="00B66B0D">
        <w:rPr>
          <w:rFonts w:ascii="Courier New" w:hAnsi="Courier New"/>
          <w:b w:val="0"/>
          <w:sz w:val="20"/>
        </w:rPr>
        <w:t>1. -----IND- 2020 0314 S-- EN- ------ 20201130</w:t>
      </w:r>
      <w:r w:rsidRPr="00B66B0D">
        <w:rPr>
          <w:rFonts w:ascii="Calibri" w:hAnsi="Calibri"/>
          <w:b w:val="0"/>
          <w:sz w:val="20"/>
        </w:rPr>
        <w:t xml:space="preserve"> </w:t>
      </w:r>
      <w:r w:rsidRPr="00B66B0D">
        <w:rPr>
          <w:rFonts w:ascii="Courier New" w:hAnsi="Courier New"/>
          <w:b w:val="0"/>
          <w:sz w:val="20"/>
        </w:rPr>
        <w:t>--- --- FINAL</w:t>
      </w:r>
    </w:p>
    <w:p w:rsidR="00066D66" w:rsidRPr="00B66B0D" w:rsidRDefault="00066D66" w:rsidP="00066D66">
      <w:pPr>
        <w:pStyle w:val="HeadingRunIn"/>
        <w:keepNext w:val="0"/>
        <w:widowControl w:val="0"/>
        <w:suppressAutoHyphens/>
        <w:spacing w:before="0" w:line="320" w:lineRule="atLeast"/>
        <w:rPr>
          <w:rFonts w:ascii="Times" w:hAnsi="Times" w:cs="Times"/>
          <w:w w:val="100"/>
        </w:rPr>
      </w:pPr>
      <w:r w:rsidRPr="00B66B0D">
        <w:rPr>
          <w:rFonts w:ascii="Times" w:hAnsi="Times"/>
        </w:rPr>
        <w:t>SIFS 2020:2</w:t>
      </w:r>
    </w:p>
    <w:p w:rsidR="00066D66" w:rsidRPr="00B66B0D" w:rsidRDefault="00066D66" w:rsidP="00066D66">
      <w:pPr>
        <w:pStyle w:val="HeadingRunIn"/>
        <w:keepNext w:val="0"/>
        <w:widowControl w:val="0"/>
        <w:suppressAutoHyphens/>
        <w:spacing w:before="0" w:line="200" w:lineRule="atLeast"/>
        <w:rPr>
          <w:rFonts w:ascii="Times" w:hAnsi="Times" w:cs="Times"/>
          <w:b w:val="0"/>
          <w:bCs w:val="0"/>
          <w:w w:val="100"/>
          <w:sz w:val="17"/>
          <w:szCs w:val="17"/>
        </w:rPr>
      </w:pPr>
      <w:r w:rsidRPr="00B66B0D">
        <w:rPr>
          <w:rFonts w:ascii="Times" w:hAnsi="Times"/>
          <w:b w:val="0"/>
          <w:sz w:val="17"/>
        </w:rPr>
        <w:t>Published</w:t>
      </w:r>
      <w:r w:rsidRPr="00B66B0D">
        <w:rPr>
          <w:rFonts w:ascii="Times" w:hAnsi="Times"/>
          <w:b w:val="0"/>
          <w:sz w:val="17"/>
        </w:rPr>
        <w:br/>
        <w:t>on 1 October 2020</w:t>
      </w:r>
    </w:p>
    <w:p w:rsidR="00D97284" w:rsidRPr="00B66B0D" w:rsidRDefault="00D97284"/>
    <w:p w:rsidR="00066D66" w:rsidRPr="00B66B0D" w:rsidRDefault="00066D66" w:rsidP="00066D66">
      <w:pPr>
        <w:pStyle w:val="HeadingRunIn"/>
        <w:keepNext w:val="0"/>
        <w:widowControl w:val="0"/>
        <w:suppressAutoHyphens/>
        <w:spacing w:before="0" w:line="240" w:lineRule="atLeast"/>
        <w:ind w:right="240"/>
        <w:rPr>
          <w:rFonts w:ascii="Times" w:hAnsi="Times" w:cs="Times"/>
          <w:w w:val="100"/>
          <w:sz w:val="26"/>
          <w:szCs w:val="26"/>
        </w:rPr>
      </w:pPr>
      <w:r w:rsidRPr="00B66B0D">
        <w:rPr>
          <w:rFonts w:ascii="Times" w:hAnsi="Times"/>
          <w:sz w:val="26"/>
        </w:rPr>
        <w:t>The Swedish Gambling Authority’s regulations and general advice on restrictions and bans on certain types of betting to counteract manipulation of sports competitions (including match fixing) as well as reporting of suspected manipulation;</w:t>
      </w:r>
    </w:p>
    <w:p w:rsidR="00066D66" w:rsidRPr="00B66B0D"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sidRPr="00B66B0D">
        <w:rPr>
          <w:rFonts w:ascii="Times" w:hAnsi="Times"/>
          <w:b w:val="0"/>
          <w:sz w:val="19"/>
        </w:rPr>
        <w:t>adopted on 14 September 2020.</w:t>
      </w:r>
    </w:p>
    <w:p w:rsidR="00066D66" w:rsidRPr="00B66B0D"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sidRPr="00B66B0D">
        <w:rPr>
          <w:rFonts w:ascii="Times" w:hAnsi="Times"/>
          <w:b w:val="0"/>
          <w:sz w:val="19"/>
        </w:rPr>
        <w:t>By virtue of Chapter 16, § 6, first paragraph and § 11, point 2 of the Gambling Ordinance (2018:1475), the Swedish Gambling Authority lays down</w:t>
      </w:r>
      <w:r w:rsidRPr="00B66B0D">
        <w:rPr>
          <w:rFonts w:ascii="Times" w:hAnsi="Times" w:cs="Times"/>
          <w:b w:val="0"/>
          <w:bCs w:val="0"/>
          <w:w w:val="100"/>
          <w:sz w:val="19"/>
          <w:szCs w:val="19"/>
          <w:vertAlign w:val="superscript"/>
          <w:lang w:val="sv-SE"/>
        </w:rPr>
        <w:footnoteReference w:id="1"/>
      </w:r>
      <w:r w:rsidRPr="00B66B0D">
        <w:rPr>
          <w:rFonts w:ascii="Times" w:hAnsi="Times"/>
          <w:b w:val="0"/>
          <w:sz w:val="19"/>
        </w:rPr>
        <w:t xml:space="preserve"> the following, and adopts the following general advice.</w:t>
      </w:r>
    </w:p>
    <w:p w:rsidR="00066D66" w:rsidRPr="00B66B0D" w:rsidRDefault="00066D66" w:rsidP="00066D66">
      <w:pPr>
        <w:pStyle w:val="HeadingRunIn"/>
        <w:widowControl w:val="0"/>
        <w:suppressAutoHyphens/>
        <w:spacing w:before="360" w:line="220" w:lineRule="atLeast"/>
        <w:rPr>
          <w:rFonts w:ascii="Times" w:hAnsi="Times" w:cs="Times"/>
          <w:w w:val="100"/>
          <w:sz w:val="21"/>
          <w:szCs w:val="21"/>
        </w:rPr>
      </w:pPr>
      <w:r w:rsidRPr="00B66B0D">
        <w:rPr>
          <w:rFonts w:ascii="Times" w:hAnsi="Times"/>
          <w:sz w:val="21"/>
        </w:rPr>
        <w:t>Chapter 1 Scope and terminology</w:t>
      </w:r>
    </w:p>
    <w:p w:rsidR="00066D66" w:rsidRPr="00B66B0D" w:rsidRDefault="00066D66" w:rsidP="00066D66">
      <w:pPr>
        <w:pStyle w:val="HeadingRunIn"/>
        <w:keepNext w:val="0"/>
        <w:spacing w:before="100" w:line="220" w:lineRule="atLeast"/>
        <w:jc w:val="both"/>
        <w:rPr>
          <w:rFonts w:ascii="Times" w:hAnsi="Times" w:cs="Times"/>
          <w:b w:val="0"/>
          <w:bCs w:val="0"/>
          <w:w w:val="100"/>
          <w:sz w:val="19"/>
          <w:szCs w:val="19"/>
        </w:rPr>
      </w:pPr>
      <w:r w:rsidRPr="00B66B0D">
        <w:rPr>
          <w:rFonts w:ascii="Times" w:hAnsi="Times"/>
          <w:sz w:val="19"/>
        </w:rPr>
        <w:t>§ 1</w:t>
      </w:r>
      <w:r w:rsidRPr="00B66B0D">
        <w:rPr>
          <w:rFonts w:ascii="Times" w:hAnsi="Times"/>
          <w:b w:val="0"/>
          <w:sz w:val="19"/>
        </w:rPr>
        <w:t> These regulations and general advice contain supplementary provisions to the Gambling Act (2018:1138) and the Gambling Ordinance (2018:1475). The regulations apply to betting on sports – played in Sweden – for those who are licensed to provide betting in accordance with Chapter 8 of the Gambling Act.</w:t>
      </w:r>
    </w:p>
    <w:p w:rsidR="00066D66" w:rsidRPr="00B66B0D"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sidRPr="00B66B0D">
        <w:rPr>
          <w:rFonts w:ascii="Times" w:hAnsi="Times"/>
          <w:sz w:val="19"/>
        </w:rPr>
        <w:t>§ 2</w:t>
      </w:r>
      <w:r w:rsidRPr="00B66B0D">
        <w:rPr>
          <w:rFonts w:ascii="Times" w:hAnsi="Times"/>
          <w:b w:val="0"/>
          <w:sz w:val="19"/>
        </w:rPr>
        <w:t> The terminology and names used in the regulations have the same meanings as in the Gambling Act (2018:1138) and the Gambling Ordinance (2018:1475).</w:t>
      </w:r>
    </w:p>
    <w:p w:rsidR="00066D66" w:rsidRPr="00B66B0D" w:rsidRDefault="00066D66" w:rsidP="00066D66">
      <w:pPr>
        <w:pStyle w:val="HeadingRunIn"/>
        <w:keepNext w:val="0"/>
        <w:tabs>
          <w:tab w:val="left" w:pos="3060"/>
        </w:tabs>
        <w:spacing w:before="0" w:line="220" w:lineRule="atLeast"/>
        <w:ind w:firstLine="180"/>
        <w:jc w:val="both"/>
        <w:rPr>
          <w:rFonts w:ascii="Times" w:hAnsi="Times" w:cs="Times"/>
          <w:b w:val="0"/>
          <w:bCs w:val="0"/>
          <w:w w:val="100"/>
          <w:sz w:val="19"/>
          <w:szCs w:val="19"/>
        </w:rPr>
      </w:pPr>
      <w:r w:rsidRPr="00B66B0D">
        <w:rPr>
          <w:rFonts w:ascii="Times" w:hAnsi="Times"/>
          <w:b w:val="0"/>
          <w:sz w:val="19"/>
        </w:rPr>
        <w:t>In these regulations and general advice, sport means individual or team performance in competition that is often associated with physical activity and which requires skill and is determined both by skill and luck, where participants’ skills vary and affect performance to a large extent and are often of a competitive nature, e.g. bandy, basketball, e-sports, football, equestrian events, golf, ice hockey, motor sports, skiing, shooting, or tennis.</w:t>
      </w:r>
    </w:p>
    <w:p w:rsidR="00066D66" w:rsidRPr="00B66B0D" w:rsidRDefault="00066D66" w:rsidP="00066D66">
      <w:pPr>
        <w:pStyle w:val="HeadingRunIn"/>
        <w:widowControl w:val="0"/>
        <w:suppressAutoHyphens/>
        <w:spacing w:before="360" w:line="220" w:lineRule="atLeast"/>
        <w:rPr>
          <w:rFonts w:ascii="Times" w:hAnsi="Times" w:cs="Times"/>
          <w:w w:val="100"/>
          <w:sz w:val="21"/>
          <w:szCs w:val="21"/>
        </w:rPr>
      </w:pPr>
      <w:r w:rsidRPr="00B66B0D">
        <w:rPr>
          <w:rFonts w:ascii="Times" w:hAnsi="Times"/>
          <w:sz w:val="21"/>
        </w:rPr>
        <w:t>Chapter 2 Ban on betting on certain penalties and the performance of minors</w:t>
      </w:r>
    </w:p>
    <w:p w:rsidR="00066D66" w:rsidRPr="00B66B0D" w:rsidRDefault="00066D66" w:rsidP="00066D66">
      <w:pPr>
        <w:pStyle w:val="HeadingRunIn"/>
        <w:keepNext w:val="0"/>
        <w:spacing w:before="100" w:line="220" w:lineRule="atLeast"/>
        <w:jc w:val="both"/>
        <w:rPr>
          <w:rFonts w:ascii="Times" w:hAnsi="Times" w:cs="Times"/>
          <w:b w:val="0"/>
          <w:bCs w:val="0"/>
          <w:w w:val="100"/>
          <w:sz w:val="19"/>
          <w:szCs w:val="19"/>
        </w:rPr>
      </w:pPr>
      <w:r w:rsidRPr="00B66B0D">
        <w:rPr>
          <w:rFonts w:ascii="Times" w:hAnsi="Times"/>
          <w:sz w:val="19"/>
        </w:rPr>
        <w:t>§ 1</w:t>
      </w:r>
      <w:r w:rsidRPr="00B66B0D">
        <w:rPr>
          <w:rFonts w:ascii="Times" w:hAnsi="Times"/>
          <w:b w:val="0"/>
          <w:sz w:val="19"/>
        </w:rPr>
        <w:t xml:space="preserve"> Penalty betting is not to be offered for rule violations in connection with a match, race, or tournament. </w:t>
      </w:r>
    </w:p>
    <w:p w:rsidR="00066D66" w:rsidRPr="00B66B0D" w:rsidRDefault="00066D66" w:rsidP="00066D66">
      <w:pPr>
        <w:pStyle w:val="HeadingRunIn"/>
        <w:widowControl w:val="0"/>
        <w:suppressAutoHyphens/>
        <w:spacing w:before="220" w:line="220" w:lineRule="atLeast"/>
        <w:ind w:left="500"/>
        <w:rPr>
          <w:rFonts w:ascii="Times" w:hAnsi="Times" w:cs="Times"/>
          <w:b w:val="0"/>
          <w:bCs w:val="0"/>
          <w:i/>
          <w:iCs/>
          <w:w w:val="100"/>
          <w:sz w:val="19"/>
          <w:szCs w:val="19"/>
        </w:rPr>
      </w:pPr>
      <w:r w:rsidRPr="00B66B0D">
        <w:rPr>
          <w:rFonts w:ascii="Times" w:hAnsi="Times"/>
          <w:b w:val="0"/>
          <w:i/>
          <w:sz w:val="19"/>
        </w:rPr>
        <w:lastRenderedPageBreak/>
        <w:t>General advice:</w:t>
      </w:r>
    </w:p>
    <w:p w:rsidR="00066D66" w:rsidRPr="00B66B0D" w:rsidRDefault="00066D66" w:rsidP="00066D66">
      <w:pPr>
        <w:pStyle w:val="HeadingRunIn"/>
        <w:keepNext w:val="0"/>
        <w:spacing w:before="100" w:line="220" w:lineRule="atLeast"/>
        <w:ind w:left="500"/>
        <w:jc w:val="both"/>
        <w:rPr>
          <w:rFonts w:ascii="Times" w:hAnsi="Times" w:cs="Times"/>
          <w:b w:val="0"/>
          <w:bCs w:val="0"/>
          <w:w w:val="100"/>
          <w:sz w:val="19"/>
          <w:szCs w:val="19"/>
        </w:rPr>
      </w:pPr>
      <w:r w:rsidRPr="00B66B0D">
        <w:rPr>
          <w:rFonts w:ascii="Times" w:hAnsi="Times"/>
          <w:b w:val="0"/>
          <w:sz w:val="19"/>
        </w:rPr>
        <w:t>Penalties include red or yellow cards, free throws, penalty shots, penalty kicks, ejections, warnings, disqualification, etc.</w:t>
      </w:r>
    </w:p>
    <w:p w:rsidR="00066D66" w:rsidRPr="00B66B0D"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sidRPr="00B66B0D">
        <w:rPr>
          <w:rFonts w:ascii="Times" w:hAnsi="Times"/>
          <w:sz w:val="19"/>
        </w:rPr>
        <w:t>§ 2</w:t>
      </w:r>
      <w:r w:rsidRPr="00B66B0D">
        <w:rPr>
          <w:rFonts w:ascii="Times" w:hAnsi="Times"/>
          <w:b w:val="0"/>
          <w:sz w:val="19"/>
        </w:rPr>
        <w:t xml:space="preserve"> Betting is not to be offered on individual performance in a match, race, or tournament of a participant who at the time of the betting offer is under 18 years of age. </w:t>
      </w:r>
    </w:p>
    <w:p w:rsidR="00066D66" w:rsidRPr="00B66B0D" w:rsidRDefault="00066D66" w:rsidP="00066D66">
      <w:pPr>
        <w:pStyle w:val="HeadingRunIn"/>
        <w:widowControl w:val="0"/>
        <w:suppressAutoHyphens/>
        <w:spacing w:before="360" w:line="220" w:lineRule="atLeast"/>
        <w:rPr>
          <w:rFonts w:ascii="Times" w:hAnsi="Times" w:cs="Times"/>
          <w:w w:val="100"/>
          <w:sz w:val="21"/>
          <w:szCs w:val="21"/>
        </w:rPr>
      </w:pPr>
      <w:r w:rsidRPr="00B66B0D">
        <w:rPr>
          <w:rFonts w:ascii="Times" w:hAnsi="Times"/>
          <w:sz w:val="21"/>
        </w:rPr>
        <w:t>Chapter 3 Specifics on restrictions and bans on football betting</w:t>
      </w:r>
    </w:p>
    <w:p w:rsidR="00066D66" w:rsidRPr="00B66B0D" w:rsidRDefault="00066D66" w:rsidP="008742B9">
      <w:pPr>
        <w:pStyle w:val="HeadingRunIn"/>
        <w:spacing w:before="100" w:line="220" w:lineRule="atLeast"/>
        <w:jc w:val="both"/>
        <w:rPr>
          <w:rFonts w:ascii="Times" w:hAnsi="Times" w:cs="Times"/>
          <w:b w:val="0"/>
          <w:bCs w:val="0"/>
          <w:w w:val="100"/>
          <w:sz w:val="19"/>
          <w:szCs w:val="19"/>
        </w:rPr>
      </w:pPr>
      <w:r w:rsidRPr="00B66B0D">
        <w:rPr>
          <w:rFonts w:ascii="Times" w:hAnsi="Times"/>
          <w:sz w:val="19"/>
        </w:rPr>
        <w:t>§ 1</w:t>
      </w:r>
      <w:r w:rsidRPr="00B66B0D">
        <w:rPr>
          <w:rFonts w:ascii="Times" w:hAnsi="Times"/>
          <w:b w:val="0"/>
          <w:sz w:val="19"/>
        </w:rPr>
        <w:t xml:space="preserve"> Football betting, with the restrictions stated in Chapters 1 and 2, may only be offered on </w:t>
      </w:r>
    </w:p>
    <w:p w:rsidR="00066D66" w:rsidRPr="00B66B0D"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sidRPr="00B66B0D">
        <w:rPr>
          <w:rFonts w:ascii="Times" w:hAnsi="Times"/>
          <w:b w:val="0"/>
          <w:sz w:val="19"/>
        </w:rPr>
        <w:t>–</w:t>
      </w:r>
      <w:r w:rsidRPr="00B66B0D">
        <w:rPr>
          <w:rFonts w:ascii="Times" w:hAnsi="Times"/>
          <w:b w:val="0"/>
          <w:sz w:val="19"/>
        </w:rPr>
        <w:tab/>
        <w:t xml:space="preserve">the four highest league levels in the Swedish league system, </w:t>
      </w:r>
    </w:p>
    <w:p w:rsidR="00066D66" w:rsidRPr="00B66B0D"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sidRPr="00B66B0D">
        <w:rPr>
          <w:rFonts w:ascii="Times" w:hAnsi="Times"/>
          <w:b w:val="0"/>
          <w:sz w:val="19"/>
        </w:rPr>
        <w:t>–</w:t>
      </w:r>
      <w:r w:rsidRPr="00B66B0D">
        <w:rPr>
          <w:rFonts w:ascii="Times" w:hAnsi="Times"/>
          <w:b w:val="0"/>
          <w:sz w:val="19"/>
        </w:rPr>
        <w:tab/>
        <w:t xml:space="preserve">matches between teams at international club level where the teams are part of one of the four highest league levels in the respective countries, </w:t>
      </w:r>
    </w:p>
    <w:p w:rsidR="00066D66" w:rsidRPr="00B66B0D"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sidRPr="00B66B0D">
        <w:rPr>
          <w:rFonts w:ascii="Times" w:hAnsi="Times"/>
          <w:b w:val="0"/>
          <w:sz w:val="19"/>
        </w:rPr>
        <w:t>–</w:t>
      </w:r>
      <w:r w:rsidRPr="00B66B0D">
        <w:rPr>
          <w:rFonts w:ascii="Times" w:hAnsi="Times"/>
          <w:b w:val="0"/>
          <w:sz w:val="19"/>
        </w:rPr>
        <w:tab/>
        <w:t>matches in the Swedish Cup where the teams are part of one of the four highest league levels in the Swedish league system, and</w:t>
      </w:r>
    </w:p>
    <w:p w:rsidR="00066D66" w:rsidRPr="00B66B0D"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sidRPr="00B66B0D">
        <w:rPr>
          <w:rFonts w:ascii="Times" w:hAnsi="Times"/>
          <w:b w:val="0"/>
          <w:sz w:val="19"/>
        </w:rPr>
        <w:t>–</w:t>
      </w:r>
      <w:r w:rsidRPr="00B66B0D">
        <w:rPr>
          <w:rFonts w:ascii="Times" w:hAnsi="Times"/>
          <w:b w:val="0"/>
          <w:sz w:val="19"/>
        </w:rPr>
        <w:tab/>
        <w:t>matches where U21 national teams up to national A teams participate.</w:t>
      </w:r>
    </w:p>
    <w:p w:rsidR="00066D66" w:rsidRPr="00B66B0D" w:rsidRDefault="00066D66" w:rsidP="008742B9">
      <w:pPr>
        <w:pStyle w:val="HeadingRunIn"/>
        <w:keepNext w:val="0"/>
        <w:tabs>
          <w:tab w:val="left" w:pos="2940"/>
        </w:tabs>
        <w:spacing w:before="0" w:line="220" w:lineRule="atLeast"/>
        <w:ind w:firstLine="180"/>
        <w:jc w:val="both"/>
        <w:rPr>
          <w:rFonts w:ascii="Times" w:hAnsi="Times" w:cs="Times"/>
          <w:b w:val="0"/>
          <w:bCs w:val="0"/>
          <w:w w:val="100"/>
          <w:sz w:val="19"/>
          <w:szCs w:val="19"/>
        </w:rPr>
      </w:pPr>
      <w:r w:rsidRPr="00B66B0D">
        <w:rPr>
          <w:rFonts w:ascii="Times" w:hAnsi="Times"/>
          <w:b w:val="0"/>
          <w:sz w:val="19"/>
        </w:rPr>
        <w:t xml:space="preserve">Betting on training or friendly matches is not to be offered in cases other than where U21 national teams up to national A teams participate. </w:t>
      </w:r>
    </w:p>
    <w:p w:rsidR="00066D66" w:rsidRPr="00B66B0D" w:rsidRDefault="00066D66" w:rsidP="00066D66">
      <w:pPr>
        <w:pStyle w:val="HeadingRunIn"/>
        <w:widowControl w:val="0"/>
        <w:suppressAutoHyphens/>
        <w:spacing w:before="220" w:line="220" w:lineRule="atLeast"/>
        <w:ind w:left="500"/>
        <w:rPr>
          <w:rFonts w:ascii="Times" w:hAnsi="Times" w:cs="Times"/>
          <w:b w:val="0"/>
          <w:bCs w:val="0"/>
          <w:i/>
          <w:iCs/>
          <w:w w:val="100"/>
          <w:sz w:val="19"/>
          <w:szCs w:val="19"/>
        </w:rPr>
      </w:pPr>
      <w:r w:rsidRPr="00B66B0D">
        <w:rPr>
          <w:rFonts w:ascii="Times" w:hAnsi="Times"/>
          <w:b w:val="0"/>
          <w:i/>
          <w:sz w:val="19"/>
        </w:rPr>
        <w:t>General advice:</w:t>
      </w:r>
    </w:p>
    <w:p w:rsidR="00066D66" w:rsidRPr="00B66B0D" w:rsidRDefault="00066D66" w:rsidP="00066D66">
      <w:pPr>
        <w:pStyle w:val="HeadingRunIn"/>
        <w:keepNext w:val="0"/>
        <w:spacing w:before="100" w:line="220" w:lineRule="atLeast"/>
        <w:ind w:left="500"/>
        <w:jc w:val="both"/>
        <w:rPr>
          <w:rFonts w:ascii="Times" w:hAnsi="Times" w:cs="Times"/>
          <w:b w:val="0"/>
          <w:bCs w:val="0"/>
          <w:w w:val="100"/>
          <w:sz w:val="19"/>
          <w:szCs w:val="19"/>
        </w:rPr>
      </w:pPr>
      <w:r w:rsidRPr="00B66B0D">
        <w:rPr>
          <w:rFonts w:ascii="Times" w:hAnsi="Times"/>
          <w:b w:val="0"/>
          <w:sz w:val="19"/>
        </w:rPr>
        <w:t xml:space="preserve">For example, matches between teams at international club level may be matches in the European cups that are played in Sweden. </w:t>
      </w:r>
    </w:p>
    <w:p w:rsidR="00066D66" w:rsidRPr="00B66B0D" w:rsidRDefault="00066D66" w:rsidP="00066D66">
      <w:pPr>
        <w:pStyle w:val="HeadingRunIn"/>
        <w:widowControl w:val="0"/>
        <w:suppressAutoHyphens/>
        <w:spacing w:before="360" w:line="220" w:lineRule="atLeast"/>
        <w:rPr>
          <w:rFonts w:ascii="Times" w:hAnsi="Times" w:cs="Times"/>
          <w:w w:val="100"/>
          <w:sz w:val="21"/>
          <w:szCs w:val="21"/>
        </w:rPr>
      </w:pPr>
      <w:r w:rsidRPr="00B66B0D">
        <w:rPr>
          <w:rFonts w:ascii="Times" w:hAnsi="Times"/>
          <w:sz w:val="21"/>
        </w:rPr>
        <w:t>Chapter 4 Reporting of recorded, suspected manipulation of sports competitions on which bets are made</w:t>
      </w:r>
    </w:p>
    <w:p w:rsidR="00066D66" w:rsidRPr="00B66B0D" w:rsidRDefault="00066D66" w:rsidP="00066D66">
      <w:pPr>
        <w:pStyle w:val="HeadingRunIn"/>
        <w:keepNext w:val="0"/>
        <w:spacing w:before="100" w:line="220" w:lineRule="atLeast"/>
        <w:jc w:val="both"/>
        <w:rPr>
          <w:rFonts w:ascii="Times" w:hAnsi="Times" w:cs="Times"/>
          <w:b w:val="0"/>
          <w:bCs w:val="0"/>
          <w:w w:val="100"/>
          <w:sz w:val="19"/>
          <w:szCs w:val="19"/>
        </w:rPr>
      </w:pPr>
      <w:r w:rsidRPr="00B66B0D">
        <w:rPr>
          <w:rFonts w:ascii="Times" w:hAnsi="Times"/>
          <w:sz w:val="19"/>
        </w:rPr>
        <w:t>§ 1</w:t>
      </w:r>
      <w:r w:rsidRPr="00B66B0D">
        <w:rPr>
          <w:rFonts w:ascii="Times" w:hAnsi="Times"/>
          <w:b w:val="0"/>
          <w:sz w:val="19"/>
        </w:rPr>
        <w:t> By no later than 31 March each year, licence holders shall send to the Swedish Gambling Authority a report on the previous year’s recorded, suspected manipulation of sports competitions on which bets are made in accordance with Chapter 8, § 1, third paragraph of the Swedish Gambling Authority’s Regulations and general advice (LIFS 2018:8) on technical requirements as well as the accreditation of bodies to inspect, test, and certify gambling operations.</w:t>
      </w:r>
    </w:p>
    <w:p w:rsidR="00066D66" w:rsidRPr="00B66B0D" w:rsidRDefault="00066D66" w:rsidP="008742B9">
      <w:pPr>
        <w:pStyle w:val="HeadingRunIn"/>
        <w:keepNext w:val="0"/>
        <w:tabs>
          <w:tab w:val="left" w:pos="2940"/>
        </w:tabs>
        <w:spacing w:before="0" w:line="220" w:lineRule="atLeast"/>
        <w:ind w:firstLine="180"/>
        <w:jc w:val="both"/>
        <w:rPr>
          <w:rFonts w:ascii="Times" w:hAnsi="Times" w:cs="Times"/>
          <w:b w:val="0"/>
          <w:bCs w:val="0"/>
          <w:w w:val="100"/>
          <w:sz w:val="19"/>
          <w:szCs w:val="19"/>
        </w:rPr>
      </w:pPr>
      <w:r w:rsidRPr="00B66B0D">
        <w:rPr>
          <w:rFonts w:ascii="Times" w:hAnsi="Times"/>
          <w:b w:val="0"/>
          <w:sz w:val="19"/>
        </w:rPr>
        <w:t xml:space="preserve">Each recorded, suspected manipulation of a competition shall include the date of the suspected manipulation and its intention. </w:t>
      </w:r>
    </w:p>
    <w:p w:rsidR="00066D66" w:rsidRPr="00B66B0D" w:rsidRDefault="00066D66" w:rsidP="00066D66">
      <w:pPr>
        <w:pStyle w:val="HeadingRunIn"/>
        <w:widowControl w:val="0"/>
        <w:suppressAutoHyphens/>
        <w:spacing w:before="220" w:line="220" w:lineRule="atLeast"/>
        <w:ind w:left="500"/>
        <w:rPr>
          <w:rFonts w:ascii="Times" w:hAnsi="Times" w:cs="Times"/>
          <w:b w:val="0"/>
          <w:bCs w:val="0"/>
          <w:i/>
          <w:iCs/>
          <w:w w:val="100"/>
          <w:sz w:val="19"/>
          <w:szCs w:val="19"/>
        </w:rPr>
      </w:pPr>
      <w:r w:rsidRPr="00B66B0D">
        <w:rPr>
          <w:rFonts w:ascii="Times" w:hAnsi="Times"/>
          <w:b w:val="0"/>
          <w:i/>
          <w:sz w:val="19"/>
        </w:rPr>
        <w:t>General advice:</w:t>
      </w:r>
    </w:p>
    <w:p w:rsidR="00066D66" w:rsidRPr="00B66B0D" w:rsidRDefault="00066D66" w:rsidP="00066D66">
      <w:pPr>
        <w:pStyle w:val="HeadingRunIn"/>
        <w:keepNext w:val="0"/>
        <w:spacing w:before="100" w:line="220" w:lineRule="atLeast"/>
        <w:ind w:left="500"/>
        <w:jc w:val="both"/>
        <w:rPr>
          <w:rFonts w:ascii="Times" w:hAnsi="Times" w:cs="Times"/>
          <w:b w:val="0"/>
          <w:bCs w:val="0"/>
          <w:w w:val="100"/>
          <w:sz w:val="19"/>
          <w:szCs w:val="19"/>
        </w:rPr>
      </w:pPr>
      <w:r w:rsidRPr="00B66B0D">
        <w:rPr>
          <w:rFonts w:ascii="Times" w:hAnsi="Times"/>
          <w:b w:val="0"/>
          <w:sz w:val="19"/>
        </w:rPr>
        <w:t>Reporting of recorded, suspected manipulation should only concern the match, race, or tournament. Any personal data regarding suspected manipulations should not be included in the report, as far as possible. Licence holders should compile suspicious manipulations of competitions on an ongoing basis.</w:t>
      </w:r>
    </w:p>
    <w:p w:rsidR="00066D66" w:rsidRPr="00B66B0D" w:rsidRDefault="00066D66" w:rsidP="00066D66">
      <w:pPr>
        <w:pStyle w:val="HeadingRunIn"/>
        <w:keepNext w:val="0"/>
        <w:pBdr>
          <w:top w:val="single" w:sz="8" w:space="0" w:color="auto"/>
        </w:pBdr>
        <w:spacing w:before="0" w:line="220" w:lineRule="atLeast"/>
        <w:ind w:firstLine="180"/>
        <w:jc w:val="both"/>
        <w:rPr>
          <w:rFonts w:ascii="Times" w:hAnsi="Times" w:cs="Times"/>
          <w:b w:val="0"/>
          <w:bCs w:val="0"/>
          <w:w w:val="100"/>
          <w:sz w:val="19"/>
          <w:szCs w:val="19"/>
        </w:rPr>
      </w:pPr>
      <w:r w:rsidRPr="00B66B0D">
        <w:rPr>
          <w:rFonts w:ascii="Times" w:hAnsi="Times"/>
          <w:b w:val="0"/>
          <w:sz w:val="19"/>
        </w:rPr>
        <w:t>These regulations and general advice shall enter into force on 1 January 2021.</w:t>
      </w:r>
    </w:p>
    <w:p w:rsidR="00066D66" w:rsidRPr="00B66B0D"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sidRPr="00B66B0D">
        <w:rPr>
          <w:rFonts w:ascii="Times" w:hAnsi="Times"/>
          <w:b w:val="0"/>
          <w:sz w:val="19"/>
        </w:rPr>
        <w:t>On behalf of the Swedish Gambling Authority</w:t>
      </w:r>
    </w:p>
    <w:p w:rsidR="00066D66" w:rsidRPr="00B66B0D"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sidRPr="00B66B0D">
        <w:rPr>
          <w:rFonts w:ascii="Times" w:hAnsi="Times"/>
          <w:b w:val="0"/>
          <w:sz w:val="19"/>
        </w:rPr>
        <w:t>CAMILLA ROSENBERG</w:t>
      </w:r>
    </w:p>
    <w:p w:rsidR="00066D66" w:rsidRDefault="00066D66" w:rsidP="008742B9">
      <w:pPr>
        <w:pStyle w:val="HeadingRunIn"/>
        <w:keepNext w:val="0"/>
        <w:tabs>
          <w:tab w:val="left" w:pos="2940"/>
        </w:tabs>
        <w:spacing w:before="0" w:line="220" w:lineRule="atLeast"/>
        <w:jc w:val="center"/>
        <w:rPr>
          <w:rFonts w:ascii="Times" w:hAnsi="Times" w:cs="Times"/>
          <w:b w:val="0"/>
          <w:bCs w:val="0"/>
          <w:w w:val="100"/>
          <w:sz w:val="19"/>
          <w:szCs w:val="19"/>
        </w:rPr>
      </w:pPr>
      <w:r w:rsidRPr="00B66B0D">
        <w:rPr>
          <w:rFonts w:ascii="Times" w:hAnsi="Times"/>
          <w:b w:val="0"/>
          <w:sz w:val="19"/>
        </w:rPr>
        <w:lastRenderedPageBreak/>
        <w:t>Johan Röhr</w:t>
      </w:r>
      <w:bookmarkEnd w:id="0"/>
    </w:p>
    <w:sectPr w:rsidR="00066D66" w:rsidSect="00066D66">
      <w:headerReference w:type="default" r:id="rId9"/>
      <w:pgSz w:w="9356" w:h="13721"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792" w:rsidRDefault="002B6792" w:rsidP="00066D66">
      <w:pPr>
        <w:spacing w:after="0" w:line="240" w:lineRule="auto"/>
      </w:pPr>
      <w:r>
        <w:separator/>
      </w:r>
    </w:p>
  </w:endnote>
  <w:endnote w:type="continuationSeparator" w:id="0">
    <w:p w:rsidR="002B6792" w:rsidRDefault="002B6792" w:rsidP="0006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792" w:rsidRDefault="002B6792" w:rsidP="00066D66">
      <w:pPr>
        <w:spacing w:after="0" w:line="240" w:lineRule="auto"/>
      </w:pPr>
      <w:r>
        <w:separator/>
      </w:r>
    </w:p>
  </w:footnote>
  <w:footnote w:type="continuationSeparator" w:id="0">
    <w:p w:rsidR="002B6792" w:rsidRDefault="002B6792" w:rsidP="00066D66">
      <w:pPr>
        <w:spacing w:after="0" w:line="240" w:lineRule="auto"/>
      </w:pPr>
      <w:r>
        <w:continuationSeparator/>
      </w:r>
    </w:p>
  </w:footnote>
  <w:footnote w:id="1">
    <w:p w:rsidR="00066D66" w:rsidRPr="008742B9" w:rsidRDefault="00066D66" w:rsidP="00066D66">
      <w:pPr>
        <w:pStyle w:val="HeadingRunIn"/>
        <w:keepNext w:val="0"/>
        <w:widowControl w:val="0"/>
        <w:tabs>
          <w:tab w:val="left" w:pos="100"/>
        </w:tabs>
        <w:spacing w:before="0" w:line="160" w:lineRule="atLeast"/>
        <w:jc w:val="both"/>
        <w:rPr>
          <w:rFonts w:ascii="Times" w:hAnsi="Times" w:cs="Times"/>
          <w:b w:val="0"/>
          <w:bCs w:val="0"/>
          <w:sz w:val="17"/>
          <w:szCs w:val="17"/>
        </w:rPr>
      </w:pPr>
      <w:r>
        <w:rPr>
          <w:rFonts w:ascii="Times" w:hAnsi="Times" w:cs="Times"/>
          <w:b w:val="0"/>
          <w:bCs w:val="0"/>
          <w:sz w:val="17"/>
          <w:szCs w:val="17"/>
          <w:vertAlign w:val="superscript"/>
          <w:lang w:val="sv-SE"/>
        </w:rPr>
        <w:footnoteRef/>
      </w:r>
      <w:r>
        <w:rPr>
          <w:rFonts w:ascii="Times" w:hAnsi="Times"/>
          <w:b w:val="0"/>
          <w:sz w:val="17"/>
        </w:rPr>
        <w:t xml:space="preserve"> See Directive (EU) 2015/1535 of the European Parliament and of the Council of 9 September 2015 laying down a procedure for the provision of information in the field of technical regulations and of rules on Information Society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D11" w:rsidRDefault="00B66B0D">
    <w:pPr>
      <w:autoSpaceDE w:val="0"/>
      <w:autoSpaceDN w:val="0"/>
      <w:adjustRightInd w:val="0"/>
      <w:spacing w:after="0" w:line="240" w:lineRule="auto"/>
      <w:rPr>
        <w:rFonts w:ascii="Symbol" w:hAnsi="Symbo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doNotHyphenateCap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66"/>
    <w:rsid w:val="00066D66"/>
    <w:rsid w:val="002B6792"/>
    <w:rsid w:val="008742B9"/>
    <w:rsid w:val="00B66B0D"/>
    <w:rsid w:val="00CC2B55"/>
    <w:rsid w:val="00D04EA3"/>
    <w:rsid w:val="00D97284"/>
    <w:rsid w:val="00E32B38"/>
    <w:rsid w:val="00F8715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189AE44-5298-4600-B0D9-F649FFF2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RunIn">
    <w:name w:val="HeadingRunIn"/>
    <w:next w:val="Normal"/>
    <w:rsid w:val="00066D66"/>
    <w:pPr>
      <w:keepNext/>
      <w:autoSpaceDE w:val="0"/>
      <w:autoSpaceDN w:val="0"/>
      <w:adjustRightInd w:val="0"/>
      <w:spacing w:before="120" w:after="0" w:line="280" w:lineRule="atLeast"/>
    </w:pPr>
    <w:rPr>
      <w:rFonts w:ascii="Times New Roman" w:hAnsi="Times New Roman" w:cs="Times New Roman"/>
      <w:b/>
      <w:bCs/>
      <w:color w:val="000000"/>
      <w:w w:val="0"/>
      <w:sz w:val="24"/>
      <w:szCs w:val="24"/>
    </w:rPr>
  </w:style>
  <w:style w:type="paragraph" w:styleId="Header">
    <w:name w:val="header"/>
    <w:basedOn w:val="Normal"/>
    <w:link w:val="HeaderChar"/>
    <w:uiPriority w:val="99"/>
    <w:unhideWhenUsed/>
    <w:rsid w:val="00E32B38"/>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2B38"/>
  </w:style>
  <w:style w:type="paragraph" w:styleId="Footer">
    <w:name w:val="footer"/>
    <w:basedOn w:val="Normal"/>
    <w:link w:val="FooterChar"/>
    <w:uiPriority w:val="99"/>
    <w:unhideWhenUsed/>
    <w:rsid w:val="00E32B3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2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2197A-D8AC-4B17-82B2-EE85EAECD7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009100-FA1D-4B3E-A766-3F5A89490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BB8B8-7281-4125-9D08-F459F53451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601</Words>
  <Characters>3432</Characters>
  <Application>Microsoft Office Word</Application>
  <DocSecurity>0</DocSecurity>
  <Lines>28</Lines>
  <Paragraphs>8</Paragraphs>
  <ScaleCrop>false</ScaleCrop>
  <Company>Elanders</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Persson, Göran</dc:creator>
  <cp:keywords/>
  <dc:description/>
  <cp:lastModifiedBy>PLACIDO, Ana</cp:lastModifiedBy>
  <cp:revision>5</cp:revision>
  <dcterms:created xsi:type="dcterms:W3CDTF">2020-09-25T09:09:00Z</dcterms:created>
  <dcterms:modified xsi:type="dcterms:W3CDTF">2020-11-27T15:34:00Z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