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9292D" w14:textId="77777777" w:rsidR="00A2416E" w:rsidRDefault="00534832" w:rsidP="00581354">
      <w:pPr>
        <w:spacing w:before="92" w:line="220" w:lineRule="auto"/>
        <w:ind w:left="400" w:right="3390"/>
        <w:rPr>
          <w:b/>
          <w:sz w:val="36"/>
        </w:rPr>
      </w:pPr>
      <w:bookmarkStart w:id="0" w:name="Inledande_bestämmelser_och_definitioner"/>
      <w:bookmarkEnd w:id="0"/>
      <w:r>
        <w:rPr>
          <w:b/>
          <w:sz w:val="36"/>
        </w:rPr>
        <w:t>The Swedish Energy Agency’s Code of Statutes</w:t>
      </w:r>
    </w:p>
    <w:p w14:paraId="347D5EC4" w14:textId="77777777" w:rsidR="00A2416E" w:rsidRDefault="005C5D66" w:rsidP="00066A85">
      <w:pPr>
        <w:spacing w:before="148" w:line="262" w:lineRule="auto"/>
        <w:ind w:left="403" w:right="4139"/>
        <w:rPr>
          <w:sz w:val="16"/>
        </w:rPr>
      </w:pPr>
      <w:r>
        <w:pict w14:anchorId="18D320B1">
          <v:shape id="_x0000_s1028" style="position:absolute;left:0;text-align:left;margin-left:51pt;margin-top:29.9pt;width:380.35pt;height:.1pt;z-index:-251658240;mso-wrap-distance-left:0;mso-wrap-distance-right:0;mso-position-horizontal-relative:page" coordorigin="1020,598" coordsize="7607,0" path="m1020,598r7607,e" filled="f" strokeweight=".34994mm">
            <v:path arrowok="t"/>
            <w10:wrap type="topAndBottom" anchorx="page"/>
          </v:shape>
        </w:pict>
      </w:r>
      <w:r w:rsidR="00534832">
        <w:rPr>
          <w:sz w:val="16"/>
        </w:rPr>
        <w:t xml:space="preserve">Published by: </w:t>
      </w:r>
      <w:proofErr w:type="spellStart"/>
      <w:r w:rsidR="00534832">
        <w:rPr>
          <w:sz w:val="16"/>
        </w:rPr>
        <w:t>Rikard</w:t>
      </w:r>
      <w:proofErr w:type="spellEnd"/>
      <w:r w:rsidR="00534832">
        <w:rPr>
          <w:sz w:val="16"/>
        </w:rPr>
        <w:t xml:space="preserve"> Janson (Chief Legal Officer) ISSN 1650-7703</w:t>
      </w:r>
    </w:p>
    <w:p w14:paraId="48A9609E" w14:textId="77777777" w:rsidR="00A2416E" w:rsidRDefault="00A2416E">
      <w:pPr>
        <w:pStyle w:val="Brdtext"/>
        <w:spacing w:before="1"/>
        <w:rPr>
          <w:sz w:val="13"/>
        </w:rPr>
      </w:pPr>
    </w:p>
    <w:p w14:paraId="24EC6EF5" w14:textId="77777777" w:rsidR="00A2416E" w:rsidRDefault="00A2416E">
      <w:pPr>
        <w:rPr>
          <w:sz w:val="13"/>
        </w:rPr>
        <w:sectPr w:rsidR="00A2416E">
          <w:type w:val="continuous"/>
          <w:pgSz w:w="9360" w:h="13720"/>
          <w:pgMar w:top="900" w:right="580" w:bottom="280" w:left="620" w:header="720" w:footer="720" w:gutter="0"/>
          <w:cols w:space="720"/>
        </w:sectPr>
      </w:pPr>
    </w:p>
    <w:p w14:paraId="1D697384" w14:textId="77777777" w:rsidR="00A2416E" w:rsidRDefault="00534832">
      <w:pPr>
        <w:pStyle w:val="Rubrik1"/>
        <w:spacing w:before="103" w:line="225" w:lineRule="auto"/>
        <w:ind w:left="400"/>
      </w:pPr>
      <w:r>
        <w:t>Regulations amending the Swedish Energy Agency regulations (STEMFS 2017:3) on reporting and calculating in accordance with the Fuel Act;</w:t>
      </w:r>
    </w:p>
    <w:p w14:paraId="71813F81" w14:textId="77777777" w:rsidR="00A2416E" w:rsidRDefault="00534832">
      <w:pPr>
        <w:pStyle w:val="Brdtext"/>
        <w:spacing w:before="188"/>
        <w:ind w:left="400"/>
        <w:jc w:val="both"/>
      </w:pPr>
      <w:r>
        <w:t>adopted on 20 January 2021.</w:t>
      </w:r>
    </w:p>
    <w:p w14:paraId="066E2CAE" w14:textId="77777777" w:rsidR="00A2416E" w:rsidRDefault="00A2416E">
      <w:pPr>
        <w:pStyle w:val="Brdtext"/>
        <w:spacing w:before="6"/>
        <w:rPr>
          <w:sz w:val="17"/>
        </w:rPr>
      </w:pPr>
    </w:p>
    <w:p w14:paraId="4BB4C994" w14:textId="77777777" w:rsidR="00A2416E" w:rsidRDefault="00534832">
      <w:pPr>
        <w:pStyle w:val="Brdtext"/>
        <w:spacing w:line="273" w:lineRule="auto"/>
        <w:ind w:left="400"/>
        <w:jc w:val="both"/>
      </w:pPr>
      <w:r>
        <w:t>By virtue of § 13 of the Fuel Ordinance (2011:346), the Swedish Energy Agency lays down</w:t>
      </w:r>
      <w:r>
        <w:rPr>
          <w:sz w:val="11"/>
        </w:rPr>
        <w:t xml:space="preserve">1 </w:t>
      </w:r>
      <w:r>
        <w:t>that the Agency's regulations on reporting and calculating in accordance with the Fuel Act shall be amended and worded as follows:</w:t>
      </w:r>
    </w:p>
    <w:p w14:paraId="71A61FB5" w14:textId="77777777" w:rsidR="00A2416E" w:rsidRDefault="00534832">
      <w:pPr>
        <w:pStyle w:val="Brdtext"/>
        <w:spacing w:before="173" w:line="398" w:lineRule="auto"/>
        <w:ind w:left="400" w:right="1681"/>
        <w:jc w:val="both"/>
      </w:pPr>
      <w:r>
        <w:t>a new section – § 12a – shall be introduced and six sections – §§ 2, 4-7, 12, 13, and 16 – shall be amended and worded as follows.</w:t>
      </w:r>
    </w:p>
    <w:p w14:paraId="0D1B6701" w14:textId="77777777" w:rsidR="00A2416E" w:rsidRDefault="00A2416E">
      <w:pPr>
        <w:pStyle w:val="Brdtext"/>
        <w:spacing w:before="6"/>
        <w:rPr>
          <w:sz w:val="16"/>
        </w:rPr>
      </w:pPr>
    </w:p>
    <w:p w14:paraId="6F4B5BC4" w14:textId="77777777" w:rsidR="00A2416E" w:rsidRDefault="00534832">
      <w:pPr>
        <w:pStyle w:val="Rubrik2"/>
        <w:spacing w:before="0"/>
        <w:ind w:left="400"/>
        <w:jc w:val="both"/>
      </w:pPr>
      <w:r>
        <w:t>Preliminary provisions and definitions</w:t>
      </w:r>
    </w:p>
    <w:p w14:paraId="390C5634" w14:textId="77777777" w:rsidR="00A2416E" w:rsidRDefault="00534832">
      <w:pPr>
        <w:pStyle w:val="Brdtext"/>
        <w:spacing w:before="140" w:line="273" w:lineRule="auto"/>
        <w:ind w:left="400"/>
        <w:jc w:val="both"/>
      </w:pPr>
      <w:r>
        <w:rPr>
          <w:b/>
        </w:rPr>
        <w:t xml:space="preserve">§ 2 </w:t>
      </w:r>
      <w:r>
        <w:t>Terms and expressions in these regulations are used in the same way as they are used in the Fuel Act (2011:319) and the Fuel Ordinance (2011:346). The following terms are used in the way specified here:</w:t>
      </w:r>
    </w:p>
    <w:p w14:paraId="2953E73A" w14:textId="77777777" w:rsidR="00A2416E" w:rsidRDefault="00534832">
      <w:pPr>
        <w:spacing w:before="3" w:line="364" w:lineRule="exact"/>
        <w:ind w:left="400" w:right="-11"/>
        <w:rPr>
          <w:sz w:val="19"/>
        </w:rPr>
      </w:pPr>
      <w:r>
        <w:rPr>
          <w:i/>
          <w:sz w:val="19"/>
        </w:rPr>
        <w:t>bio-component</w:t>
      </w:r>
      <w:r>
        <w:rPr>
          <w:sz w:val="19"/>
        </w:rPr>
        <w:t xml:space="preserve">: fuel component produced from biomass; </w:t>
      </w:r>
      <w:r>
        <w:rPr>
          <w:i/>
          <w:sz w:val="19"/>
        </w:rPr>
        <w:t>fossil component</w:t>
      </w:r>
      <w:r>
        <w:rPr>
          <w:sz w:val="19"/>
        </w:rPr>
        <w:t xml:space="preserve">: fuel component of mineral-based origin; </w:t>
      </w:r>
      <w:r>
        <w:rPr>
          <w:i/>
          <w:sz w:val="19"/>
        </w:rPr>
        <w:t xml:space="preserve">fuel type: </w:t>
      </w:r>
      <w:r>
        <w:rPr>
          <w:sz w:val="19"/>
        </w:rPr>
        <w:t>a fuel that meets a certain classification in accordance with</w:t>
      </w:r>
    </w:p>
    <w:p w14:paraId="12DA69D9" w14:textId="77777777" w:rsidR="00A2416E" w:rsidRDefault="00534832">
      <w:pPr>
        <w:pStyle w:val="Brdtext"/>
        <w:spacing w:line="273" w:lineRule="auto"/>
        <w:ind w:left="400"/>
        <w:jc w:val="both"/>
      </w:pPr>
      <w:r>
        <w:t>§§ 3–15 of the Fuel Act (2011:319) or which meets certain national or international standards for fuels, any other fuels that do not meet classifications or standards, and electricity used as fuel;</w:t>
      </w:r>
    </w:p>
    <w:p w14:paraId="601B7223" w14:textId="77777777" w:rsidR="00A2416E" w:rsidRDefault="00534832">
      <w:pPr>
        <w:pStyle w:val="Brdtext"/>
        <w:spacing w:before="114" w:line="273" w:lineRule="auto"/>
        <w:ind w:left="400"/>
        <w:jc w:val="both"/>
      </w:pPr>
      <w:r>
        <w:rPr>
          <w:i/>
        </w:rPr>
        <w:t>product</w:t>
      </w:r>
      <w:r>
        <w:t>: marketed product of the respective fuel type. In cases where the supplier markets several different fuel products that meet the same specification or standard, the different products shall be reported separately under the respective product names;</w:t>
      </w:r>
    </w:p>
    <w:p w14:paraId="17F68D6C" w14:textId="77777777" w:rsidR="00A2416E" w:rsidRDefault="00534832">
      <w:pPr>
        <w:pStyle w:val="Brdtext"/>
        <w:spacing w:before="118" w:line="273" w:lineRule="auto"/>
        <w:ind w:left="400"/>
        <w:jc w:val="both"/>
      </w:pPr>
      <w:r>
        <w:rPr>
          <w:i/>
        </w:rPr>
        <w:t xml:space="preserve">upstream emission reduction: </w:t>
      </w:r>
      <w:r>
        <w:t>measure to reduce greenhouse gas emissions that takes place before a raw material is processed at a refinery or other facility for the production of a fossil fuel component.</w:t>
      </w:r>
    </w:p>
    <w:p w14:paraId="689C2081" w14:textId="77777777" w:rsidR="00A2416E" w:rsidRDefault="00534832">
      <w:pPr>
        <w:spacing w:before="107" w:line="225" w:lineRule="auto"/>
        <w:ind w:left="252" w:right="476"/>
        <w:rPr>
          <w:b/>
          <w:sz w:val="24"/>
        </w:rPr>
      </w:pPr>
      <w:r>
        <w:br w:type="column"/>
      </w:r>
      <w:r>
        <w:rPr>
          <w:b/>
          <w:sz w:val="24"/>
        </w:rPr>
        <w:t>STEMFS 2021:2</w:t>
      </w:r>
    </w:p>
    <w:p w14:paraId="4897DE83" w14:textId="77777777" w:rsidR="00A2416E" w:rsidRDefault="00534832">
      <w:pPr>
        <w:spacing w:before="60" w:line="256" w:lineRule="auto"/>
        <w:ind w:left="252" w:right="101"/>
        <w:rPr>
          <w:sz w:val="17"/>
        </w:rPr>
      </w:pPr>
      <w:r>
        <w:rPr>
          <w:sz w:val="17"/>
        </w:rPr>
        <w:t>Published on 2 February 2021</w:t>
      </w:r>
    </w:p>
    <w:p w14:paraId="054025C7" w14:textId="77777777" w:rsidR="00A2416E" w:rsidRDefault="00A2416E">
      <w:pPr>
        <w:spacing w:line="256" w:lineRule="auto"/>
        <w:rPr>
          <w:sz w:val="17"/>
        </w:rPr>
        <w:sectPr w:rsidR="00A2416E">
          <w:type w:val="continuous"/>
          <w:pgSz w:w="9360" w:h="13720"/>
          <w:pgMar w:top="900" w:right="580" w:bottom="280" w:left="620" w:header="720" w:footer="720" w:gutter="0"/>
          <w:cols w:num="2" w:space="720" w:equalWidth="0">
            <w:col w:w="6411" w:space="40"/>
            <w:col w:w="1709"/>
          </w:cols>
        </w:sectPr>
      </w:pPr>
    </w:p>
    <w:p w14:paraId="08F60323" w14:textId="77777777" w:rsidR="00A2416E" w:rsidRDefault="00A2416E">
      <w:pPr>
        <w:pStyle w:val="Brdtext"/>
        <w:rPr>
          <w:sz w:val="20"/>
        </w:rPr>
      </w:pPr>
    </w:p>
    <w:p w14:paraId="7F7FFE81" w14:textId="77777777" w:rsidR="00A2416E" w:rsidRDefault="00A2416E">
      <w:pPr>
        <w:pStyle w:val="Brdtext"/>
        <w:rPr>
          <w:sz w:val="20"/>
        </w:rPr>
      </w:pPr>
    </w:p>
    <w:p w14:paraId="6C53A6E7" w14:textId="77777777" w:rsidR="00A2416E" w:rsidRDefault="00A2416E">
      <w:pPr>
        <w:pStyle w:val="Brdtext"/>
        <w:spacing w:before="11"/>
        <w:rPr>
          <w:sz w:val="23"/>
        </w:rPr>
      </w:pPr>
    </w:p>
    <w:p w14:paraId="6036D87D" w14:textId="77777777" w:rsidR="00A2416E" w:rsidRDefault="005C5D66">
      <w:pPr>
        <w:pStyle w:val="Brdtext"/>
        <w:spacing w:line="20" w:lineRule="exact"/>
        <w:ind w:left="390"/>
        <w:rPr>
          <w:sz w:val="2"/>
        </w:rPr>
      </w:pPr>
      <w:r>
        <w:rPr>
          <w:sz w:val="2"/>
        </w:rPr>
      </w:r>
      <w:r>
        <w:rPr>
          <w:sz w:val="2"/>
        </w:rPr>
        <w:pict w14:anchorId="079D94F6">
          <v:group id="_x0000_s1026" style="width:1in;height:1pt;mso-position-horizontal-relative:char;mso-position-vertical-relative:line" coordsize="1440,20">
            <v:line id="_x0000_s1027" style="position:absolute" from="0,10" to="1440,10" strokeweight="1pt"/>
            <w10:anchorlock/>
          </v:group>
        </w:pict>
      </w:r>
    </w:p>
    <w:p w14:paraId="39956F95" w14:textId="77777777" w:rsidR="005C5D66" w:rsidRDefault="00534832" w:rsidP="005C5D66">
      <w:pPr>
        <w:spacing w:before="31"/>
        <w:ind w:left="403" w:right="1418"/>
        <w:jc w:val="both"/>
        <w:rPr>
          <w:sz w:val="17"/>
        </w:rPr>
      </w:pPr>
      <w:r>
        <w:rPr>
          <w:sz w:val="10"/>
        </w:rPr>
        <w:t xml:space="preserve">1 </w:t>
      </w:r>
      <w:r>
        <w:rPr>
          <w:sz w:val="17"/>
        </w:rPr>
        <w:t>See Directive (EU) 2015/1535 of the European Parliament and of the Council of 9 September 2015 laying down</w:t>
      </w:r>
      <w:r w:rsidR="00581354">
        <w:rPr>
          <w:sz w:val="17"/>
        </w:rPr>
        <w:t xml:space="preserve"> </w:t>
      </w:r>
      <w:r>
        <w:rPr>
          <w:sz w:val="17"/>
        </w:rPr>
        <w:t>a procedure for the provision of information in the field of technical regulations and of rules</w:t>
      </w:r>
      <w:r w:rsidR="00581354">
        <w:rPr>
          <w:sz w:val="17"/>
        </w:rPr>
        <w:t xml:space="preserve"> </w:t>
      </w:r>
      <w:r>
        <w:rPr>
          <w:sz w:val="17"/>
        </w:rPr>
        <w:t>on Information Society services.</w:t>
      </w:r>
      <w:r>
        <w:rPr>
          <w:sz w:val="17"/>
        </w:rPr>
        <w:tab/>
      </w:r>
    </w:p>
    <w:p w14:paraId="3F7164F9" w14:textId="543CFE87" w:rsidR="00A2416E" w:rsidRDefault="005C5D66" w:rsidP="00581354">
      <w:pPr>
        <w:spacing w:before="31"/>
        <w:ind w:left="400"/>
        <w:rPr>
          <w:rFonts w:ascii="HelveticaNeueLT Std Cn" w:hAnsi="HelveticaNeueLT Std Cn"/>
          <w:sz w:val="20"/>
        </w:rPr>
      </w:pPr>
      <w:r>
        <w:rPr>
          <w:sz w:val="17"/>
        </w:rPr>
        <w:t xml:space="preserve">                                                                                                                                                                                 </w:t>
      </w:r>
      <w:r w:rsidR="00534832">
        <w:rPr>
          <w:rFonts w:ascii="HelveticaNeueLT Std Cn" w:hAnsi="HelveticaNeueLT Std Cn"/>
          <w:sz w:val="20"/>
        </w:rPr>
        <w:t>1</w:t>
      </w:r>
    </w:p>
    <w:p w14:paraId="7C3B7287" w14:textId="77777777" w:rsidR="00A2416E" w:rsidRDefault="00A2416E">
      <w:pPr>
        <w:spacing w:line="222" w:lineRule="exact"/>
        <w:rPr>
          <w:rFonts w:ascii="HelveticaNeueLT Std Cn" w:hAnsi="HelveticaNeueLT Std Cn"/>
          <w:sz w:val="20"/>
        </w:rPr>
        <w:sectPr w:rsidR="00A2416E">
          <w:type w:val="continuous"/>
          <w:pgSz w:w="9360" w:h="13720"/>
          <w:pgMar w:top="900" w:right="580" w:bottom="280" w:left="620" w:header="720" w:footer="720" w:gutter="0"/>
          <w:cols w:space="720"/>
        </w:sectPr>
      </w:pPr>
    </w:p>
    <w:p w14:paraId="0FA5AF97" w14:textId="77777777" w:rsidR="00A2416E" w:rsidRDefault="00534832">
      <w:pPr>
        <w:pStyle w:val="Rubrik2"/>
        <w:spacing w:line="228" w:lineRule="auto"/>
        <w:ind w:right="19"/>
      </w:pPr>
      <w:bookmarkStart w:id="1" w:name="Rapportering"/>
      <w:bookmarkEnd w:id="1"/>
      <w:r>
        <w:lastRenderedPageBreak/>
        <w:t>STEMFS 2021:2</w:t>
      </w:r>
    </w:p>
    <w:p w14:paraId="624DE1C9" w14:textId="77777777" w:rsidR="00A2416E" w:rsidRDefault="00534832">
      <w:pPr>
        <w:spacing w:before="63"/>
        <w:ind w:left="117"/>
        <w:rPr>
          <w:b/>
          <w:sz w:val="21"/>
        </w:rPr>
      </w:pPr>
      <w:r>
        <w:br w:type="column"/>
      </w:r>
      <w:r>
        <w:rPr>
          <w:b/>
          <w:sz w:val="21"/>
        </w:rPr>
        <w:t>Reporting</w:t>
      </w:r>
    </w:p>
    <w:p w14:paraId="60DBC31F" w14:textId="77777777" w:rsidR="00A2416E" w:rsidRDefault="00534832">
      <w:pPr>
        <w:pStyle w:val="Liststycke"/>
        <w:numPr>
          <w:ilvl w:val="0"/>
          <w:numId w:val="5"/>
        </w:numPr>
        <w:tabs>
          <w:tab w:val="left" w:pos="308"/>
        </w:tabs>
        <w:spacing w:before="141" w:line="273" w:lineRule="auto"/>
        <w:ind w:right="438" w:firstLine="0"/>
        <w:jc w:val="both"/>
        <w:rPr>
          <w:sz w:val="19"/>
        </w:rPr>
      </w:pPr>
      <w:r>
        <w:rPr>
          <w:b/>
          <w:sz w:val="19"/>
        </w:rPr>
        <w:t xml:space="preserve">§ </w:t>
      </w:r>
      <w:r>
        <w:rPr>
          <w:sz w:val="19"/>
        </w:rPr>
        <w:t>The emissions report shall include all fuel products that the fuel supplier has delivered and for which tax has become chargeable under Chapter 5 of the Energy Tax Act (1994:1776) during the year to which the report relates, stating</w:t>
      </w:r>
    </w:p>
    <w:p w14:paraId="69D953B3" w14:textId="77777777" w:rsidR="00A2416E" w:rsidRDefault="00534832">
      <w:pPr>
        <w:pStyle w:val="Liststycke"/>
        <w:numPr>
          <w:ilvl w:val="0"/>
          <w:numId w:val="4"/>
        </w:numPr>
        <w:tabs>
          <w:tab w:val="left" w:pos="316"/>
        </w:tabs>
        <w:spacing w:before="69"/>
        <w:rPr>
          <w:sz w:val="19"/>
        </w:rPr>
      </w:pPr>
      <w:r>
        <w:rPr>
          <w:sz w:val="19"/>
        </w:rPr>
        <w:t>amount;</w:t>
      </w:r>
    </w:p>
    <w:p w14:paraId="516CF941" w14:textId="77777777" w:rsidR="00A2416E" w:rsidRDefault="00534832">
      <w:pPr>
        <w:pStyle w:val="Liststycke"/>
        <w:numPr>
          <w:ilvl w:val="0"/>
          <w:numId w:val="4"/>
        </w:numPr>
        <w:tabs>
          <w:tab w:val="left" w:pos="316"/>
        </w:tabs>
        <w:rPr>
          <w:sz w:val="19"/>
        </w:rPr>
      </w:pPr>
      <w:r>
        <w:rPr>
          <w:sz w:val="19"/>
        </w:rPr>
        <w:t>net calorific value</w:t>
      </w:r>
    </w:p>
    <w:p w14:paraId="5CA31CC9" w14:textId="77777777" w:rsidR="00A2416E" w:rsidRDefault="00534832">
      <w:pPr>
        <w:pStyle w:val="Liststycke"/>
        <w:numPr>
          <w:ilvl w:val="0"/>
          <w:numId w:val="4"/>
        </w:numPr>
        <w:tabs>
          <w:tab w:val="left" w:pos="316"/>
        </w:tabs>
        <w:rPr>
          <w:sz w:val="19"/>
        </w:rPr>
      </w:pPr>
      <w:r>
        <w:rPr>
          <w:sz w:val="19"/>
        </w:rPr>
        <w:t>the energy source of delivered electricity in cases where the electricity has an origin marking.</w:t>
      </w:r>
    </w:p>
    <w:p w14:paraId="7894339E" w14:textId="77777777" w:rsidR="00A2416E" w:rsidRDefault="00A2416E">
      <w:pPr>
        <w:pStyle w:val="Brdtext"/>
        <w:spacing w:before="5"/>
        <w:rPr>
          <w:sz w:val="22"/>
        </w:rPr>
      </w:pPr>
    </w:p>
    <w:p w14:paraId="688D241D" w14:textId="77777777" w:rsidR="00A2416E" w:rsidRDefault="00534832">
      <w:pPr>
        <w:pStyle w:val="Liststycke"/>
        <w:numPr>
          <w:ilvl w:val="0"/>
          <w:numId w:val="5"/>
        </w:numPr>
        <w:tabs>
          <w:tab w:val="left" w:pos="277"/>
        </w:tabs>
        <w:spacing w:before="0" w:line="273" w:lineRule="auto"/>
        <w:ind w:right="438" w:firstLine="0"/>
        <w:rPr>
          <w:sz w:val="19"/>
        </w:rPr>
      </w:pPr>
      <w:r>
        <w:rPr>
          <w:b/>
          <w:sz w:val="19"/>
        </w:rPr>
        <w:t xml:space="preserve">§ </w:t>
      </w:r>
      <w:r>
        <w:rPr>
          <w:sz w:val="19"/>
        </w:rPr>
        <w:t>The emissions report shall include all fossil components that are included in delivered fuel products in accordance with § 4, stating:</w:t>
      </w:r>
    </w:p>
    <w:p w14:paraId="09AF6626" w14:textId="77777777" w:rsidR="00A2416E" w:rsidRDefault="00534832">
      <w:pPr>
        <w:pStyle w:val="Liststycke"/>
        <w:numPr>
          <w:ilvl w:val="0"/>
          <w:numId w:val="3"/>
        </w:numPr>
        <w:tabs>
          <w:tab w:val="left" w:pos="316"/>
        </w:tabs>
        <w:spacing w:before="96"/>
        <w:rPr>
          <w:sz w:val="19"/>
        </w:rPr>
      </w:pPr>
      <w:r>
        <w:rPr>
          <w:sz w:val="19"/>
        </w:rPr>
        <w:t>the products in which the components are included;</w:t>
      </w:r>
    </w:p>
    <w:p w14:paraId="28EE6BB7" w14:textId="77777777" w:rsidR="00A2416E" w:rsidRDefault="00534832">
      <w:pPr>
        <w:pStyle w:val="Liststycke"/>
        <w:numPr>
          <w:ilvl w:val="0"/>
          <w:numId w:val="3"/>
        </w:numPr>
        <w:tabs>
          <w:tab w:val="left" w:pos="316"/>
        </w:tabs>
        <w:rPr>
          <w:sz w:val="19"/>
        </w:rPr>
      </w:pPr>
      <w:r>
        <w:rPr>
          <w:sz w:val="19"/>
        </w:rPr>
        <w:t>types of fossil components broken down by raw material source and process in accordance with Annex 1;</w:t>
      </w:r>
    </w:p>
    <w:p w14:paraId="5DA70FE3" w14:textId="77777777" w:rsidR="00A2416E" w:rsidRDefault="00534832">
      <w:pPr>
        <w:pStyle w:val="Liststycke"/>
        <w:numPr>
          <w:ilvl w:val="0"/>
          <w:numId w:val="3"/>
        </w:numPr>
        <w:tabs>
          <w:tab w:val="left" w:pos="316"/>
        </w:tabs>
        <w:rPr>
          <w:sz w:val="19"/>
        </w:rPr>
      </w:pPr>
      <w:r>
        <w:rPr>
          <w:sz w:val="19"/>
        </w:rPr>
        <w:t>amount;</w:t>
      </w:r>
    </w:p>
    <w:p w14:paraId="6D197172" w14:textId="77777777" w:rsidR="00A2416E" w:rsidRDefault="00534832">
      <w:pPr>
        <w:pStyle w:val="Liststycke"/>
        <w:numPr>
          <w:ilvl w:val="0"/>
          <w:numId w:val="3"/>
        </w:numPr>
        <w:tabs>
          <w:tab w:val="left" w:pos="316"/>
        </w:tabs>
        <w:rPr>
          <w:sz w:val="19"/>
        </w:rPr>
      </w:pPr>
      <w:r>
        <w:rPr>
          <w:sz w:val="19"/>
        </w:rPr>
        <w:t>net calorific value; and</w:t>
      </w:r>
    </w:p>
    <w:p w14:paraId="04221788" w14:textId="77777777" w:rsidR="00A2416E" w:rsidRDefault="00534832">
      <w:pPr>
        <w:pStyle w:val="Liststycke"/>
        <w:numPr>
          <w:ilvl w:val="0"/>
          <w:numId w:val="3"/>
        </w:numPr>
        <w:tabs>
          <w:tab w:val="left" w:pos="316"/>
        </w:tabs>
        <w:spacing w:before="69"/>
        <w:rPr>
          <w:sz w:val="19"/>
        </w:rPr>
      </w:pPr>
      <w:r>
        <w:rPr>
          <w:sz w:val="19"/>
        </w:rPr>
        <w:t>country of origin of the raw material.</w:t>
      </w:r>
    </w:p>
    <w:p w14:paraId="2AED6C49" w14:textId="77777777" w:rsidR="00A2416E" w:rsidRDefault="00A2416E">
      <w:pPr>
        <w:pStyle w:val="Brdtext"/>
        <w:spacing w:before="5"/>
        <w:rPr>
          <w:sz w:val="22"/>
        </w:rPr>
      </w:pPr>
    </w:p>
    <w:p w14:paraId="716008FA" w14:textId="77777777" w:rsidR="00A2416E" w:rsidRDefault="00534832">
      <w:pPr>
        <w:pStyle w:val="Liststycke"/>
        <w:numPr>
          <w:ilvl w:val="0"/>
          <w:numId w:val="5"/>
        </w:numPr>
        <w:tabs>
          <w:tab w:val="left" w:pos="265"/>
        </w:tabs>
        <w:spacing w:before="0" w:line="273" w:lineRule="auto"/>
        <w:ind w:right="438" w:firstLine="0"/>
        <w:rPr>
          <w:sz w:val="19"/>
        </w:rPr>
      </w:pPr>
      <w:r>
        <w:rPr>
          <w:b/>
          <w:sz w:val="19"/>
        </w:rPr>
        <w:t xml:space="preserve">§ </w:t>
      </w:r>
      <w:r>
        <w:rPr>
          <w:sz w:val="19"/>
        </w:rPr>
        <w:t>The emissions report shall include all bio-components that are included in delivered fuel products in accordance with § 4, stating:</w:t>
      </w:r>
    </w:p>
    <w:p w14:paraId="0C456492" w14:textId="77777777" w:rsidR="00A2416E" w:rsidRDefault="00534832">
      <w:pPr>
        <w:pStyle w:val="Liststycke"/>
        <w:numPr>
          <w:ilvl w:val="0"/>
          <w:numId w:val="2"/>
        </w:numPr>
        <w:tabs>
          <w:tab w:val="left" w:pos="316"/>
        </w:tabs>
        <w:spacing w:before="67"/>
        <w:rPr>
          <w:sz w:val="19"/>
        </w:rPr>
      </w:pPr>
      <w:r>
        <w:rPr>
          <w:sz w:val="19"/>
        </w:rPr>
        <w:t>the products in which the bio-components are included;</w:t>
      </w:r>
    </w:p>
    <w:p w14:paraId="5D2FF15B" w14:textId="77777777" w:rsidR="00A2416E" w:rsidRDefault="00534832">
      <w:pPr>
        <w:pStyle w:val="Liststycke"/>
        <w:numPr>
          <w:ilvl w:val="0"/>
          <w:numId w:val="2"/>
        </w:numPr>
        <w:tabs>
          <w:tab w:val="left" w:pos="316"/>
        </w:tabs>
        <w:rPr>
          <w:sz w:val="19"/>
        </w:rPr>
      </w:pPr>
      <w:r>
        <w:rPr>
          <w:sz w:val="19"/>
        </w:rPr>
        <w:t>type of bio-component;</w:t>
      </w:r>
    </w:p>
    <w:p w14:paraId="134B125E" w14:textId="77777777" w:rsidR="00A2416E" w:rsidRDefault="00534832">
      <w:pPr>
        <w:pStyle w:val="Liststycke"/>
        <w:numPr>
          <w:ilvl w:val="0"/>
          <w:numId w:val="2"/>
        </w:numPr>
        <w:tabs>
          <w:tab w:val="left" w:pos="316"/>
        </w:tabs>
        <w:rPr>
          <w:sz w:val="19"/>
        </w:rPr>
      </w:pPr>
      <w:r>
        <w:rPr>
          <w:sz w:val="19"/>
        </w:rPr>
        <w:t>amount;</w:t>
      </w:r>
    </w:p>
    <w:p w14:paraId="420C5F9D" w14:textId="77777777" w:rsidR="00A2416E" w:rsidRDefault="00534832">
      <w:pPr>
        <w:pStyle w:val="Liststycke"/>
        <w:numPr>
          <w:ilvl w:val="0"/>
          <w:numId w:val="2"/>
        </w:numPr>
        <w:tabs>
          <w:tab w:val="left" w:pos="316"/>
        </w:tabs>
        <w:rPr>
          <w:sz w:val="19"/>
        </w:rPr>
      </w:pPr>
      <w:r>
        <w:rPr>
          <w:sz w:val="19"/>
        </w:rPr>
        <w:t>net calorific value</w:t>
      </w:r>
    </w:p>
    <w:p w14:paraId="6FBCDE1A" w14:textId="77777777" w:rsidR="00A2416E" w:rsidRDefault="00534832">
      <w:pPr>
        <w:pStyle w:val="Liststycke"/>
        <w:numPr>
          <w:ilvl w:val="0"/>
          <w:numId w:val="2"/>
        </w:numPr>
        <w:tabs>
          <w:tab w:val="left" w:pos="316"/>
        </w:tabs>
        <w:spacing w:before="69"/>
        <w:rPr>
          <w:sz w:val="19"/>
        </w:rPr>
      </w:pPr>
      <w:r>
        <w:rPr>
          <w:sz w:val="19"/>
        </w:rPr>
        <w:t>raw materials;</w:t>
      </w:r>
    </w:p>
    <w:p w14:paraId="3BA18401" w14:textId="77777777" w:rsidR="00A2416E" w:rsidRDefault="00534832">
      <w:pPr>
        <w:pStyle w:val="Liststycke"/>
        <w:numPr>
          <w:ilvl w:val="0"/>
          <w:numId w:val="2"/>
        </w:numPr>
        <w:tabs>
          <w:tab w:val="left" w:pos="316"/>
        </w:tabs>
        <w:rPr>
          <w:sz w:val="19"/>
        </w:rPr>
      </w:pPr>
      <w:r>
        <w:rPr>
          <w:sz w:val="19"/>
        </w:rPr>
        <w:t>country of origin of the raw material;</w:t>
      </w:r>
    </w:p>
    <w:p w14:paraId="3E51FE3E" w14:textId="77777777" w:rsidR="00A2416E" w:rsidRDefault="00534832">
      <w:pPr>
        <w:pStyle w:val="Liststycke"/>
        <w:numPr>
          <w:ilvl w:val="0"/>
          <w:numId w:val="2"/>
        </w:numPr>
        <w:tabs>
          <w:tab w:val="left" w:pos="316"/>
        </w:tabs>
        <w:spacing w:line="252" w:lineRule="auto"/>
        <w:ind w:right="438"/>
        <w:jc w:val="both"/>
        <w:rPr>
          <w:sz w:val="19"/>
        </w:rPr>
      </w:pPr>
      <w:r>
        <w:rPr>
          <w:sz w:val="19"/>
        </w:rPr>
        <w:t>whether the bio-components meet the sustainability criteria set out in the Act (2010:598) on sustainability criteria for biofuels and bioliquids; and</w:t>
      </w:r>
    </w:p>
    <w:p w14:paraId="6A936F3B" w14:textId="77777777" w:rsidR="00A2416E" w:rsidRDefault="00534832">
      <w:pPr>
        <w:pStyle w:val="Liststycke"/>
        <w:numPr>
          <w:ilvl w:val="0"/>
          <w:numId w:val="2"/>
        </w:numPr>
        <w:tabs>
          <w:tab w:val="left" w:pos="316"/>
        </w:tabs>
        <w:spacing w:before="58"/>
        <w:jc w:val="both"/>
        <w:rPr>
          <w:sz w:val="19"/>
        </w:rPr>
      </w:pPr>
      <w:r>
        <w:rPr>
          <w:sz w:val="19"/>
        </w:rPr>
        <w:t>whether the bio-components have been used in aviation fuel.</w:t>
      </w:r>
    </w:p>
    <w:p w14:paraId="351F1B0D" w14:textId="77777777" w:rsidR="00A2416E" w:rsidRDefault="00A2416E">
      <w:pPr>
        <w:pStyle w:val="Brdtext"/>
        <w:spacing w:before="6"/>
        <w:rPr>
          <w:sz w:val="22"/>
        </w:rPr>
      </w:pPr>
    </w:p>
    <w:p w14:paraId="055D9BCA" w14:textId="77777777" w:rsidR="00A2416E" w:rsidRDefault="00534832">
      <w:pPr>
        <w:pStyle w:val="Liststycke"/>
        <w:numPr>
          <w:ilvl w:val="0"/>
          <w:numId w:val="5"/>
        </w:numPr>
        <w:tabs>
          <w:tab w:val="left" w:pos="269"/>
        </w:tabs>
        <w:spacing w:before="0" w:line="273" w:lineRule="auto"/>
        <w:ind w:right="438" w:firstLine="0"/>
        <w:jc w:val="both"/>
        <w:rPr>
          <w:sz w:val="19"/>
        </w:rPr>
      </w:pPr>
      <w:r>
        <w:rPr>
          <w:b/>
          <w:sz w:val="19"/>
        </w:rPr>
        <w:t xml:space="preserve">§ </w:t>
      </w:r>
      <w:r>
        <w:rPr>
          <w:sz w:val="19"/>
        </w:rPr>
        <w:t>If the country of origin is outside the European Union or the EEA, but there is no information on which country is the country of origin, the emissions report may state that there is no information on the country of origin.</w:t>
      </w:r>
    </w:p>
    <w:p w14:paraId="732E5498" w14:textId="77777777" w:rsidR="00A2416E" w:rsidRDefault="00A2416E">
      <w:pPr>
        <w:spacing w:line="273" w:lineRule="auto"/>
        <w:jc w:val="both"/>
        <w:rPr>
          <w:sz w:val="19"/>
        </w:rPr>
        <w:sectPr w:rsidR="00A2416E">
          <w:pgSz w:w="9360" w:h="13720"/>
          <w:pgMar w:top="940" w:right="580" w:bottom="280" w:left="620" w:header="720" w:footer="720" w:gutter="0"/>
          <w:cols w:num="2" w:space="720" w:equalWidth="0">
            <w:col w:w="997" w:space="703"/>
            <w:col w:w="6460"/>
          </w:cols>
        </w:sectPr>
      </w:pPr>
    </w:p>
    <w:p w14:paraId="53703E9C" w14:textId="77777777" w:rsidR="00A2416E" w:rsidRDefault="00A2416E">
      <w:pPr>
        <w:pStyle w:val="Brdtext"/>
        <w:rPr>
          <w:sz w:val="20"/>
        </w:rPr>
      </w:pPr>
    </w:p>
    <w:p w14:paraId="141EB606" w14:textId="77777777" w:rsidR="00A2416E" w:rsidRDefault="00A2416E">
      <w:pPr>
        <w:pStyle w:val="Brdtext"/>
        <w:rPr>
          <w:sz w:val="20"/>
        </w:rPr>
      </w:pPr>
    </w:p>
    <w:p w14:paraId="7939C55D" w14:textId="77777777" w:rsidR="00A2416E" w:rsidRDefault="00A2416E">
      <w:pPr>
        <w:pStyle w:val="Brdtext"/>
        <w:rPr>
          <w:sz w:val="20"/>
        </w:rPr>
      </w:pPr>
    </w:p>
    <w:p w14:paraId="3855820A" w14:textId="77777777" w:rsidR="00A2416E" w:rsidRDefault="00A2416E">
      <w:pPr>
        <w:pStyle w:val="Brdtext"/>
        <w:rPr>
          <w:sz w:val="20"/>
        </w:rPr>
      </w:pPr>
    </w:p>
    <w:p w14:paraId="436A79D9" w14:textId="77777777" w:rsidR="00A2416E" w:rsidRDefault="00A2416E">
      <w:pPr>
        <w:pStyle w:val="Brdtext"/>
        <w:rPr>
          <w:sz w:val="20"/>
        </w:rPr>
      </w:pPr>
    </w:p>
    <w:p w14:paraId="66D146DB" w14:textId="77777777" w:rsidR="00A2416E" w:rsidRDefault="00A2416E">
      <w:pPr>
        <w:pStyle w:val="Brdtext"/>
        <w:rPr>
          <w:sz w:val="20"/>
        </w:rPr>
      </w:pPr>
    </w:p>
    <w:p w14:paraId="05983546" w14:textId="77777777" w:rsidR="00A2416E" w:rsidRDefault="00A2416E">
      <w:pPr>
        <w:pStyle w:val="Brdtext"/>
        <w:rPr>
          <w:sz w:val="20"/>
        </w:rPr>
      </w:pPr>
    </w:p>
    <w:p w14:paraId="3B407F9E" w14:textId="77777777" w:rsidR="00A2416E" w:rsidRDefault="00A2416E">
      <w:pPr>
        <w:pStyle w:val="Brdtext"/>
        <w:spacing w:before="8"/>
        <w:rPr>
          <w:sz w:val="26"/>
        </w:rPr>
      </w:pPr>
    </w:p>
    <w:p w14:paraId="346CAB4A" w14:textId="77777777" w:rsidR="00A2416E" w:rsidRDefault="00534832">
      <w:pPr>
        <w:pStyle w:val="Rubrik3"/>
        <w:spacing w:before="111"/>
      </w:pPr>
      <w:r>
        <w:t>2</w:t>
      </w:r>
    </w:p>
    <w:p w14:paraId="47F3F605" w14:textId="77777777" w:rsidR="00A2416E" w:rsidRDefault="00A2416E">
      <w:pPr>
        <w:sectPr w:rsidR="00A2416E">
          <w:type w:val="continuous"/>
          <w:pgSz w:w="9360" w:h="13720"/>
          <w:pgMar w:top="900" w:right="580" w:bottom="280" w:left="620" w:header="720" w:footer="720" w:gutter="0"/>
          <w:cols w:space="720"/>
        </w:sectPr>
      </w:pPr>
    </w:p>
    <w:p w14:paraId="75320A3C" w14:textId="77777777" w:rsidR="00A2416E" w:rsidRDefault="00534832">
      <w:pPr>
        <w:spacing w:before="63"/>
        <w:ind w:left="400"/>
        <w:jc w:val="both"/>
        <w:rPr>
          <w:b/>
          <w:sz w:val="21"/>
        </w:rPr>
      </w:pPr>
      <w:bookmarkStart w:id="2" w:name="Beräkning_av_växthusgasintensitet"/>
      <w:bookmarkEnd w:id="2"/>
      <w:r>
        <w:rPr>
          <w:b/>
          <w:sz w:val="21"/>
        </w:rPr>
        <w:lastRenderedPageBreak/>
        <w:t>Calculation of greenhouse gas intensity</w:t>
      </w:r>
    </w:p>
    <w:p w14:paraId="1BBF99A2" w14:textId="77777777" w:rsidR="00A2416E" w:rsidRDefault="00534832">
      <w:pPr>
        <w:pStyle w:val="Brdtext"/>
        <w:spacing w:before="141" w:line="273" w:lineRule="auto"/>
        <w:ind w:left="400" w:right="238"/>
        <w:jc w:val="both"/>
      </w:pPr>
      <w:r>
        <w:rPr>
          <w:b/>
        </w:rPr>
        <w:t xml:space="preserve">12 § </w:t>
      </w:r>
      <w:r>
        <w:t>In calculating a fuel supplier's reduction of greenhouse gas emissions for the purpose stated in § 21 of the Fuel Act (2011:319), the greenhouse gas intensity calculation shall be done with the following formula:</w:t>
      </w:r>
    </w:p>
    <w:p w14:paraId="20759CD1" w14:textId="77777777" w:rsidR="00A2416E" w:rsidRDefault="00534832" w:rsidP="005C5D66">
      <w:pPr>
        <w:pStyle w:val="Brdtext"/>
        <w:spacing w:before="86" w:line="213" w:lineRule="exact"/>
        <w:ind w:left="2364" w:right="1361"/>
        <w:jc w:val="center"/>
      </w:pPr>
      <w:r>
        <w:rPr>
          <w:color w:val="010102"/>
        </w:rPr>
        <w:t xml:space="preserve">∑ </w:t>
      </w:r>
      <w:r>
        <w:rPr>
          <w:color w:val="010102"/>
          <w:vertAlign w:val="subscript"/>
        </w:rPr>
        <w:t>x</w:t>
      </w:r>
      <w:r>
        <w:rPr>
          <w:color w:val="010102"/>
        </w:rPr>
        <w:t xml:space="preserve"> (</w:t>
      </w:r>
      <w:proofErr w:type="spellStart"/>
      <w:r>
        <w:rPr>
          <w:color w:val="010102"/>
        </w:rPr>
        <w:t>GHGi</w:t>
      </w:r>
      <w:r>
        <w:rPr>
          <w:color w:val="010102"/>
          <w:vertAlign w:val="subscript"/>
        </w:rPr>
        <w:t>x</w:t>
      </w:r>
      <w:r>
        <w:rPr>
          <w:color w:val="010102"/>
        </w:rPr>
        <w:t>×AF×MJ</w:t>
      </w:r>
      <w:r>
        <w:rPr>
          <w:color w:val="010102"/>
          <w:vertAlign w:val="subscript"/>
        </w:rPr>
        <w:t>x</w:t>
      </w:r>
      <w:proofErr w:type="spellEnd"/>
      <w:r>
        <w:rPr>
          <w:color w:val="010102"/>
        </w:rPr>
        <w:t>) – UER</w:t>
      </w:r>
    </w:p>
    <w:p w14:paraId="5B0DC3E8" w14:textId="77777777" w:rsidR="00A2416E" w:rsidRDefault="00534832">
      <w:pPr>
        <w:pStyle w:val="Brdtext"/>
        <w:spacing w:line="191" w:lineRule="exact"/>
        <w:ind w:left="400"/>
        <w:jc w:val="both"/>
      </w:pPr>
      <w:r>
        <w:rPr>
          <w:color w:val="010102"/>
        </w:rPr>
        <w:t>Greenhouse gas intensity</w:t>
      </w:r>
      <w:r>
        <w:rPr>
          <w:color w:val="010102"/>
          <w:vertAlign w:val="subscript"/>
        </w:rPr>
        <w:t>#</w:t>
      </w:r>
      <w:r>
        <w:rPr>
          <w:color w:val="010102"/>
        </w:rPr>
        <w:t xml:space="preserve">  =  ––––––––––––––––––––––––</w:t>
      </w:r>
    </w:p>
    <w:p w14:paraId="3A218E26" w14:textId="77777777" w:rsidR="00A2416E" w:rsidRDefault="00534832">
      <w:pPr>
        <w:pStyle w:val="Brdtext"/>
        <w:spacing w:line="217" w:lineRule="exact"/>
        <w:ind w:left="2118" w:right="1884"/>
        <w:jc w:val="center"/>
      </w:pPr>
      <w:r>
        <w:rPr>
          <w:color w:val="010102"/>
        </w:rPr>
        <w:t xml:space="preserve">∑ </w:t>
      </w:r>
      <w:r>
        <w:rPr>
          <w:color w:val="010102"/>
          <w:vertAlign w:val="subscript"/>
        </w:rPr>
        <w:t>x</w:t>
      </w:r>
      <w:r>
        <w:rPr>
          <w:color w:val="010102"/>
        </w:rPr>
        <w:t xml:space="preserve"> </w:t>
      </w:r>
      <w:proofErr w:type="spellStart"/>
      <w:r>
        <w:rPr>
          <w:color w:val="010102"/>
        </w:rPr>
        <w:t>MJ</w:t>
      </w:r>
      <w:r>
        <w:rPr>
          <w:color w:val="010102"/>
          <w:vertAlign w:val="subscript"/>
        </w:rPr>
        <w:t>x</w:t>
      </w:r>
      <w:proofErr w:type="spellEnd"/>
    </w:p>
    <w:p w14:paraId="34570CBD" w14:textId="77777777" w:rsidR="00A2416E" w:rsidRDefault="00A2416E">
      <w:pPr>
        <w:pStyle w:val="Brdtext"/>
        <w:spacing w:before="4"/>
        <w:rPr>
          <w:sz w:val="15"/>
        </w:rPr>
      </w:pPr>
    </w:p>
    <w:tbl>
      <w:tblPr>
        <w:tblStyle w:val="TableNormal1"/>
        <w:tblW w:w="0" w:type="auto"/>
        <w:tblInd w:w="207" w:type="dxa"/>
        <w:tblLayout w:type="fixed"/>
        <w:tblLook w:val="01E0" w:firstRow="1" w:lastRow="1" w:firstColumn="1" w:lastColumn="1" w:noHBand="0" w:noVBand="0"/>
      </w:tblPr>
      <w:tblGrid>
        <w:gridCol w:w="800"/>
        <w:gridCol w:w="5497"/>
      </w:tblGrid>
      <w:tr w:rsidR="00A2416E" w14:paraId="4CFD6340" w14:textId="77777777">
        <w:trPr>
          <w:trHeight w:val="251"/>
        </w:trPr>
        <w:tc>
          <w:tcPr>
            <w:tcW w:w="800" w:type="dxa"/>
          </w:tcPr>
          <w:p w14:paraId="0A908CB3" w14:textId="77777777" w:rsidR="00A2416E" w:rsidRDefault="00534832">
            <w:pPr>
              <w:pStyle w:val="TableParagraph"/>
              <w:spacing w:before="0" w:line="210" w:lineRule="exact"/>
              <w:ind w:left="200"/>
              <w:rPr>
                <w:sz w:val="19"/>
              </w:rPr>
            </w:pPr>
            <w:r>
              <w:rPr>
                <w:sz w:val="19"/>
              </w:rPr>
              <w:t>#</w:t>
            </w:r>
          </w:p>
        </w:tc>
        <w:tc>
          <w:tcPr>
            <w:tcW w:w="5497" w:type="dxa"/>
          </w:tcPr>
          <w:p w14:paraId="667260ED" w14:textId="77777777" w:rsidR="00A2416E" w:rsidRDefault="00534832">
            <w:pPr>
              <w:pStyle w:val="TableParagraph"/>
              <w:spacing w:before="0" w:line="210" w:lineRule="exact"/>
              <w:ind w:left="85"/>
              <w:rPr>
                <w:sz w:val="19"/>
              </w:rPr>
            </w:pPr>
            <w:r>
              <w:rPr>
                <w:sz w:val="19"/>
              </w:rPr>
              <w:t>supplier’s identification</w:t>
            </w:r>
          </w:p>
        </w:tc>
      </w:tr>
      <w:tr w:rsidR="00A2416E" w14:paraId="66C6F643" w14:textId="77777777">
        <w:trPr>
          <w:trHeight w:val="291"/>
        </w:trPr>
        <w:tc>
          <w:tcPr>
            <w:tcW w:w="800" w:type="dxa"/>
          </w:tcPr>
          <w:p w14:paraId="2FD57175" w14:textId="77777777" w:rsidR="00A2416E" w:rsidRDefault="00534832">
            <w:pPr>
              <w:pStyle w:val="TableParagraph"/>
              <w:spacing w:before="32"/>
              <w:ind w:left="200"/>
              <w:rPr>
                <w:i/>
                <w:sz w:val="19"/>
              </w:rPr>
            </w:pPr>
            <w:r>
              <w:rPr>
                <w:i/>
                <w:sz w:val="19"/>
              </w:rPr>
              <w:t>x</w:t>
            </w:r>
          </w:p>
        </w:tc>
        <w:tc>
          <w:tcPr>
            <w:tcW w:w="5497" w:type="dxa"/>
          </w:tcPr>
          <w:p w14:paraId="2A6E5BDD" w14:textId="77777777" w:rsidR="00A2416E" w:rsidRDefault="00534832">
            <w:pPr>
              <w:pStyle w:val="TableParagraph"/>
              <w:spacing w:before="32"/>
              <w:ind w:left="85"/>
              <w:rPr>
                <w:sz w:val="19"/>
              </w:rPr>
            </w:pPr>
            <w:r>
              <w:rPr>
                <w:sz w:val="19"/>
              </w:rPr>
              <w:t>fuels that have been delivered and which shall be reported</w:t>
            </w:r>
          </w:p>
        </w:tc>
      </w:tr>
      <w:tr w:rsidR="00A2416E" w14:paraId="4EEEE19A" w14:textId="77777777">
        <w:trPr>
          <w:trHeight w:val="751"/>
        </w:trPr>
        <w:tc>
          <w:tcPr>
            <w:tcW w:w="800" w:type="dxa"/>
          </w:tcPr>
          <w:p w14:paraId="79E26564" w14:textId="77777777" w:rsidR="00A2416E" w:rsidRDefault="00534832">
            <w:pPr>
              <w:pStyle w:val="TableParagraph"/>
              <w:spacing w:before="32"/>
              <w:ind w:left="200"/>
              <w:rPr>
                <w:i/>
                <w:sz w:val="11"/>
              </w:rPr>
            </w:pPr>
            <w:proofErr w:type="spellStart"/>
            <w:r>
              <w:rPr>
                <w:i/>
                <w:sz w:val="19"/>
              </w:rPr>
              <w:t>GHGi</w:t>
            </w:r>
            <w:r>
              <w:rPr>
                <w:i/>
                <w:sz w:val="11"/>
              </w:rPr>
              <w:t>x</w:t>
            </w:r>
            <w:proofErr w:type="spellEnd"/>
          </w:p>
        </w:tc>
        <w:tc>
          <w:tcPr>
            <w:tcW w:w="5497" w:type="dxa"/>
          </w:tcPr>
          <w:p w14:paraId="7D58B399" w14:textId="77777777" w:rsidR="00A2416E" w:rsidRDefault="00534832">
            <w:pPr>
              <w:pStyle w:val="TableParagraph"/>
              <w:spacing w:before="38" w:line="230" w:lineRule="auto"/>
              <w:ind w:left="85" w:right="198"/>
              <w:jc w:val="both"/>
              <w:rPr>
                <w:sz w:val="19"/>
              </w:rPr>
            </w:pPr>
            <w:r>
              <w:rPr>
                <w:sz w:val="19"/>
              </w:rPr>
              <w:t>is the sum of greenhouse gas emissions expressed as g CO</w:t>
            </w:r>
            <w:r>
              <w:rPr>
                <w:sz w:val="11"/>
              </w:rPr>
              <w:t>2</w:t>
            </w:r>
            <w:r>
              <w:rPr>
                <w:sz w:val="19"/>
              </w:rPr>
              <w:t>eq/MJ from all bio-components and fossil components included in the fuels that have been delivered</w:t>
            </w:r>
          </w:p>
        </w:tc>
      </w:tr>
      <w:tr w:rsidR="00A2416E" w14:paraId="5FB64182" w14:textId="77777777">
        <w:trPr>
          <w:trHeight w:val="521"/>
        </w:trPr>
        <w:tc>
          <w:tcPr>
            <w:tcW w:w="800" w:type="dxa"/>
          </w:tcPr>
          <w:p w14:paraId="3D51B5E0" w14:textId="77777777" w:rsidR="00A2416E" w:rsidRDefault="00534832">
            <w:pPr>
              <w:pStyle w:val="TableParagraph"/>
              <w:spacing w:before="32"/>
              <w:ind w:left="200"/>
              <w:rPr>
                <w:i/>
                <w:sz w:val="11"/>
              </w:rPr>
            </w:pPr>
            <w:proofErr w:type="spellStart"/>
            <w:r>
              <w:rPr>
                <w:i/>
                <w:sz w:val="19"/>
              </w:rPr>
              <w:t>MJ</w:t>
            </w:r>
            <w:r>
              <w:rPr>
                <w:i/>
                <w:sz w:val="11"/>
              </w:rPr>
              <w:t>x</w:t>
            </w:r>
            <w:proofErr w:type="spellEnd"/>
          </w:p>
        </w:tc>
        <w:tc>
          <w:tcPr>
            <w:tcW w:w="5497" w:type="dxa"/>
          </w:tcPr>
          <w:p w14:paraId="02BB1F8E" w14:textId="77777777" w:rsidR="00A2416E" w:rsidRDefault="00534832">
            <w:pPr>
              <w:pStyle w:val="TableParagraph"/>
              <w:spacing w:before="32" w:line="252" w:lineRule="auto"/>
              <w:ind w:left="85" w:right="170"/>
              <w:rPr>
                <w:sz w:val="19"/>
              </w:rPr>
            </w:pPr>
            <w:r>
              <w:rPr>
                <w:sz w:val="19"/>
              </w:rPr>
              <w:t>energy included in fossil components and bio-components included in the fuels that have been delivered, expressed as megajoules</w:t>
            </w:r>
          </w:p>
        </w:tc>
      </w:tr>
      <w:tr w:rsidR="00A2416E" w14:paraId="5072D8FC" w14:textId="77777777">
        <w:trPr>
          <w:trHeight w:val="521"/>
        </w:trPr>
        <w:tc>
          <w:tcPr>
            <w:tcW w:w="800" w:type="dxa"/>
          </w:tcPr>
          <w:p w14:paraId="6DFBF789" w14:textId="77777777" w:rsidR="00A2416E" w:rsidRDefault="00534832">
            <w:pPr>
              <w:pStyle w:val="TableParagraph"/>
              <w:spacing w:before="32"/>
              <w:ind w:left="200"/>
              <w:rPr>
                <w:i/>
                <w:sz w:val="19"/>
              </w:rPr>
            </w:pPr>
            <w:r>
              <w:rPr>
                <w:i/>
                <w:sz w:val="19"/>
              </w:rPr>
              <w:t>AF</w:t>
            </w:r>
          </w:p>
        </w:tc>
        <w:tc>
          <w:tcPr>
            <w:tcW w:w="5497" w:type="dxa"/>
          </w:tcPr>
          <w:p w14:paraId="76543568" w14:textId="77777777" w:rsidR="00A2416E" w:rsidRDefault="00534832">
            <w:pPr>
              <w:pStyle w:val="TableParagraph"/>
              <w:spacing w:before="32"/>
              <w:ind w:left="85"/>
              <w:rPr>
                <w:sz w:val="19"/>
              </w:rPr>
            </w:pPr>
            <w:r>
              <w:rPr>
                <w:sz w:val="19"/>
              </w:rPr>
              <w:t>the correction factors for drive system efficiency according to the table</w:t>
            </w:r>
          </w:p>
          <w:p w14:paraId="1791D3B1" w14:textId="77777777" w:rsidR="00A2416E" w:rsidRDefault="00534832">
            <w:pPr>
              <w:pStyle w:val="TableParagraph"/>
              <w:spacing w:before="12"/>
              <w:ind w:left="85"/>
              <w:rPr>
                <w:sz w:val="19"/>
              </w:rPr>
            </w:pPr>
            <w:r>
              <w:rPr>
                <w:sz w:val="19"/>
              </w:rPr>
              <w:t>below</w:t>
            </w:r>
          </w:p>
        </w:tc>
      </w:tr>
      <w:tr w:rsidR="00A2416E" w14:paraId="690B8266" w14:textId="77777777">
        <w:trPr>
          <w:trHeight w:val="297"/>
        </w:trPr>
        <w:tc>
          <w:tcPr>
            <w:tcW w:w="800" w:type="dxa"/>
          </w:tcPr>
          <w:p w14:paraId="60FB116A" w14:textId="77777777" w:rsidR="00A2416E" w:rsidRDefault="00534832">
            <w:pPr>
              <w:pStyle w:val="TableParagraph"/>
              <w:spacing w:before="32"/>
              <w:ind w:left="200"/>
              <w:rPr>
                <w:i/>
                <w:sz w:val="19"/>
              </w:rPr>
            </w:pPr>
            <w:r>
              <w:rPr>
                <w:i/>
                <w:sz w:val="19"/>
              </w:rPr>
              <w:t>UER</w:t>
            </w:r>
          </w:p>
        </w:tc>
        <w:tc>
          <w:tcPr>
            <w:tcW w:w="5497" w:type="dxa"/>
          </w:tcPr>
          <w:p w14:paraId="1AD7EF7E" w14:textId="77777777" w:rsidR="00A2416E" w:rsidRDefault="00534832">
            <w:pPr>
              <w:pStyle w:val="TableParagraph"/>
              <w:spacing w:before="32" w:line="245" w:lineRule="exact"/>
              <w:ind w:left="85"/>
              <w:rPr>
                <w:sz w:val="19"/>
              </w:rPr>
            </w:pPr>
            <w:r>
              <w:rPr>
                <w:sz w:val="19"/>
              </w:rPr>
              <w:t>Upstream emission reduction measured as g CO</w:t>
            </w:r>
            <w:r>
              <w:rPr>
                <w:sz w:val="11"/>
              </w:rPr>
              <w:t>2</w:t>
            </w:r>
            <w:r>
              <w:rPr>
                <w:sz w:val="19"/>
              </w:rPr>
              <w:t>eq</w:t>
            </w:r>
          </w:p>
        </w:tc>
      </w:tr>
    </w:tbl>
    <w:p w14:paraId="799663C9" w14:textId="77777777" w:rsidR="00A2416E" w:rsidRDefault="00534832">
      <w:pPr>
        <w:pStyle w:val="Brdtext"/>
        <w:spacing w:before="132"/>
        <w:ind w:left="400"/>
        <w:jc w:val="both"/>
      </w:pPr>
      <w:r>
        <w:t>Emissions shall be corrected for drive system efficiency and upstream emissions.</w:t>
      </w:r>
    </w:p>
    <w:p w14:paraId="197F02F8" w14:textId="77777777" w:rsidR="00A2416E" w:rsidRDefault="00A2416E">
      <w:pPr>
        <w:pStyle w:val="Brdtext"/>
        <w:rPr>
          <w:sz w:val="28"/>
        </w:rPr>
      </w:pPr>
    </w:p>
    <w:tbl>
      <w:tblPr>
        <w:tblStyle w:val="TableNormal1"/>
        <w:tblW w:w="0" w:type="auto"/>
        <w:tblInd w:w="407" w:type="dxa"/>
        <w:tblLayout w:type="fixed"/>
        <w:tblLook w:val="01E0" w:firstRow="1" w:lastRow="1" w:firstColumn="1" w:lastColumn="1" w:noHBand="0" w:noVBand="0"/>
      </w:tblPr>
      <w:tblGrid>
        <w:gridCol w:w="3368"/>
        <w:gridCol w:w="1656"/>
      </w:tblGrid>
      <w:tr w:rsidR="00A2416E" w14:paraId="28F08263" w14:textId="77777777">
        <w:trPr>
          <w:trHeight w:val="325"/>
        </w:trPr>
        <w:tc>
          <w:tcPr>
            <w:tcW w:w="3368" w:type="dxa"/>
            <w:tcBorders>
              <w:top w:val="single" w:sz="4" w:space="0" w:color="000000"/>
              <w:bottom w:val="single" w:sz="4" w:space="0" w:color="000000"/>
            </w:tcBorders>
          </w:tcPr>
          <w:p w14:paraId="38A19BC4" w14:textId="77777777" w:rsidR="00A2416E" w:rsidRDefault="00534832">
            <w:pPr>
              <w:pStyle w:val="TableParagraph"/>
              <w:spacing w:before="67"/>
              <w:ind w:left="0"/>
              <w:rPr>
                <w:b/>
                <w:sz w:val="16"/>
              </w:rPr>
            </w:pPr>
            <w:r>
              <w:rPr>
                <w:b/>
                <w:sz w:val="16"/>
              </w:rPr>
              <w:t>Main area of use</w:t>
            </w:r>
          </w:p>
        </w:tc>
        <w:tc>
          <w:tcPr>
            <w:tcW w:w="1656" w:type="dxa"/>
            <w:tcBorders>
              <w:top w:val="single" w:sz="4" w:space="0" w:color="000000"/>
              <w:bottom w:val="single" w:sz="4" w:space="0" w:color="000000"/>
            </w:tcBorders>
          </w:tcPr>
          <w:p w14:paraId="2AE18678" w14:textId="77777777" w:rsidR="00A2416E" w:rsidRDefault="00534832">
            <w:pPr>
              <w:pStyle w:val="TableParagraph"/>
              <w:spacing w:before="67"/>
              <w:ind w:left="237"/>
              <w:rPr>
                <w:b/>
                <w:sz w:val="16"/>
              </w:rPr>
            </w:pPr>
            <w:r>
              <w:rPr>
                <w:b/>
                <w:sz w:val="16"/>
              </w:rPr>
              <w:t>Efficiency factor</w:t>
            </w:r>
          </w:p>
        </w:tc>
      </w:tr>
      <w:tr w:rsidR="00A2416E" w14:paraId="63DF21ED" w14:textId="77777777">
        <w:trPr>
          <w:trHeight w:val="295"/>
        </w:trPr>
        <w:tc>
          <w:tcPr>
            <w:tcW w:w="3368" w:type="dxa"/>
            <w:tcBorders>
              <w:top w:val="single" w:sz="4" w:space="0" w:color="000000"/>
            </w:tcBorders>
          </w:tcPr>
          <w:p w14:paraId="2DC6CCCF" w14:textId="77777777" w:rsidR="00A2416E" w:rsidRDefault="00534832">
            <w:pPr>
              <w:pStyle w:val="TableParagraph"/>
              <w:spacing w:before="72"/>
              <w:ind w:left="0"/>
              <w:rPr>
                <w:sz w:val="17"/>
              </w:rPr>
            </w:pPr>
            <w:r>
              <w:rPr>
                <w:sz w:val="17"/>
              </w:rPr>
              <w:t>Internal combustion engines</w:t>
            </w:r>
          </w:p>
        </w:tc>
        <w:tc>
          <w:tcPr>
            <w:tcW w:w="1656" w:type="dxa"/>
            <w:tcBorders>
              <w:top w:val="single" w:sz="4" w:space="0" w:color="000000"/>
            </w:tcBorders>
          </w:tcPr>
          <w:p w14:paraId="3EABE78F" w14:textId="77777777" w:rsidR="00A2416E" w:rsidRDefault="00534832">
            <w:pPr>
              <w:pStyle w:val="TableParagraph"/>
              <w:spacing w:before="72"/>
              <w:ind w:left="237"/>
              <w:rPr>
                <w:sz w:val="17"/>
              </w:rPr>
            </w:pPr>
            <w:r>
              <w:rPr>
                <w:sz w:val="17"/>
              </w:rPr>
              <w:t>1</w:t>
            </w:r>
          </w:p>
        </w:tc>
      </w:tr>
      <w:tr w:rsidR="00A2416E" w14:paraId="17A28BEE" w14:textId="77777777">
        <w:trPr>
          <w:trHeight w:val="242"/>
        </w:trPr>
        <w:tc>
          <w:tcPr>
            <w:tcW w:w="3368" w:type="dxa"/>
          </w:tcPr>
          <w:p w14:paraId="02257E28" w14:textId="77777777" w:rsidR="00A2416E" w:rsidRDefault="00534832">
            <w:pPr>
              <w:pStyle w:val="TableParagraph"/>
              <w:spacing w:before="20"/>
              <w:ind w:left="0"/>
              <w:rPr>
                <w:sz w:val="17"/>
              </w:rPr>
            </w:pPr>
            <w:r>
              <w:rPr>
                <w:sz w:val="17"/>
              </w:rPr>
              <w:t>Battery-powered electrical systems</w:t>
            </w:r>
          </w:p>
        </w:tc>
        <w:tc>
          <w:tcPr>
            <w:tcW w:w="1656" w:type="dxa"/>
          </w:tcPr>
          <w:p w14:paraId="73657E13" w14:textId="77777777" w:rsidR="00A2416E" w:rsidRDefault="00534832">
            <w:pPr>
              <w:pStyle w:val="TableParagraph"/>
              <w:spacing w:before="20"/>
              <w:ind w:left="237"/>
              <w:rPr>
                <w:sz w:val="17"/>
              </w:rPr>
            </w:pPr>
            <w:r>
              <w:rPr>
                <w:sz w:val="17"/>
              </w:rPr>
              <w:t>0.4</w:t>
            </w:r>
          </w:p>
        </w:tc>
      </w:tr>
      <w:tr w:rsidR="00A2416E" w14:paraId="320937A7" w14:textId="77777777">
        <w:trPr>
          <w:trHeight w:val="287"/>
        </w:trPr>
        <w:tc>
          <w:tcPr>
            <w:tcW w:w="3368" w:type="dxa"/>
            <w:tcBorders>
              <w:bottom w:val="single" w:sz="4" w:space="0" w:color="000000"/>
            </w:tcBorders>
          </w:tcPr>
          <w:p w14:paraId="51DED897" w14:textId="77777777" w:rsidR="00A2416E" w:rsidRDefault="00534832">
            <w:pPr>
              <w:pStyle w:val="TableParagraph"/>
              <w:spacing w:before="20"/>
              <w:ind w:left="0"/>
              <w:rPr>
                <w:sz w:val="17"/>
              </w:rPr>
            </w:pPr>
            <w:r>
              <w:rPr>
                <w:sz w:val="17"/>
              </w:rPr>
              <w:t>Hydrogen fuel cell electric drive system</w:t>
            </w:r>
          </w:p>
        </w:tc>
        <w:tc>
          <w:tcPr>
            <w:tcW w:w="1656" w:type="dxa"/>
            <w:tcBorders>
              <w:bottom w:val="single" w:sz="4" w:space="0" w:color="000000"/>
            </w:tcBorders>
          </w:tcPr>
          <w:p w14:paraId="6D27FC5C" w14:textId="77777777" w:rsidR="00A2416E" w:rsidRDefault="00534832">
            <w:pPr>
              <w:pStyle w:val="TableParagraph"/>
              <w:spacing w:before="20"/>
              <w:ind w:left="237"/>
              <w:rPr>
                <w:sz w:val="17"/>
              </w:rPr>
            </w:pPr>
            <w:r>
              <w:rPr>
                <w:sz w:val="17"/>
              </w:rPr>
              <w:t>0.4</w:t>
            </w:r>
          </w:p>
        </w:tc>
      </w:tr>
    </w:tbl>
    <w:p w14:paraId="26A8E09B" w14:textId="77777777" w:rsidR="00A2416E" w:rsidRDefault="00A2416E">
      <w:pPr>
        <w:pStyle w:val="Brdtext"/>
        <w:spacing w:before="10"/>
        <w:rPr>
          <w:sz w:val="28"/>
        </w:rPr>
      </w:pPr>
    </w:p>
    <w:p w14:paraId="37BD531B" w14:textId="77777777" w:rsidR="00A2416E" w:rsidRDefault="00534832">
      <w:pPr>
        <w:pStyle w:val="Brdtext"/>
        <w:spacing w:before="1" w:line="273" w:lineRule="auto"/>
        <w:ind w:left="400" w:right="238"/>
        <w:jc w:val="both"/>
      </w:pPr>
      <w:r>
        <w:rPr>
          <w:b/>
        </w:rPr>
        <w:t xml:space="preserve">§ 12a </w:t>
      </w:r>
      <w:proofErr w:type="gramStart"/>
      <w:r>
        <w:t>As</w:t>
      </w:r>
      <w:proofErr w:type="gramEnd"/>
      <w:r>
        <w:t xml:space="preserve"> a basis for environmental information, a fuel supplier shall calculate the greenhouse gas intensity for marketed products according to the following formula:</w:t>
      </w:r>
    </w:p>
    <w:p w14:paraId="752A0082" w14:textId="77777777" w:rsidR="00A2416E" w:rsidRDefault="00534832">
      <w:pPr>
        <w:pStyle w:val="Brdtext"/>
        <w:spacing w:before="177" w:line="170" w:lineRule="auto"/>
        <w:ind w:left="400" w:right="3425" w:firstLine="808"/>
      </w:pPr>
      <w:r>
        <w:rPr>
          <w:color w:val="010102"/>
        </w:rPr>
        <w:t xml:space="preserve">∑ </w:t>
      </w:r>
      <w:r>
        <w:rPr>
          <w:color w:val="010102"/>
          <w:sz w:val="12"/>
        </w:rPr>
        <w:t xml:space="preserve">x </w:t>
      </w:r>
      <w:r>
        <w:rPr>
          <w:color w:val="010102"/>
        </w:rPr>
        <w:t>(</w:t>
      </w:r>
      <w:proofErr w:type="spellStart"/>
      <w:r>
        <w:rPr>
          <w:color w:val="010102"/>
        </w:rPr>
        <w:t>GHGi</w:t>
      </w:r>
      <w:r>
        <w:rPr>
          <w:color w:val="010102"/>
          <w:sz w:val="12"/>
        </w:rPr>
        <w:t>x</w:t>
      </w:r>
      <w:proofErr w:type="spellEnd"/>
      <w:r>
        <w:rPr>
          <w:color w:val="010102"/>
          <w:sz w:val="12"/>
        </w:rPr>
        <w:t xml:space="preserve"> </w:t>
      </w:r>
      <w:r>
        <w:rPr>
          <w:color w:val="010102"/>
        </w:rPr>
        <w:t xml:space="preserve">× </w:t>
      </w:r>
      <w:proofErr w:type="spellStart"/>
      <w:r>
        <w:rPr>
          <w:color w:val="010102"/>
        </w:rPr>
        <w:t>MJ</w:t>
      </w:r>
      <w:r>
        <w:rPr>
          <w:color w:val="010102"/>
          <w:sz w:val="12"/>
        </w:rPr>
        <w:t>x</w:t>
      </w:r>
      <w:proofErr w:type="spellEnd"/>
      <w:r>
        <w:rPr>
          <w:color w:val="010102"/>
        </w:rPr>
        <w:t xml:space="preserve">) </w:t>
      </w:r>
      <w:proofErr w:type="spellStart"/>
      <w:r>
        <w:rPr>
          <w:color w:val="010102"/>
        </w:rPr>
        <w:t>GHGi</w:t>
      </w:r>
      <w:r>
        <w:rPr>
          <w:color w:val="010102"/>
          <w:sz w:val="11"/>
        </w:rPr>
        <w:t>a</w:t>
      </w:r>
      <w:proofErr w:type="spellEnd"/>
      <w:r>
        <w:rPr>
          <w:color w:val="010102"/>
          <w:sz w:val="11"/>
        </w:rPr>
        <w:t xml:space="preserve"> </w:t>
      </w:r>
      <w:r>
        <w:rPr>
          <w:color w:val="010102"/>
        </w:rPr>
        <w:t>= ––––––––––––––––</w:t>
      </w:r>
    </w:p>
    <w:p w14:paraId="676262ED" w14:textId="77777777" w:rsidR="00A2416E" w:rsidRDefault="00534832">
      <w:pPr>
        <w:spacing w:line="201" w:lineRule="auto"/>
        <w:ind w:left="1610"/>
        <w:rPr>
          <w:sz w:val="12"/>
        </w:rPr>
      </w:pPr>
      <w:r>
        <w:rPr>
          <w:color w:val="010102"/>
          <w:sz w:val="19"/>
        </w:rPr>
        <w:t xml:space="preserve">∑ </w:t>
      </w:r>
      <w:r>
        <w:rPr>
          <w:color w:val="010102"/>
          <w:sz w:val="12"/>
        </w:rPr>
        <w:t xml:space="preserve">x </w:t>
      </w:r>
      <w:proofErr w:type="spellStart"/>
      <w:r>
        <w:rPr>
          <w:color w:val="010102"/>
          <w:sz w:val="19"/>
        </w:rPr>
        <w:t>MJ</w:t>
      </w:r>
      <w:r>
        <w:rPr>
          <w:color w:val="010102"/>
          <w:sz w:val="12"/>
        </w:rPr>
        <w:t>x</w:t>
      </w:r>
      <w:proofErr w:type="spellEnd"/>
    </w:p>
    <w:p w14:paraId="447A06EC" w14:textId="77777777" w:rsidR="00A2416E" w:rsidRDefault="00534832">
      <w:pPr>
        <w:pStyle w:val="Rubrik2"/>
        <w:spacing w:line="228" w:lineRule="auto"/>
        <w:ind w:left="200" w:right="134"/>
      </w:pPr>
      <w:r>
        <w:br w:type="column"/>
      </w:r>
      <w:r>
        <w:t>STEMFS 2021:2</w:t>
      </w:r>
    </w:p>
    <w:p w14:paraId="186869FF" w14:textId="77777777" w:rsidR="00A2416E" w:rsidRDefault="00A2416E">
      <w:pPr>
        <w:spacing w:line="228" w:lineRule="auto"/>
        <w:sectPr w:rsidR="00A2416E">
          <w:pgSz w:w="9360" w:h="13720"/>
          <w:pgMar w:top="940" w:right="580" w:bottom="280" w:left="620" w:header="720" w:footer="720" w:gutter="0"/>
          <w:cols w:num="2" w:space="720" w:equalWidth="0">
            <w:col w:w="6538" w:space="427"/>
            <w:col w:w="1195"/>
          </w:cols>
        </w:sectPr>
      </w:pPr>
    </w:p>
    <w:p w14:paraId="78B72271" w14:textId="77777777" w:rsidR="00A2416E" w:rsidRDefault="00534832">
      <w:pPr>
        <w:pStyle w:val="Brdtext"/>
        <w:spacing w:before="129" w:after="58"/>
        <w:ind w:left="400"/>
      </w:pPr>
      <w:r>
        <w:t>Where:</w:t>
      </w:r>
    </w:p>
    <w:tbl>
      <w:tblPr>
        <w:tblStyle w:val="TableNormal1"/>
        <w:tblW w:w="0" w:type="auto"/>
        <w:tblInd w:w="207" w:type="dxa"/>
        <w:tblLayout w:type="fixed"/>
        <w:tblLook w:val="01E0" w:firstRow="1" w:lastRow="1" w:firstColumn="1" w:lastColumn="1" w:noHBand="0" w:noVBand="0"/>
      </w:tblPr>
      <w:tblGrid>
        <w:gridCol w:w="777"/>
        <w:gridCol w:w="5495"/>
      </w:tblGrid>
      <w:tr w:rsidR="00A2416E" w14:paraId="595F037B" w14:textId="77777777">
        <w:trPr>
          <w:trHeight w:val="242"/>
        </w:trPr>
        <w:tc>
          <w:tcPr>
            <w:tcW w:w="777" w:type="dxa"/>
          </w:tcPr>
          <w:p w14:paraId="24B13BD8" w14:textId="77777777" w:rsidR="00A2416E" w:rsidRDefault="00534832">
            <w:pPr>
              <w:pStyle w:val="TableParagraph"/>
              <w:spacing w:before="0" w:line="211" w:lineRule="exact"/>
              <w:ind w:left="200"/>
              <w:rPr>
                <w:i/>
                <w:sz w:val="19"/>
              </w:rPr>
            </w:pPr>
            <w:r>
              <w:rPr>
                <w:i/>
                <w:sz w:val="19"/>
              </w:rPr>
              <w:t>a</w:t>
            </w:r>
          </w:p>
        </w:tc>
        <w:tc>
          <w:tcPr>
            <w:tcW w:w="5495" w:type="dxa"/>
          </w:tcPr>
          <w:p w14:paraId="3E518B6F" w14:textId="77777777" w:rsidR="00A2416E" w:rsidRDefault="00534832">
            <w:pPr>
              <w:pStyle w:val="TableParagraph"/>
              <w:spacing w:before="0" w:line="210" w:lineRule="exact"/>
              <w:ind w:left="57"/>
              <w:rPr>
                <w:sz w:val="19"/>
              </w:rPr>
            </w:pPr>
            <w:r>
              <w:rPr>
                <w:sz w:val="19"/>
              </w:rPr>
              <w:t>fuel products that have been delivered and which shall be reported</w:t>
            </w:r>
          </w:p>
        </w:tc>
      </w:tr>
      <w:tr w:rsidR="00A2416E" w14:paraId="32F5B9EE" w14:textId="77777777">
        <w:trPr>
          <w:trHeight w:val="273"/>
        </w:trPr>
        <w:tc>
          <w:tcPr>
            <w:tcW w:w="777" w:type="dxa"/>
          </w:tcPr>
          <w:p w14:paraId="2D155D93" w14:textId="77777777" w:rsidR="00A2416E" w:rsidRDefault="00534832">
            <w:pPr>
              <w:pStyle w:val="TableParagraph"/>
              <w:spacing w:before="23"/>
              <w:ind w:left="200"/>
              <w:rPr>
                <w:i/>
                <w:sz w:val="19"/>
              </w:rPr>
            </w:pPr>
            <w:r>
              <w:rPr>
                <w:i/>
                <w:sz w:val="19"/>
              </w:rPr>
              <w:t>x</w:t>
            </w:r>
          </w:p>
        </w:tc>
        <w:tc>
          <w:tcPr>
            <w:tcW w:w="5495" w:type="dxa"/>
          </w:tcPr>
          <w:p w14:paraId="27B3ACB7" w14:textId="77777777" w:rsidR="00A2416E" w:rsidRDefault="00534832">
            <w:pPr>
              <w:pStyle w:val="TableParagraph"/>
              <w:spacing w:before="23"/>
              <w:ind w:left="57"/>
              <w:rPr>
                <w:sz w:val="19"/>
              </w:rPr>
            </w:pPr>
            <w:r>
              <w:rPr>
                <w:sz w:val="19"/>
              </w:rPr>
              <w:t>components of the product to be reported</w:t>
            </w:r>
          </w:p>
        </w:tc>
      </w:tr>
      <w:tr w:rsidR="00A2416E" w14:paraId="64FD007D" w14:textId="77777777">
        <w:trPr>
          <w:trHeight w:val="526"/>
        </w:trPr>
        <w:tc>
          <w:tcPr>
            <w:tcW w:w="777" w:type="dxa"/>
          </w:tcPr>
          <w:p w14:paraId="17EAA3F3" w14:textId="77777777" w:rsidR="00A2416E" w:rsidRDefault="00534832">
            <w:pPr>
              <w:pStyle w:val="TableParagraph"/>
              <w:spacing w:before="23"/>
              <w:ind w:left="200"/>
              <w:rPr>
                <w:i/>
                <w:sz w:val="11"/>
              </w:rPr>
            </w:pPr>
            <w:proofErr w:type="spellStart"/>
            <w:r>
              <w:rPr>
                <w:i/>
                <w:sz w:val="19"/>
              </w:rPr>
              <w:t>GHGi</w:t>
            </w:r>
            <w:r>
              <w:rPr>
                <w:i/>
                <w:sz w:val="11"/>
              </w:rPr>
              <w:t>x</w:t>
            </w:r>
            <w:proofErr w:type="spellEnd"/>
          </w:p>
        </w:tc>
        <w:tc>
          <w:tcPr>
            <w:tcW w:w="5495" w:type="dxa"/>
          </w:tcPr>
          <w:p w14:paraId="1FA05581" w14:textId="77777777" w:rsidR="00A2416E" w:rsidRDefault="00534832">
            <w:pPr>
              <w:pStyle w:val="TableParagraph"/>
              <w:spacing w:before="17" w:line="230" w:lineRule="exact"/>
              <w:ind w:left="57"/>
              <w:rPr>
                <w:sz w:val="19"/>
              </w:rPr>
            </w:pPr>
            <w:r>
              <w:rPr>
                <w:sz w:val="19"/>
              </w:rPr>
              <w:t>the greenhouse gas intensity for respective components included in product a, expressed as g CO</w:t>
            </w:r>
            <w:r>
              <w:rPr>
                <w:sz w:val="11"/>
              </w:rPr>
              <w:t>2</w:t>
            </w:r>
            <w:r>
              <w:rPr>
                <w:sz w:val="19"/>
              </w:rPr>
              <w:t>eq/MJ</w:t>
            </w:r>
          </w:p>
        </w:tc>
      </w:tr>
      <w:tr w:rsidR="00A2416E" w14:paraId="473B90F4" w14:textId="77777777">
        <w:trPr>
          <w:trHeight w:val="480"/>
        </w:trPr>
        <w:tc>
          <w:tcPr>
            <w:tcW w:w="777" w:type="dxa"/>
          </w:tcPr>
          <w:p w14:paraId="5908B850" w14:textId="77777777" w:rsidR="00A2416E" w:rsidRDefault="00534832">
            <w:pPr>
              <w:pStyle w:val="TableParagraph"/>
              <w:spacing w:before="0"/>
              <w:ind w:left="200"/>
              <w:rPr>
                <w:i/>
                <w:sz w:val="11"/>
              </w:rPr>
            </w:pPr>
            <w:proofErr w:type="spellStart"/>
            <w:r>
              <w:rPr>
                <w:i/>
                <w:sz w:val="19"/>
              </w:rPr>
              <w:t>MJ</w:t>
            </w:r>
            <w:r>
              <w:rPr>
                <w:i/>
                <w:sz w:val="11"/>
              </w:rPr>
              <w:t>x</w:t>
            </w:r>
            <w:proofErr w:type="spellEnd"/>
          </w:p>
        </w:tc>
        <w:tc>
          <w:tcPr>
            <w:tcW w:w="5495" w:type="dxa"/>
          </w:tcPr>
          <w:p w14:paraId="3E93CD66" w14:textId="77777777" w:rsidR="00A2416E" w:rsidRDefault="00534832">
            <w:pPr>
              <w:pStyle w:val="TableParagraph"/>
              <w:spacing w:before="0" w:line="252" w:lineRule="auto"/>
              <w:ind w:left="57"/>
              <w:rPr>
                <w:sz w:val="19"/>
              </w:rPr>
            </w:pPr>
            <w:r>
              <w:rPr>
                <w:sz w:val="19"/>
              </w:rPr>
              <w:t>the energy included in components that are included in product a, expressed as megajoules</w:t>
            </w:r>
          </w:p>
        </w:tc>
      </w:tr>
      <w:tr w:rsidR="00A2416E" w14:paraId="245B7179" w14:textId="77777777">
        <w:trPr>
          <w:trHeight w:val="702"/>
        </w:trPr>
        <w:tc>
          <w:tcPr>
            <w:tcW w:w="777" w:type="dxa"/>
          </w:tcPr>
          <w:p w14:paraId="5334C4BE" w14:textId="77777777" w:rsidR="00A2416E" w:rsidRDefault="00534832">
            <w:pPr>
              <w:pStyle w:val="TableParagraph"/>
              <w:spacing w:before="23"/>
              <w:ind w:left="200"/>
              <w:rPr>
                <w:i/>
                <w:sz w:val="11"/>
              </w:rPr>
            </w:pPr>
            <w:proofErr w:type="spellStart"/>
            <w:r>
              <w:rPr>
                <w:i/>
                <w:sz w:val="19"/>
              </w:rPr>
              <w:t>GHGi</w:t>
            </w:r>
            <w:r>
              <w:rPr>
                <w:i/>
                <w:sz w:val="11"/>
              </w:rPr>
              <w:t>a</w:t>
            </w:r>
            <w:proofErr w:type="spellEnd"/>
          </w:p>
        </w:tc>
        <w:tc>
          <w:tcPr>
            <w:tcW w:w="5495" w:type="dxa"/>
          </w:tcPr>
          <w:p w14:paraId="2A6CA0A4" w14:textId="77777777" w:rsidR="00A2416E" w:rsidRDefault="00534832">
            <w:pPr>
              <w:pStyle w:val="TableParagraph"/>
              <w:spacing w:before="17" w:line="230" w:lineRule="exact"/>
              <w:ind w:left="57" w:right="197"/>
              <w:jc w:val="both"/>
              <w:rPr>
                <w:sz w:val="19"/>
              </w:rPr>
            </w:pPr>
            <w:r>
              <w:rPr>
                <w:sz w:val="19"/>
              </w:rPr>
              <w:t>greenhouse gas emissions expressed as g CO</w:t>
            </w:r>
            <w:r>
              <w:rPr>
                <w:sz w:val="11"/>
              </w:rPr>
              <w:t>2</w:t>
            </w:r>
            <w:r>
              <w:rPr>
                <w:sz w:val="19"/>
              </w:rPr>
              <w:t>eq/MJ from all bio-components and fossil components included in the product that has been delivered.</w:t>
            </w:r>
          </w:p>
        </w:tc>
      </w:tr>
    </w:tbl>
    <w:p w14:paraId="631CE3C8" w14:textId="77777777" w:rsidR="00A2416E" w:rsidRDefault="00A2416E">
      <w:pPr>
        <w:pStyle w:val="Brdtext"/>
        <w:rPr>
          <w:sz w:val="20"/>
        </w:rPr>
      </w:pPr>
    </w:p>
    <w:p w14:paraId="665B4BAB" w14:textId="77777777" w:rsidR="00A2416E" w:rsidRDefault="00A2416E">
      <w:pPr>
        <w:pStyle w:val="Brdtext"/>
        <w:spacing w:before="10"/>
        <w:rPr>
          <w:sz w:val="21"/>
        </w:rPr>
      </w:pPr>
    </w:p>
    <w:p w14:paraId="5772BB0F" w14:textId="77777777" w:rsidR="00A2416E" w:rsidRDefault="00534832">
      <w:pPr>
        <w:pStyle w:val="Rubrik3"/>
        <w:ind w:left="0" w:right="155"/>
        <w:jc w:val="right"/>
      </w:pPr>
      <w:r>
        <w:t>3</w:t>
      </w:r>
    </w:p>
    <w:p w14:paraId="677F036A" w14:textId="77777777" w:rsidR="00A2416E" w:rsidRDefault="00A2416E">
      <w:pPr>
        <w:jc w:val="right"/>
        <w:sectPr w:rsidR="00A2416E">
          <w:type w:val="continuous"/>
          <w:pgSz w:w="9360" w:h="13720"/>
          <w:pgMar w:top="900" w:right="580" w:bottom="280" w:left="620" w:header="720" w:footer="720" w:gutter="0"/>
          <w:cols w:space="720"/>
        </w:sectPr>
      </w:pPr>
    </w:p>
    <w:p w14:paraId="0EB2F8F7" w14:textId="77777777" w:rsidR="00A2416E" w:rsidRDefault="00534832">
      <w:pPr>
        <w:spacing w:before="73" w:line="228" w:lineRule="auto"/>
        <w:ind w:left="117" w:right="19"/>
        <w:rPr>
          <w:b/>
          <w:sz w:val="21"/>
        </w:rPr>
      </w:pPr>
      <w:bookmarkStart w:id="3" w:name="Utsläppsminskning_i_tidigare_led"/>
      <w:bookmarkStart w:id="4" w:name="Ikraftträdandebestämmelser"/>
      <w:bookmarkEnd w:id="3"/>
      <w:bookmarkEnd w:id="4"/>
      <w:r>
        <w:rPr>
          <w:b/>
          <w:sz w:val="21"/>
        </w:rPr>
        <w:lastRenderedPageBreak/>
        <w:t>STEMFS 2021:2</w:t>
      </w:r>
    </w:p>
    <w:p w14:paraId="0305CE16" w14:textId="77777777" w:rsidR="00A2416E" w:rsidRDefault="00534832">
      <w:pPr>
        <w:pStyle w:val="Brdtext"/>
        <w:spacing w:before="72" w:line="273" w:lineRule="auto"/>
        <w:ind w:left="117" w:right="381"/>
        <w:jc w:val="both"/>
      </w:pPr>
      <w:r>
        <w:br w:type="column"/>
      </w:r>
      <w:r>
        <w:rPr>
          <w:b/>
        </w:rPr>
        <w:t xml:space="preserve">§ 13 </w:t>
      </w:r>
      <w:r>
        <w:t>In calculations under § 12, a fuel supplier shall calculate greenhouse gas emissions from fossil components in accordance with weighted normal values in Annex 1.</w:t>
      </w:r>
    </w:p>
    <w:p w14:paraId="10BFD7DE" w14:textId="77777777" w:rsidR="00A2416E" w:rsidRDefault="00534832">
      <w:pPr>
        <w:pStyle w:val="Brdtext"/>
        <w:spacing w:before="115" w:line="273" w:lineRule="auto"/>
        <w:ind w:left="117" w:right="381"/>
        <w:jc w:val="both"/>
      </w:pPr>
      <w:r>
        <w:t>In calculations under § 12a, a fuel supplier shall calculate greenhouse gas emissions from fossil components in accordance with normal values for the specific raw material source in Annex 1.</w:t>
      </w:r>
    </w:p>
    <w:p w14:paraId="2AC92A22" w14:textId="77777777" w:rsidR="00A2416E" w:rsidRDefault="00A2416E">
      <w:pPr>
        <w:pStyle w:val="Brdtext"/>
        <w:spacing w:before="5"/>
        <w:rPr>
          <w:sz w:val="26"/>
        </w:rPr>
      </w:pPr>
    </w:p>
    <w:p w14:paraId="0262139A" w14:textId="77777777" w:rsidR="00A2416E" w:rsidRDefault="00534832">
      <w:pPr>
        <w:pStyle w:val="Rubrik2"/>
        <w:spacing w:before="0"/>
      </w:pPr>
      <w:r>
        <w:t>Upstream emission reduction</w:t>
      </w:r>
    </w:p>
    <w:p w14:paraId="0796A5BC" w14:textId="77777777" w:rsidR="00A2416E" w:rsidRDefault="00534832">
      <w:pPr>
        <w:pStyle w:val="Brdtext"/>
        <w:spacing w:before="141" w:line="273" w:lineRule="auto"/>
        <w:ind w:left="117" w:right="380"/>
        <w:jc w:val="both"/>
      </w:pPr>
      <w:r>
        <w:rPr>
          <w:b/>
        </w:rPr>
        <w:t xml:space="preserve">§ 16 </w:t>
      </w:r>
      <w:r>
        <w:t>n order for a fuel supplier to be credited with an upstream emission reduction in calculating greenhouse gas intensity under § 12, the fuel supplier shall have reported the following to the Swedish Energy Agency:</w:t>
      </w:r>
    </w:p>
    <w:p w14:paraId="3960C5E9" w14:textId="77777777" w:rsidR="00A2416E" w:rsidRDefault="00534832">
      <w:pPr>
        <w:pStyle w:val="Liststycke"/>
        <w:numPr>
          <w:ilvl w:val="0"/>
          <w:numId w:val="1"/>
        </w:numPr>
        <w:tabs>
          <w:tab w:val="left" w:pos="316"/>
        </w:tabs>
        <w:jc w:val="both"/>
        <w:rPr>
          <w:sz w:val="19"/>
        </w:rPr>
      </w:pPr>
      <w:r>
        <w:rPr>
          <w:sz w:val="19"/>
        </w:rPr>
        <w:t>the start date of the project, which must be later than 1 January 2011;</w:t>
      </w:r>
    </w:p>
    <w:p w14:paraId="50955759" w14:textId="77777777" w:rsidR="00A2416E" w:rsidRDefault="00534832">
      <w:pPr>
        <w:pStyle w:val="Liststycke"/>
        <w:numPr>
          <w:ilvl w:val="0"/>
          <w:numId w:val="1"/>
        </w:numPr>
        <w:tabs>
          <w:tab w:val="left" w:pos="316"/>
        </w:tabs>
        <w:jc w:val="both"/>
        <w:rPr>
          <w:sz w:val="19"/>
        </w:rPr>
      </w:pPr>
      <w:r>
        <w:rPr>
          <w:sz w:val="19"/>
        </w:rPr>
        <w:t>annual emission reductions as g CO</w:t>
      </w:r>
      <w:r>
        <w:rPr>
          <w:sz w:val="11"/>
        </w:rPr>
        <w:t>2</w:t>
      </w:r>
      <w:r>
        <w:rPr>
          <w:sz w:val="19"/>
        </w:rPr>
        <w:t>eq;</w:t>
      </w:r>
    </w:p>
    <w:p w14:paraId="0C44C87A" w14:textId="77777777" w:rsidR="00A2416E" w:rsidRDefault="00534832">
      <w:pPr>
        <w:pStyle w:val="Liststycke"/>
        <w:numPr>
          <w:ilvl w:val="0"/>
          <w:numId w:val="1"/>
        </w:numPr>
        <w:tabs>
          <w:tab w:val="left" w:pos="316"/>
        </w:tabs>
        <w:spacing w:before="25"/>
        <w:jc w:val="both"/>
        <w:rPr>
          <w:sz w:val="19"/>
        </w:rPr>
      </w:pPr>
      <w:r>
        <w:rPr>
          <w:sz w:val="19"/>
        </w:rPr>
        <w:t>the period during which the claimed reduction took place;</w:t>
      </w:r>
    </w:p>
    <w:p w14:paraId="45CBAD50" w14:textId="77777777" w:rsidR="00A2416E" w:rsidRDefault="00534832">
      <w:pPr>
        <w:pStyle w:val="Liststycke"/>
        <w:numPr>
          <w:ilvl w:val="0"/>
          <w:numId w:val="1"/>
        </w:numPr>
        <w:tabs>
          <w:tab w:val="left" w:pos="316"/>
        </w:tabs>
        <w:spacing w:line="252" w:lineRule="auto"/>
        <w:ind w:right="381"/>
        <w:jc w:val="both"/>
        <w:rPr>
          <w:sz w:val="19"/>
        </w:rPr>
      </w:pPr>
      <w:r>
        <w:rPr>
          <w:sz w:val="19"/>
        </w:rPr>
        <w:t>the geographical location of the project closest to the emissions source, as latitude and longitude coordinates in degrees to the fourth decimal;</w:t>
      </w:r>
    </w:p>
    <w:p w14:paraId="31C4AA5C" w14:textId="77777777" w:rsidR="00A2416E" w:rsidRDefault="00534832">
      <w:pPr>
        <w:pStyle w:val="Liststycke"/>
        <w:numPr>
          <w:ilvl w:val="0"/>
          <w:numId w:val="1"/>
        </w:numPr>
        <w:tabs>
          <w:tab w:val="left" w:pos="316"/>
        </w:tabs>
        <w:spacing w:before="65" w:line="230" w:lineRule="auto"/>
        <w:ind w:right="382"/>
        <w:jc w:val="both"/>
        <w:rPr>
          <w:sz w:val="19"/>
        </w:rPr>
      </w:pPr>
      <w:r>
        <w:rPr>
          <w:sz w:val="19"/>
        </w:rPr>
        <w:t>the minimum standard for annual emissions prior to the installation of reduction measures and annual emissions after the reduction measures have been implemented as CO</w:t>
      </w:r>
      <w:r>
        <w:rPr>
          <w:sz w:val="11"/>
        </w:rPr>
        <w:t>2</w:t>
      </w:r>
      <w:r>
        <w:rPr>
          <w:sz w:val="19"/>
        </w:rPr>
        <w:t>eq/MJ for the raw material produced;</w:t>
      </w:r>
    </w:p>
    <w:p w14:paraId="60C84C29" w14:textId="77777777" w:rsidR="00A2416E" w:rsidRDefault="00534832">
      <w:pPr>
        <w:pStyle w:val="Liststycke"/>
        <w:numPr>
          <w:ilvl w:val="0"/>
          <w:numId w:val="1"/>
        </w:numPr>
        <w:tabs>
          <w:tab w:val="left" w:pos="316"/>
        </w:tabs>
        <w:jc w:val="both"/>
        <w:rPr>
          <w:sz w:val="19"/>
        </w:rPr>
      </w:pPr>
      <w:r>
        <w:rPr>
          <w:sz w:val="19"/>
        </w:rPr>
        <w:t>a non-reusable certificate number that uniquely identifies the system and</w:t>
      </w:r>
    </w:p>
    <w:p w14:paraId="7F1E9855" w14:textId="77777777" w:rsidR="00A2416E" w:rsidRDefault="00534832">
      <w:pPr>
        <w:pStyle w:val="Brdtext"/>
        <w:spacing w:before="12"/>
        <w:ind w:left="315"/>
        <w:jc w:val="both"/>
      </w:pPr>
      <w:r>
        <w:t>the claimed greenhouse gas reductions;</w:t>
      </w:r>
    </w:p>
    <w:p w14:paraId="53C6F41B" w14:textId="77777777" w:rsidR="00A2416E" w:rsidRDefault="00534832">
      <w:pPr>
        <w:pStyle w:val="Liststycke"/>
        <w:numPr>
          <w:ilvl w:val="0"/>
          <w:numId w:val="1"/>
        </w:numPr>
        <w:tabs>
          <w:tab w:val="left" w:pos="316"/>
        </w:tabs>
        <w:jc w:val="both"/>
        <w:rPr>
          <w:sz w:val="19"/>
        </w:rPr>
      </w:pPr>
      <w:r>
        <w:rPr>
          <w:sz w:val="19"/>
        </w:rPr>
        <w:t>a non-reusable number that uniquely identifies the calculation method and</w:t>
      </w:r>
    </w:p>
    <w:p w14:paraId="128F9A23" w14:textId="77777777" w:rsidR="00A2416E" w:rsidRDefault="00534832">
      <w:pPr>
        <w:pStyle w:val="Brdtext"/>
        <w:spacing w:before="11"/>
        <w:ind w:left="315"/>
        <w:jc w:val="both"/>
      </w:pPr>
      <w:r>
        <w:t>the associated system.</w:t>
      </w:r>
    </w:p>
    <w:p w14:paraId="2A18DA87" w14:textId="77777777" w:rsidR="00A2416E" w:rsidRDefault="00A2416E">
      <w:pPr>
        <w:pStyle w:val="Brdtext"/>
        <w:rPr>
          <w:sz w:val="29"/>
        </w:rPr>
      </w:pPr>
    </w:p>
    <w:p w14:paraId="16842E29" w14:textId="77777777" w:rsidR="00A2416E" w:rsidRDefault="00534832">
      <w:pPr>
        <w:pStyle w:val="Rubrik2"/>
        <w:spacing w:before="0"/>
      </w:pPr>
      <w:r>
        <w:t>Entry-into-force provisions</w:t>
      </w:r>
    </w:p>
    <w:p w14:paraId="67EB8873" w14:textId="77777777" w:rsidR="00A2416E" w:rsidRDefault="00534832" w:rsidP="00066A85">
      <w:pPr>
        <w:pStyle w:val="Brdtext"/>
        <w:spacing w:before="140" w:line="461" w:lineRule="auto"/>
        <w:ind w:left="119" w:right="1588"/>
      </w:pPr>
      <w:r>
        <w:t>These regulations shall enter into force on 24 February 2021. On behalf of The Swedish Energy Agency</w:t>
      </w:r>
    </w:p>
    <w:p w14:paraId="51DE8E66" w14:textId="77777777" w:rsidR="00A2416E" w:rsidRDefault="00A2416E">
      <w:pPr>
        <w:spacing w:line="460" w:lineRule="auto"/>
        <w:sectPr w:rsidR="00A2416E">
          <w:pgSz w:w="9360" w:h="13720"/>
          <w:pgMar w:top="940" w:right="580" w:bottom="280" w:left="620" w:header="720" w:footer="720" w:gutter="0"/>
          <w:cols w:num="2" w:space="720" w:equalWidth="0">
            <w:col w:w="997" w:space="703"/>
            <w:col w:w="6460"/>
          </w:cols>
        </w:sectPr>
      </w:pPr>
    </w:p>
    <w:p w14:paraId="6209CB19" w14:textId="77777777" w:rsidR="00A2416E" w:rsidRDefault="00A2416E">
      <w:pPr>
        <w:pStyle w:val="Brdtext"/>
        <w:spacing w:before="8"/>
        <w:rPr>
          <w:sz w:val="28"/>
        </w:rPr>
      </w:pPr>
    </w:p>
    <w:p w14:paraId="2CC17B70" w14:textId="77777777" w:rsidR="00A2416E" w:rsidRDefault="00534832">
      <w:pPr>
        <w:pStyle w:val="Brdtext"/>
        <w:spacing w:before="92"/>
        <w:ind w:left="1817"/>
      </w:pPr>
      <w:r>
        <w:t xml:space="preserve">Robert </w:t>
      </w:r>
      <w:proofErr w:type="spellStart"/>
      <w:r>
        <w:t>Andrén</w:t>
      </w:r>
      <w:proofErr w:type="spellEnd"/>
    </w:p>
    <w:p w14:paraId="15A94D1C" w14:textId="77777777" w:rsidR="00A2416E" w:rsidRDefault="00A2416E">
      <w:pPr>
        <w:pStyle w:val="Brdtext"/>
        <w:spacing w:before="6"/>
        <w:rPr>
          <w:sz w:val="17"/>
        </w:rPr>
      </w:pPr>
    </w:p>
    <w:p w14:paraId="1AFFE159" w14:textId="77777777" w:rsidR="00A2416E" w:rsidRDefault="00534832">
      <w:pPr>
        <w:pStyle w:val="Brdtext"/>
        <w:ind w:left="3265" w:right="2636"/>
        <w:jc w:val="center"/>
      </w:pPr>
      <w:r>
        <w:t>Ulf Jonson</w:t>
      </w:r>
    </w:p>
    <w:p w14:paraId="6574D352" w14:textId="77777777" w:rsidR="00A2416E" w:rsidRDefault="00A2416E">
      <w:pPr>
        <w:pStyle w:val="Brdtext"/>
        <w:rPr>
          <w:sz w:val="20"/>
        </w:rPr>
      </w:pPr>
    </w:p>
    <w:p w14:paraId="4DDBCF46" w14:textId="77777777" w:rsidR="00A2416E" w:rsidRDefault="00A2416E">
      <w:pPr>
        <w:pStyle w:val="Brdtext"/>
        <w:rPr>
          <w:sz w:val="20"/>
        </w:rPr>
      </w:pPr>
    </w:p>
    <w:p w14:paraId="04AB8C25" w14:textId="77777777" w:rsidR="00A2416E" w:rsidRDefault="00A2416E">
      <w:pPr>
        <w:pStyle w:val="Brdtext"/>
        <w:rPr>
          <w:sz w:val="20"/>
        </w:rPr>
      </w:pPr>
    </w:p>
    <w:p w14:paraId="442C2781" w14:textId="77777777" w:rsidR="00A2416E" w:rsidRDefault="00A2416E">
      <w:pPr>
        <w:pStyle w:val="Brdtext"/>
        <w:rPr>
          <w:sz w:val="20"/>
        </w:rPr>
      </w:pPr>
    </w:p>
    <w:p w14:paraId="6CF46550" w14:textId="77777777" w:rsidR="00A2416E" w:rsidRDefault="00A2416E">
      <w:pPr>
        <w:pStyle w:val="Brdtext"/>
        <w:rPr>
          <w:sz w:val="20"/>
        </w:rPr>
      </w:pPr>
    </w:p>
    <w:p w14:paraId="76DFAC04" w14:textId="77777777" w:rsidR="00A2416E" w:rsidRDefault="00A2416E">
      <w:pPr>
        <w:pStyle w:val="Brdtext"/>
        <w:rPr>
          <w:sz w:val="20"/>
        </w:rPr>
      </w:pPr>
    </w:p>
    <w:p w14:paraId="7DD6FC54" w14:textId="77777777" w:rsidR="00A2416E" w:rsidRDefault="00A2416E">
      <w:pPr>
        <w:pStyle w:val="Brdtext"/>
        <w:rPr>
          <w:sz w:val="20"/>
        </w:rPr>
      </w:pPr>
    </w:p>
    <w:p w14:paraId="3B9B0B7E" w14:textId="77777777" w:rsidR="00A2416E" w:rsidRDefault="00A2416E">
      <w:pPr>
        <w:pStyle w:val="Brdtext"/>
        <w:rPr>
          <w:sz w:val="20"/>
        </w:rPr>
      </w:pPr>
    </w:p>
    <w:p w14:paraId="4614A6AE" w14:textId="77777777" w:rsidR="00A2416E" w:rsidRDefault="00A2416E">
      <w:pPr>
        <w:pStyle w:val="Brdtext"/>
        <w:rPr>
          <w:sz w:val="20"/>
        </w:rPr>
      </w:pPr>
    </w:p>
    <w:p w14:paraId="214B4D1C" w14:textId="77777777" w:rsidR="00A2416E" w:rsidRDefault="00A2416E">
      <w:pPr>
        <w:pStyle w:val="Brdtext"/>
        <w:rPr>
          <w:sz w:val="20"/>
        </w:rPr>
      </w:pPr>
    </w:p>
    <w:p w14:paraId="60D9F43A" w14:textId="77777777" w:rsidR="00A2416E" w:rsidRDefault="00A2416E">
      <w:pPr>
        <w:pStyle w:val="Brdtext"/>
        <w:spacing w:before="10"/>
        <w:rPr>
          <w:sz w:val="22"/>
        </w:rPr>
      </w:pPr>
    </w:p>
    <w:p w14:paraId="247B32BC" w14:textId="77777777" w:rsidR="00A2416E" w:rsidRDefault="00534832">
      <w:pPr>
        <w:pStyle w:val="Rubrik3"/>
        <w:spacing w:before="112"/>
      </w:pPr>
      <w:r>
        <w:t>4</w:t>
      </w:r>
    </w:p>
    <w:p w14:paraId="25560BB9" w14:textId="77777777" w:rsidR="00A2416E" w:rsidRDefault="00A2416E">
      <w:pPr>
        <w:sectPr w:rsidR="00A2416E">
          <w:type w:val="continuous"/>
          <w:pgSz w:w="9360" w:h="13720"/>
          <w:pgMar w:top="900" w:right="580" w:bottom="280" w:left="620" w:header="720" w:footer="720" w:gutter="0"/>
          <w:cols w:space="720"/>
        </w:sectPr>
      </w:pPr>
    </w:p>
    <w:p w14:paraId="710C7F3D" w14:textId="77777777" w:rsidR="00A2416E" w:rsidRDefault="00534832">
      <w:pPr>
        <w:spacing w:before="71"/>
        <w:ind w:right="38"/>
        <w:jc w:val="right"/>
        <w:rPr>
          <w:b/>
          <w:sz w:val="26"/>
        </w:rPr>
      </w:pPr>
      <w:bookmarkStart w:id="5" w:name="Bilaga_1"/>
      <w:bookmarkStart w:id="6" w:name="Genomsnittliga_normalvärden_för_växthusg"/>
      <w:bookmarkEnd w:id="5"/>
      <w:bookmarkEnd w:id="6"/>
      <w:r>
        <w:rPr>
          <w:b/>
          <w:sz w:val="26"/>
        </w:rPr>
        <w:lastRenderedPageBreak/>
        <w:t>Annex 1</w:t>
      </w:r>
    </w:p>
    <w:p w14:paraId="077A287F" w14:textId="77777777" w:rsidR="00A2416E" w:rsidRDefault="00A2416E">
      <w:pPr>
        <w:pStyle w:val="Brdtext"/>
        <w:spacing w:before="6"/>
        <w:rPr>
          <w:b/>
          <w:sz w:val="28"/>
        </w:rPr>
      </w:pPr>
    </w:p>
    <w:p w14:paraId="747041D0" w14:textId="77777777" w:rsidR="00A2416E" w:rsidRDefault="00534832">
      <w:pPr>
        <w:spacing w:line="228" w:lineRule="auto"/>
        <w:ind w:left="400"/>
        <w:rPr>
          <w:b/>
        </w:rPr>
      </w:pPr>
      <w:r>
        <w:rPr>
          <w:b/>
        </w:rPr>
        <w:t>Average life cycle normal greenhouse gas intensity for fossil fuel components</w:t>
      </w:r>
    </w:p>
    <w:p w14:paraId="1199B2D0" w14:textId="77777777" w:rsidR="00A2416E" w:rsidRDefault="00534832">
      <w:pPr>
        <w:pStyle w:val="Rubrik2"/>
        <w:spacing w:before="93" w:line="228" w:lineRule="auto"/>
        <w:ind w:left="400" w:right="134"/>
      </w:pPr>
      <w:r>
        <w:br w:type="column"/>
      </w:r>
      <w:r>
        <w:t>STEMFS 2021:2</w:t>
      </w:r>
    </w:p>
    <w:p w14:paraId="506D9EEB" w14:textId="77777777" w:rsidR="00A2416E" w:rsidRDefault="00A2416E">
      <w:pPr>
        <w:spacing w:line="228" w:lineRule="auto"/>
        <w:sectPr w:rsidR="00A2416E">
          <w:pgSz w:w="9360" w:h="13720"/>
          <w:pgMar w:top="920" w:right="580" w:bottom="280" w:left="620" w:header="720" w:footer="720" w:gutter="0"/>
          <w:cols w:num="2" w:space="720" w:equalWidth="0">
            <w:col w:w="6337" w:space="428"/>
            <w:col w:w="1395"/>
          </w:cols>
        </w:sectPr>
      </w:pPr>
    </w:p>
    <w:p w14:paraId="1876708B" w14:textId="77777777" w:rsidR="00A2416E" w:rsidRDefault="00A2416E">
      <w:pPr>
        <w:pStyle w:val="Brdtext"/>
        <w:spacing w:before="9"/>
        <w:rPr>
          <w:b/>
          <w:sz w:val="17"/>
        </w:rPr>
      </w:pPr>
    </w:p>
    <w:tbl>
      <w:tblPr>
        <w:tblStyle w:val="TableNormal1"/>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0"/>
        <w:gridCol w:w="1803"/>
        <w:gridCol w:w="1361"/>
        <w:gridCol w:w="1574"/>
      </w:tblGrid>
      <w:tr w:rsidR="00A2416E" w14:paraId="13BAB754" w14:textId="77777777">
        <w:trPr>
          <w:trHeight w:val="895"/>
        </w:trPr>
        <w:tc>
          <w:tcPr>
            <w:tcW w:w="2230" w:type="dxa"/>
            <w:tcBorders>
              <w:left w:val="nil"/>
              <w:right w:val="single" w:sz="6" w:space="0" w:color="000000"/>
            </w:tcBorders>
          </w:tcPr>
          <w:p w14:paraId="12C84FCD" w14:textId="77777777" w:rsidR="00A2416E" w:rsidRDefault="00534832">
            <w:pPr>
              <w:pStyle w:val="TableParagraph"/>
              <w:spacing w:before="67"/>
              <w:ind w:left="7"/>
              <w:rPr>
                <w:b/>
                <w:sz w:val="16"/>
              </w:rPr>
            </w:pPr>
            <w:r>
              <w:rPr>
                <w:b/>
                <w:sz w:val="16"/>
              </w:rPr>
              <w:t>Raw material source and process</w:t>
            </w:r>
          </w:p>
        </w:tc>
        <w:tc>
          <w:tcPr>
            <w:tcW w:w="1803" w:type="dxa"/>
            <w:tcBorders>
              <w:left w:val="single" w:sz="6" w:space="0" w:color="000000"/>
              <w:right w:val="single" w:sz="6" w:space="0" w:color="000000"/>
            </w:tcBorders>
          </w:tcPr>
          <w:p w14:paraId="29AA3401" w14:textId="77777777" w:rsidR="00A2416E" w:rsidRDefault="00534832">
            <w:pPr>
              <w:pStyle w:val="TableParagraph"/>
              <w:spacing w:before="67" w:line="247" w:lineRule="auto"/>
              <w:ind w:right="113"/>
              <w:rPr>
                <w:b/>
                <w:sz w:val="16"/>
              </w:rPr>
            </w:pPr>
            <w:r>
              <w:rPr>
                <w:b/>
                <w:sz w:val="16"/>
              </w:rPr>
              <w:t>Fuel placed on the market</w:t>
            </w:r>
          </w:p>
        </w:tc>
        <w:tc>
          <w:tcPr>
            <w:tcW w:w="1361" w:type="dxa"/>
            <w:tcBorders>
              <w:left w:val="single" w:sz="6" w:space="0" w:color="000000"/>
              <w:right w:val="single" w:sz="6" w:space="0" w:color="000000"/>
            </w:tcBorders>
          </w:tcPr>
          <w:p w14:paraId="0199DD9D" w14:textId="77777777" w:rsidR="00A2416E" w:rsidRDefault="00534832">
            <w:pPr>
              <w:pStyle w:val="TableParagraph"/>
              <w:spacing w:before="67" w:line="247" w:lineRule="auto"/>
              <w:ind w:right="134"/>
              <w:rPr>
                <w:b/>
                <w:sz w:val="16"/>
              </w:rPr>
            </w:pPr>
            <w:r>
              <w:rPr>
                <w:b/>
                <w:sz w:val="16"/>
              </w:rPr>
              <w:t>Life cycle greenhouse gas intensity (gCO</w:t>
            </w:r>
            <w:r>
              <w:rPr>
                <w:b/>
                <w:sz w:val="9"/>
              </w:rPr>
              <w:t>2</w:t>
            </w:r>
            <w:r>
              <w:rPr>
                <w:b/>
                <w:sz w:val="16"/>
              </w:rPr>
              <w:t>eq/MJ)</w:t>
            </w:r>
          </w:p>
        </w:tc>
        <w:tc>
          <w:tcPr>
            <w:tcW w:w="1574" w:type="dxa"/>
            <w:tcBorders>
              <w:left w:val="single" w:sz="6" w:space="0" w:color="000000"/>
              <w:right w:val="nil"/>
            </w:tcBorders>
          </w:tcPr>
          <w:p w14:paraId="06D77BF2" w14:textId="77777777" w:rsidR="00A2416E" w:rsidRDefault="00534832">
            <w:pPr>
              <w:pStyle w:val="TableParagraph"/>
              <w:spacing w:before="67" w:line="247" w:lineRule="auto"/>
              <w:ind w:right="114"/>
              <w:rPr>
                <w:b/>
                <w:sz w:val="16"/>
              </w:rPr>
            </w:pPr>
            <w:r>
              <w:rPr>
                <w:b/>
                <w:sz w:val="16"/>
              </w:rPr>
              <w:t>Weighted life cycle greenhouse gas intensity (gCO</w:t>
            </w:r>
            <w:r>
              <w:rPr>
                <w:b/>
                <w:sz w:val="9"/>
              </w:rPr>
              <w:t>2</w:t>
            </w:r>
            <w:r>
              <w:rPr>
                <w:b/>
                <w:sz w:val="16"/>
              </w:rPr>
              <w:t>eq/MJ)</w:t>
            </w:r>
          </w:p>
        </w:tc>
      </w:tr>
      <w:tr w:rsidR="00A2416E" w14:paraId="3873426A" w14:textId="77777777">
        <w:trPr>
          <w:trHeight w:val="280"/>
        </w:trPr>
        <w:tc>
          <w:tcPr>
            <w:tcW w:w="2230" w:type="dxa"/>
            <w:tcBorders>
              <w:left w:val="nil"/>
              <w:bottom w:val="single" w:sz="6" w:space="0" w:color="000000"/>
              <w:right w:val="single" w:sz="6" w:space="0" w:color="000000"/>
            </w:tcBorders>
          </w:tcPr>
          <w:p w14:paraId="7D17CA45" w14:textId="77777777" w:rsidR="00A2416E" w:rsidRDefault="00534832">
            <w:pPr>
              <w:pStyle w:val="TableParagraph"/>
              <w:spacing w:before="44"/>
              <w:ind w:left="7"/>
              <w:rPr>
                <w:sz w:val="10"/>
              </w:rPr>
            </w:pPr>
            <w:r>
              <w:rPr>
                <w:sz w:val="17"/>
              </w:rPr>
              <w:t>Conventional crude oil</w:t>
            </w:r>
            <w:r>
              <w:rPr>
                <w:sz w:val="10"/>
              </w:rPr>
              <w:t>1</w:t>
            </w:r>
          </w:p>
        </w:tc>
        <w:tc>
          <w:tcPr>
            <w:tcW w:w="1803" w:type="dxa"/>
            <w:vMerge w:val="restart"/>
            <w:tcBorders>
              <w:left w:val="single" w:sz="6" w:space="0" w:color="000000"/>
              <w:bottom w:val="single" w:sz="6" w:space="0" w:color="000000"/>
              <w:right w:val="single" w:sz="6" w:space="0" w:color="000000"/>
            </w:tcBorders>
          </w:tcPr>
          <w:p w14:paraId="14B7BCD5" w14:textId="77777777" w:rsidR="00A2416E" w:rsidRDefault="00534832">
            <w:pPr>
              <w:pStyle w:val="TableParagraph"/>
              <w:spacing w:before="44"/>
              <w:rPr>
                <w:sz w:val="17"/>
              </w:rPr>
            </w:pPr>
            <w:r>
              <w:rPr>
                <w:sz w:val="17"/>
              </w:rPr>
              <w:t>Petrol</w:t>
            </w:r>
          </w:p>
        </w:tc>
        <w:tc>
          <w:tcPr>
            <w:tcW w:w="1361" w:type="dxa"/>
            <w:tcBorders>
              <w:left w:val="single" w:sz="6" w:space="0" w:color="000000"/>
              <w:bottom w:val="single" w:sz="6" w:space="0" w:color="000000"/>
              <w:right w:val="single" w:sz="6" w:space="0" w:color="000000"/>
            </w:tcBorders>
          </w:tcPr>
          <w:p w14:paraId="67D3E7B5" w14:textId="77777777" w:rsidR="00A2416E" w:rsidRDefault="00534832">
            <w:pPr>
              <w:pStyle w:val="TableParagraph"/>
              <w:spacing w:before="44"/>
              <w:rPr>
                <w:sz w:val="17"/>
              </w:rPr>
            </w:pPr>
            <w:r>
              <w:rPr>
                <w:sz w:val="17"/>
              </w:rPr>
              <w:t>93.2</w:t>
            </w:r>
          </w:p>
        </w:tc>
        <w:tc>
          <w:tcPr>
            <w:tcW w:w="1574" w:type="dxa"/>
            <w:tcBorders>
              <w:left w:val="single" w:sz="6" w:space="0" w:color="000000"/>
              <w:bottom w:val="single" w:sz="6" w:space="0" w:color="000000"/>
              <w:right w:val="nil"/>
            </w:tcBorders>
          </w:tcPr>
          <w:p w14:paraId="476CEAA9" w14:textId="77777777" w:rsidR="00A2416E" w:rsidRDefault="00534832">
            <w:pPr>
              <w:pStyle w:val="TableParagraph"/>
              <w:spacing w:before="44"/>
              <w:rPr>
                <w:sz w:val="17"/>
              </w:rPr>
            </w:pPr>
            <w:r>
              <w:rPr>
                <w:sz w:val="17"/>
              </w:rPr>
              <w:t>93.3</w:t>
            </w:r>
          </w:p>
        </w:tc>
      </w:tr>
      <w:tr w:rsidR="00A2416E" w14:paraId="73B9A7AC" w14:textId="77777777">
        <w:trPr>
          <w:trHeight w:val="272"/>
        </w:trPr>
        <w:tc>
          <w:tcPr>
            <w:tcW w:w="2230" w:type="dxa"/>
            <w:tcBorders>
              <w:top w:val="single" w:sz="6" w:space="0" w:color="000000"/>
              <w:left w:val="nil"/>
              <w:bottom w:val="single" w:sz="6" w:space="0" w:color="000000"/>
              <w:right w:val="single" w:sz="6" w:space="0" w:color="000000"/>
            </w:tcBorders>
          </w:tcPr>
          <w:p w14:paraId="38C7C15D" w14:textId="77777777" w:rsidR="00A2416E" w:rsidRDefault="00534832">
            <w:pPr>
              <w:pStyle w:val="TableParagraph"/>
              <w:ind w:left="7"/>
              <w:rPr>
                <w:sz w:val="17"/>
              </w:rPr>
            </w:pPr>
            <w:r>
              <w:rPr>
                <w:sz w:val="17"/>
              </w:rPr>
              <w:t>Liquefied natural gas</w:t>
            </w:r>
          </w:p>
        </w:tc>
        <w:tc>
          <w:tcPr>
            <w:tcW w:w="1803" w:type="dxa"/>
            <w:vMerge/>
            <w:tcBorders>
              <w:top w:val="nil"/>
              <w:left w:val="single" w:sz="6" w:space="0" w:color="000000"/>
              <w:bottom w:val="single" w:sz="6" w:space="0" w:color="000000"/>
              <w:right w:val="single" w:sz="6" w:space="0" w:color="000000"/>
            </w:tcBorders>
          </w:tcPr>
          <w:p w14:paraId="6251D2FE"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78183BAD" w14:textId="77777777" w:rsidR="00A2416E" w:rsidRDefault="00534832">
            <w:pPr>
              <w:pStyle w:val="TableParagraph"/>
              <w:rPr>
                <w:sz w:val="17"/>
              </w:rPr>
            </w:pPr>
            <w:r>
              <w:rPr>
                <w:sz w:val="17"/>
              </w:rPr>
              <w:t>94.3</w:t>
            </w:r>
          </w:p>
        </w:tc>
        <w:tc>
          <w:tcPr>
            <w:tcW w:w="1574" w:type="dxa"/>
            <w:tcBorders>
              <w:top w:val="single" w:sz="6" w:space="0" w:color="000000"/>
              <w:left w:val="single" w:sz="6" w:space="0" w:color="000000"/>
              <w:bottom w:val="single" w:sz="6" w:space="0" w:color="000000"/>
              <w:right w:val="nil"/>
            </w:tcBorders>
          </w:tcPr>
          <w:p w14:paraId="54B66125" w14:textId="77777777" w:rsidR="00A2416E" w:rsidRDefault="00A2416E">
            <w:pPr>
              <w:pStyle w:val="TableParagraph"/>
              <w:spacing w:before="0"/>
              <w:ind w:left="0"/>
              <w:rPr>
                <w:sz w:val="16"/>
              </w:rPr>
            </w:pPr>
          </w:p>
        </w:tc>
      </w:tr>
      <w:tr w:rsidR="00A2416E" w14:paraId="4BAF8354" w14:textId="77777777">
        <w:trPr>
          <w:trHeight w:val="462"/>
        </w:trPr>
        <w:tc>
          <w:tcPr>
            <w:tcW w:w="2230" w:type="dxa"/>
            <w:tcBorders>
              <w:top w:val="single" w:sz="6" w:space="0" w:color="000000"/>
              <w:left w:val="nil"/>
              <w:bottom w:val="single" w:sz="6" w:space="0" w:color="000000"/>
              <w:right w:val="single" w:sz="6" w:space="0" w:color="000000"/>
            </w:tcBorders>
          </w:tcPr>
          <w:p w14:paraId="34626C85" w14:textId="77777777" w:rsidR="00A2416E" w:rsidRDefault="00534832">
            <w:pPr>
              <w:pStyle w:val="TableParagraph"/>
              <w:spacing w:before="41" w:line="232" w:lineRule="auto"/>
              <w:ind w:left="7" w:right="396"/>
              <w:rPr>
                <w:sz w:val="17"/>
              </w:rPr>
            </w:pPr>
            <w:r>
              <w:rPr>
                <w:sz w:val="17"/>
              </w:rPr>
              <w:t>Synthetic oil obtained from coal</w:t>
            </w:r>
          </w:p>
        </w:tc>
        <w:tc>
          <w:tcPr>
            <w:tcW w:w="1803" w:type="dxa"/>
            <w:vMerge/>
            <w:tcBorders>
              <w:top w:val="nil"/>
              <w:left w:val="single" w:sz="6" w:space="0" w:color="000000"/>
              <w:bottom w:val="single" w:sz="6" w:space="0" w:color="000000"/>
              <w:right w:val="single" w:sz="6" w:space="0" w:color="000000"/>
            </w:tcBorders>
          </w:tcPr>
          <w:p w14:paraId="3EE9E7AF"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2E69F559" w14:textId="77777777" w:rsidR="00A2416E" w:rsidRDefault="00534832">
            <w:pPr>
              <w:pStyle w:val="TableParagraph"/>
              <w:rPr>
                <w:sz w:val="17"/>
              </w:rPr>
            </w:pPr>
            <w:r>
              <w:rPr>
                <w:sz w:val="17"/>
              </w:rPr>
              <w:t>172</w:t>
            </w:r>
          </w:p>
        </w:tc>
        <w:tc>
          <w:tcPr>
            <w:tcW w:w="1574" w:type="dxa"/>
            <w:tcBorders>
              <w:top w:val="single" w:sz="6" w:space="0" w:color="000000"/>
              <w:left w:val="single" w:sz="6" w:space="0" w:color="000000"/>
              <w:bottom w:val="single" w:sz="6" w:space="0" w:color="000000"/>
              <w:right w:val="nil"/>
            </w:tcBorders>
          </w:tcPr>
          <w:p w14:paraId="31F629D4" w14:textId="77777777" w:rsidR="00A2416E" w:rsidRDefault="00A2416E">
            <w:pPr>
              <w:pStyle w:val="TableParagraph"/>
              <w:spacing w:before="0"/>
              <w:ind w:left="0"/>
              <w:rPr>
                <w:sz w:val="16"/>
              </w:rPr>
            </w:pPr>
          </w:p>
        </w:tc>
      </w:tr>
      <w:tr w:rsidR="00A2416E" w14:paraId="12BEE648" w14:textId="77777777">
        <w:trPr>
          <w:trHeight w:val="272"/>
        </w:trPr>
        <w:tc>
          <w:tcPr>
            <w:tcW w:w="2230" w:type="dxa"/>
            <w:tcBorders>
              <w:top w:val="single" w:sz="6" w:space="0" w:color="000000"/>
              <w:left w:val="nil"/>
              <w:bottom w:val="single" w:sz="6" w:space="0" w:color="000000"/>
              <w:right w:val="single" w:sz="6" w:space="0" w:color="000000"/>
            </w:tcBorders>
          </w:tcPr>
          <w:p w14:paraId="274E1B23" w14:textId="77777777" w:rsidR="00A2416E" w:rsidRDefault="00534832">
            <w:pPr>
              <w:pStyle w:val="TableParagraph"/>
              <w:ind w:left="7"/>
              <w:rPr>
                <w:sz w:val="10"/>
              </w:rPr>
            </w:pPr>
            <w:r>
              <w:rPr>
                <w:sz w:val="17"/>
              </w:rPr>
              <w:t>Natural bitumen</w:t>
            </w:r>
            <w:r>
              <w:rPr>
                <w:sz w:val="10"/>
              </w:rPr>
              <w:t>2</w:t>
            </w:r>
          </w:p>
        </w:tc>
        <w:tc>
          <w:tcPr>
            <w:tcW w:w="1803" w:type="dxa"/>
            <w:vMerge/>
            <w:tcBorders>
              <w:top w:val="nil"/>
              <w:left w:val="single" w:sz="6" w:space="0" w:color="000000"/>
              <w:bottom w:val="single" w:sz="6" w:space="0" w:color="000000"/>
              <w:right w:val="single" w:sz="6" w:space="0" w:color="000000"/>
            </w:tcBorders>
          </w:tcPr>
          <w:p w14:paraId="7A73DD96"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4A08B575" w14:textId="77777777" w:rsidR="00A2416E" w:rsidRDefault="00534832">
            <w:pPr>
              <w:pStyle w:val="TableParagraph"/>
              <w:rPr>
                <w:sz w:val="17"/>
              </w:rPr>
            </w:pPr>
            <w:r>
              <w:rPr>
                <w:sz w:val="17"/>
              </w:rPr>
              <w:t>107</w:t>
            </w:r>
          </w:p>
        </w:tc>
        <w:tc>
          <w:tcPr>
            <w:tcW w:w="1574" w:type="dxa"/>
            <w:tcBorders>
              <w:top w:val="single" w:sz="6" w:space="0" w:color="000000"/>
              <w:left w:val="single" w:sz="6" w:space="0" w:color="000000"/>
              <w:bottom w:val="single" w:sz="6" w:space="0" w:color="000000"/>
              <w:right w:val="nil"/>
            </w:tcBorders>
          </w:tcPr>
          <w:p w14:paraId="4B262DFB" w14:textId="77777777" w:rsidR="00A2416E" w:rsidRDefault="00A2416E">
            <w:pPr>
              <w:pStyle w:val="TableParagraph"/>
              <w:spacing w:before="0"/>
              <w:ind w:left="0"/>
              <w:rPr>
                <w:sz w:val="16"/>
              </w:rPr>
            </w:pPr>
          </w:p>
        </w:tc>
      </w:tr>
      <w:tr w:rsidR="00A2416E" w14:paraId="417E91C6" w14:textId="77777777">
        <w:trPr>
          <w:trHeight w:val="272"/>
        </w:trPr>
        <w:tc>
          <w:tcPr>
            <w:tcW w:w="2230" w:type="dxa"/>
            <w:tcBorders>
              <w:top w:val="single" w:sz="6" w:space="0" w:color="000000"/>
              <w:left w:val="nil"/>
              <w:bottom w:val="single" w:sz="6" w:space="0" w:color="000000"/>
              <w:right w:val="single" w:sz="6" w:space="0" w:color="000000"/>
            </w:tcBorders>
          </w:tcPr>
          <w:p w14:paraId="40950171" w14:textId="77777777" w:rsidR="00A2416E" w:rsidRDefault="00534832">
            <w:pPr>
              <w:pStyle w:val="TableParagraph"/>
              <w:ind w:left="7"/>
              <w:rPr>
                <w:sz w:val="10"/>
              </w:rPr>
            </w:pPr>
            <w:r>
              <w:rPr>
                <w:sz w:val="17"/>
              </w:rPr>
              <w:t>Oil shale</w:t>
            </w:r>
            <w:r>
              <w:rPr>
                <w:sz w:val="10"/>
              </w:rPr>
              <w:t>3</w:t>
            </w:r>
          </w:p>
        </w:tc>
        <w:tc>
          <w:tcPr>
            <w:tcW w:w="1803" w:type="dxa"/>
            <w:vMerge/>
            <w:tcBorders>
              <w:top w:val="nil"/>
              <w:left w:val="single" w:sz="6" w:space="0" w:color="000000"/>
              <w:bottom w:val="single" w:sz="6" w:space="0" w:color="000000"/>
              <w:right w:val="single" w:sz="6" w:space="0" w:color="000000"/>
            </w:tcBorders>
          </w:tcPr>
          <w:p w14:paraId="2F65291D"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56E707F0" w14:textId="77777777" w:rsidR="00A2416E" w:rsidRDefault="00534832">
            <w:pPr>
              <w:pStyle w:val="TableParagraph"/>
              <w:rPr>
                <w:sz w:val="17"/>
              </w:rPr>
            </w:pPr>
            <w:r>
              <w:rPr>
                <w:sz w:val="17"/>
              </w:rPr>
              <w:t>131.3</w:t>
            </w:r>
          </w:p>
        </w:tc>
        <w:tc>
          <w:tcPr>
            <w:tcW w:w="1574" w:type="dxa"/>
            <w:tcBorders>
              <w:top w:val="single" w:sz="6" w:space="0" w:color="000000"/>
              <w:left w:val="single" w:sz="6" w:space="0" w:color="000000"/>
              <w:bottom w:val="single" w:sz="6" w:space="0" w:color="000000"/>
              <w:right w:val="nil"/>
            </w:tcBorders>
          </w:tcPr>
          <w:p w14:paraId="78286A2F" w14:textId="77777777" w:rsidR="00A2416E" w:rsidRDefault="00A2416E">
            <w:pPr>
              <w:pStyle w:val="TableParagraph"/>
              <w:spacing w:before="0"/>
              <w:ind w:left="0"/>
              <w:rPr>
                <w:sz w:val="16"/>
              </w:rPr>
            </w:pPr>
          </w:p>
        </w:tc>
      </w:tr>
      <w:tr w:rsidR="00A2416E" w14:paraId="7B1F697D" w14:textId="77777777">
        <w:trPr>
          <w:trHeight w:val="272"/>
        </w:trPr>
        <w:tc>
          <w:tcPr>
            <w:tcW w:w="2230" w:type="dxa"/>
            <w:tcBorders>
              <w:top w:val="single" w:sz="6" w:space="0" w:color="000000"/>
              <w:left w:val="nil"/>
              <w:bottom w:val="single" w:sz="6" w:space="0" w:color="000000"/>
              <w:right w:val="single" w:sz="6" w:space="0" w:color="000000"/>
            </w:tcBorders>
          </w:tcPr>
          <w:p w14:paraId="2FAB26C8" w14:textId="77777777" w:rsidR="00A2416E" w:rsidRDefault="00534832">
            <w:pPr>
              <w:pStyle w:val="TableParagraph"/>
              <w:ind w:left="7"/>
              <w:rPr>
                <w:sz w:val="10"/>
              </w:rPr>
            </w:pPr>
            <w:r>
              <w:rPr>
                <w:sz w:val="17"/>
              </w:rPr>
              <w:t>Conventional crude oil</w:t>
            </w:r>
            <w:r>
              <w:rPr>
                <w:sz w:val="10"/>
              </w:rPr>
              <w:t>1</w:t>
            </w:r>
          </w:p>
        </w:tc>
        <w:tc>
          <w:tcPr>
            <w:tcW w:w="1803" w:type="dxa"/>
            <w:vMerge w:val="restart"/>
            <w:tcBorders>
              <w:top w:val="single" w:sz="6" w:space="0" w:color="000000"/>
              <w:left w:val="single" w:sz="6" w:space="0" w:color="000000"/>
              <w:bottom w:val="single" w:sz="6" w:space="0" w:color="000000"/>
              <w:right w:val="single" w:sz="6" w:space="0" w:color="000000"/>
            </w:tcBorders>
          </w:tcPr>
          <w:p w14:paraId="53FB95EE" w14:textId="77777777" w:rsidR="00A2416E" w:rsidRDefault="00534832">
            <w:pPr>
              <w:pStyle w:val="TableParagraph"/>
              <w:rPr>
                <w:sz w:val="17"/>
              </w:rPr>
            </w:pPr>
            <w:r>
              <w:rPr>
                <w:sz w:val="17"/>
              </w:rPr>
              <w:t>Diesel or gas oil</w:t>
            </w:r>
          </w:p>
        </w:tc>
        <w:tc>
          <w:tcPr>
            <w:tcW w:w="1361" w:type="dxa"/>
            <w:tcBorders>
              <w:top w:val="single" w:sz="6" w:space="0" w:color="000000"/>
              <w:left w:val="single" w:sz="6" w:space="0" w:color="000000"/>
              <w:bottom w:val="single" w:sz="6" w:space="0" w:color="000000"/>
              <w:right w:val="single" w:sz="6" w:space="0" w:color="000000"/>
            </w:tcBorders>
          </w:tcPr>
          <w:p w14:paraId="75B3AC0A" w14:textId="77777777" w:rsidR="00A2416E" w:rsidRDefault="00534832">
            <w:pPr>
              <w:pStyle w:val="TableParagraph"/>
              <w:rPr>
                <w:sz w:val="17"/>
              </w:rPr>
            </w:pPr>
            <w:r>
              <w:rPr>
                <w:sz w:val="17"/>
              </w:rPr>
              <w:t>95</w:t>
            </w:r>
          </w:p>
        </w:tc>
        <w:tc>
          <w:tcPr>
            <w:tcW w:w="1574" w:type="dxa"/>
            <w:tcBorders>
              <w:top w:val="single" w:sz="6" w:space="0" w:color="000000"/>
              <w:left w:val="single" w:sz="6" w:space="0" w:color="000000"/>
              <w:bottom w:val="single" w:sz="6" w:space="0" w:color="000000"/>
              <w:right w:val="nil"/>
            </w:tcBorders>
          </w:tcPr>
          <w:p w14:paraId="08DC0102" w14:textId="77777777" w:rsidR="00A2416E" w:rsidRDefault="00534832">
            <w:pPr>
              <w:pStyle w:val="TableParagraph"/>
              <w:rPr>
                <w:sz w:val="17"/>
              </w:rPr>
            </w:pPr>
            <w:r>
              <w:rPr>
                <w:sz w:val="17"/>
              </w:rPr>
              <w:t>95.1</w:t>
            </w:r>
          </w:p>
        </w:tc>
      </w:tr>
      <w:tr w:rsidR="00A2416E" w14:paraId="45915519" w14:textId="77777777">
        <w:trPr>
          <w:trHeight w:val="272"/>
        </w:trPr>
        <w:tc>
          <w:tcPr>
            <w:tcW w:w="2230" w:type="dxa"/>
            <w:tcBorders>
              <w:top w:val="single" w:sz="6" w:space="0" w:color="000000"/>
              <w:left w:val="nil"/>
              <w:bottom w:val="single" w:sz="6" w:space="0" w:color="000000"/>
              <w:right w:val="single" w:sz="6" w:space="0" w:color="000000"/>
            </w:tcBorders>
          </w:tcPr>
          <w:p w14:paraId="7F1ED059" w14:textId="77777777" w:rsidR="00A2416E" w:rsidRDefault="00534832">
            <w:pPr>
              <w:pStyle w:val="TableParagraph"/>
              <w:ind w:left="7"/>
              <w:rPr>
                <w:sz w:val="17"/>
              </w:rPr>
            </w:pPr>
            <w:r>
              <w:rPr>
                <w:sz w:val="17"/>
              </w:rPr>
              <w:t>Liquefied natural gas</w:t>
            </w:r>
          </w:p>
        </w:tc>
        <w:tc>
          <w:tcPr>
            <w:tcW w:w="1803" w:type="dxa"/>
            <w:vMerge/>
            <w:tcBorders>
              <w:top w:val="nil"/>
              <w:left w:val="single" w:sz="6" w:space="0" w:color="000000"/>
              <w:bottom w:val="single" w:sz="6" w:space="0" w:color="000000"/>
              <w:right w:val="single" w:sz="6" w:space="0" w:color="000000"/>
            </w:tcBorders>
          </w:tcPr>
          <w:p w14:paraId="5C2BF4EB"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1D5FCEB0" w14:textId="77777777" w:rsidR="00A2416E" w:rsidRDefault="00534832">
            <w:pPr>
              <w:pStyle w:val="TableParagraph"/>
              <w:rPr>
                <w:sz w:val="17"/>
              </w:rPr>
            </w:pPr>
            <w:r>
              <w:rPr>
                <w:sz w:val="17"/>
              </w:rPr>
              <w:t>94.3</w:t>
            </w:r>
          </w:p>
        </w:tc>
        <w:tc>
          <w:tcPr>
            <w:tcW w:w="1574" w:type="dxa"/>
            <w:tcBorders>
              <w:top w:val="single" w:sz="6" w:space="0" w:color="000000"/>
              <w:left w:val="single" w:sz="6" w:space="0" w:color="000000"/>
              <w:bottom w:val="single" w:sz="6" w:space="0" w:color="000000"/>
              <w:right w:val="nil"/>
            </w:tcBorders>
          </w:tcPr>
          <w:p w14:paraId="7F88FE51" w14:textId="77777777" w:rsidR="00A2416E" w:rsidRDefault="00A2416E">
            <w:pPr>
              <w:pStyle w:val="TableParagraph"/>
              <w:spacing w:before="0"/>
              <w:ind w:left="0"/>
              <w:rPr>
                <w:sz w:val="16"/>
              </w:rPr>
            </w:pPr>
          </w:p>
        </w:tc>
      </w:tr>
      <w:tr w:rsidR="00A2416E" w14:paraId="4428360F" w14:textId="77777777">
        <w:trPr>
          <w:trHeight w:val="462"/>
        </w:trPr>
        <w:tc>
          <w:tcPr>
            <w:tcW w:w="2230" w:type="dxa"/>
            <w:tcBorders>
              <w:top w:val="single" w:sz="6" w:space="0" w:color="000000"/>
              <w:left w:val="nil"/>
              <w:bottom w:val="single" w:sz="6" w:space="0" w:color="000000"/>
              <w:right w:val="single" w:sz="6" w:space="0" w:color="000000"/>
            </w:tcBorders>
          </w:tcPr>
          <w:p w14:paraId="737A7AAB" w14:textId="77777777" w:rsidR="00A2416E" w:rsidRDefault="00534832">
            <w:pPr>
              <w:pStyle w:val="TableParagraph"/>
              <w:spacing w:before="41" w:line="232" w:lineRule="auto"/>
              <w:ind w:left="7" w:right="396"/>
              <w:rPr>
                <w:sz w:val="17"/>
              </w:rPr>
            </w:pPr>
            <w:r>
              <w:rPr>
                <w:sz w:val="17"/>
              </w:rPr>
              <w:t>Synthetic oil obtained from coal</w:t>
            </w:r>
          </w:p>
        </w:tc>
        <w:tc>
          <w:tcPr>
            <w:tcW w:w="1803" w:type="dxa"/>
            <w:vMerge/>
            <w:tcBorders>
              <w:top w:val="nil"/>
              <w:left w:val="single" w:sz="6" w:space="0" w:color="000000"/>
              <w:bottom w:val="single" w:sz="6" w:space="0" w:color="000000"/>
              <w:right w:val="single" w:sz="6" w:space="0" w:color="000000"/>
            </w:tcBorders>
          </w:tcPr>
          <w:p w14:paraId="3CC0E31D"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4ED5A614" w14:textId="77777777" w:rsidR="00A2416E" w:rsidRDefault="00534832">
            <w:pPr>
              <w:pStyle w:val="TableParagraph"/>
              <w:rPr>
                <w:sz w:val="17"/>
              </w:rPr>
            </w:pPr>
            <w:r>
              <w:rPr>
                <w:sz w:val="17"/>
              </w:rPr>
              <w:t>172</w:t>
            </w:r>
          </w:p>
        </w:tc>
        <w:tc>
          <w:tcPr>
            <w:tcW w:w="1574" w:type="dxa"/>
            <w:tcBorders>
              <w:top w:val="single" w:sz="6" w:space="0" w:color="000000"/>
              <w:left w:val="single" w:sz="6" w:space="0" w:color="000000"/>
              <w:bottom w:val="single" w:sz="6" w:space="0" w:color="000000"/>
              <w:right w:val="nil"/>
            </w:tcBorders>
          </w:tcPr>
          <w:p w14:paraId="75511F3C" w14:textId="77777777" w:rsidR="00A2416E" w:rsidRDefault="00A2416E">
            <w:pPr>
              <w:pStyle w:val="TableParagraph"/>
              <w:spacing w:before="0"/>
              <w:ind w:left="0"/>
              <w:rPr>
                <w:sz w:val="16"/>
              </w:rPr>
            </w:pPr>
          </w:p>
        </w:tc>
      </w:tr>
      <w:tr w:rsidR="00A2416E" w14:paraId="70AAD108" w14:textId="77777777">
        <w:trPr>
          <w:trHeight w:val="272"/>
        </w:trPr>
        <w:tc>
          <w:tcPr>
            <w:tcW w:w="2230" w:type="dxa"/>
            <w:tcBorders>
              <w:top w:val="single" w:sz="6" w:space="0" w:color="000000"/>
              <w:left w:val="nil"/>
              <w:bottom w:val="single" w:sz="6" w:space="0" w:color="000000"/>
              <w:right w:val="single" w:sz="6" w:space="0" w:color="000000"/>
            </w:tcBorders>
          </w:tcPr>
          <w:p w14:paraId="55AEC1A1" w14:textId="77777777" w:rsidR="00A2416E" w:rsidRDefault="00534832">
            <w:pPr>
              <w:pStyle w:val="TableParagraph"/>
              <w:ind w:left="7"/>
              <w:rPr>
                <w:sz w:val="10"/>
              </w:rPr>
            </w:pPr>
            <w:r>
              <w:rPr>
                <w:sz w:val="17"/>
              </w:rPr>
              <w:t>Natural bitumen</w:t>
            </w:r>
            <w:r>
              <w:rPr>
                <w:sz w:val="10"/>
              </w:rPr>
              <w:t>2</w:t>
            </w:r>
          </w:p>
        </w:tc>
        <w:tc>
          <w:tcPr>
            <w:tcW w:w="1803" w:type="dxa"/>
            <w:vMerge/>
            <w:tcBorders>
              <w:top w:val="nil"/>
              <w:left w:val="single" w:sz="6" w:space="0" w:color="000000"/>
              <w:bottom w:val="single" w:sz="6" w:space="0" w:color="000000"/>
              <w:right w:val="single" w:sz="6" w:space="0" w:color="000000"/>
            </w:tcBorders>
          </w:tcPr>
          <w:p w14:paraId="2C4711B6"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3D7F2CE3" w14:textId="77777777" w:rsidR="00A2416E" w:rsidRDefault="00534832">
            <w:pPr>
              <w:pStyle w:val="TableParagraph"/>
              <w:rPr>
                <w:sz w:val="17"/>
              </w:rPr>
            </w:pPr>
            <w:r>
              <w:rPr>
                <w:sz w:val="17"/>
              </w:rPr>
              <w:t>108.5</w:t>
            </w:r>
          </w:p>
        </w:tc>
        <w:tc>
          <w:tcPr>
            <w:tcW w:w="1574" w:type="dxa"/>
            <w:tcBorders>
              <w:top w:val="single" w:sz="6" w:space="0" w:color="000000"/>
              <w:left w:val="single" w:sz="6" w:space="0" w:color="000000"/>
              <w:bottom w:val="single" w:sz="6" w:space="0" w:color="000000"/>
              <w:right w:val="nil"/>
            </w:tcBorders>
          </w:tcPr>
          <w:p w14:paraId="52E9DC07" w14:textId="77777777" w:rsidR="00A2416E" w:rsidRDefault="00A2416E">
            <w:pPr>
              <w:pStyle w:val="TableParagraph"/>
              <w:spacing w:before="0"/>
              <w:ind w:left="0"/>
              <w:rPr>
                <w:sz w:val="16"/>
              </w:rPr>
            </w:pPr>
          </w:p>
        </w:tc>
      </w:tr>
      <w:tr w:rsidR="00A2416E" w14:paraId="676BFD6A" w14:textId="77777777">
        <w:trPr>
          <w:trHeight w:val="272"/>
        </w:trPr>
        <w:tc>
          <w:tcPr>
            <w:tcW w:w="2230" w:type="dxa"/>
            <w:tcBorders>
              <w:top w:val="single" w:sz="6" w:space="0" w:color="000000"/>
              <w:left w:val="nil"/>
              <w:bottom w:val="single" w:sz="6" w:space="0" w:color="000000"/>
              <w:right w:val="single" w:sz="6" w:space="0" w:color="000000"/>
            </w:tcBorders>
          </w:tcPr>
          <w:p w14:paraId="64220D99" w14:textId="77777777" w:rsidR="00A2416E" w:rsidRDefault="00534832">
            <w:pPr>
              <w:pStyle w:val="TableParagraph"/>
              <w:ind w:left="7"/>
              <w:rPr>
                <w:sz w:val="10"/>
              </w:rPr>
            </w:pPr>
            <w:r>
              <w:rPr>
                <w:sz w:val="17"/>
              </w:rPr>
              <w:t>Oil shale</w:t>
            </w:r>
            <w:r>
              <w:rPr>
                <w:sz w:val="10"/>
              </w:rPr>
              <w:t>3</w:t>
            </w:r>
          </w:p>
        </w:tc>
        <w:tc>
          <w:tcPr>
            <w:tcW w:w="1803" w:type="dxa"/>
            <w:vMerge/>
            <w:tcBorders>
              <w:top w:val="nil"/>
              <w:left w:val="single" w:sz="6" w:space="0" w:color="000000"/>
              <w:bottom w:val="single" w:sz="6" w:space="0" w:color="000000"/>
              <w:right w:val="single" w:sz="6" w:space="0" w:color="000000"/>
            </w:tcBorders>
          </w:tcPr>
          <w:p w14:paraId="0970A3CA"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414843DD" w14:textId="77777777" w:rsidR="00A2416E" w:rsidRDefault="00534832">
            <w:pPr>
              <w:pStyle w:val="TableParagraph"/>
              <w:rPr>
                <w:sz w:val="17"/>
              </w:rPr>
            </w:pPr>
            <w:r>
              <w:rPr>
                <w:sz w:val="17"/>
              </w:rPr>
              <w:t>133.7</w:t>
            </w:r>
          </w:p>
        </w:tc>
        <w:tc>
          <w:tcPr>
            <w:tcW w:w="1574" w:type="dxa"/>
            <w:tcBorders>
              <w:top w:val="single" w:sz="6" w:space="0" w:color="000000"/>
              <w:left w:val="single" w:sz="6" w:space="0" w:color="000000"/>
              <w:bottom w:val="single" w:sz="6" w:space="0" w:color="000000"/>
              <w:right w:val="nil"/>
            </w:tcBorders>
          </w:tcPr>
          <w:p w14:paraId="0C605A11" w14:textId="77777777" w:rsidR="00A2416E" w:rsidRDefault="00A2416E">
            <w:pPr>
              <w:pStyle w:val="TableParagraph"/>
              <w:spacing w:before="0"/>
              <w:ind w:left="0"/>
              <w:rPr>
                <w:sz w:val="16"/>
              </w:rPr>
            </w:pPr>
          </w:p>
        </w:tc>
      </w:tr>
      <w:tr w:rsidR="00A2416E" w14:paraId="6EFD38CA" w14:textId="77777777">
        <w:trPr>
          <w:trHeight w:val="462"/>
        </w:trPr>
        <w:tc>
          <w:tcPr>
            <w:tcW w:w="2230" w:type="dxa"/>
            <w:tcBorders>
              <w:top w:val="single" w:sz="6" w:space="0" w:color="000000"/>
              <w:left w:val="nil"/>
              <w:bottom w:val="single" w:sz="6" w:space="0" w:color="000000"/>
              <w:right w:val="single" w:sz="6" w:space="0" w:color="000000"/>
            </w:tcBorders>
          </w:tcPr>
          <w:p w14:paraId="34E5B109" w14:textId="77777777" w:rsidR="00A2416E" w:rsidRDefault="00534832">
            <w:pPr>
              <w:pStyle w:val="TableParagraph"/>
              <w:ind w:left="7"/>
              <w:rPr>
                <w:sz w:val="17"/>
              </w:rPr>
            </w:pPr>
            <w:r>
              <w:rPr>
                <w:sz w:val="17"/>
              </w:rPr>
              <w:t>All fossil sources</w:t>
            </w:r>
          </w:p>
        </w:tc>
        <w:tc>
          <w:tcPr>
            <w:tcW w:w="1803" w:type="dxa"/>
            <w:tcBorders>
              <w:top w:val="single" w:sz="6" w:space="0" w:color="000000"/>
              <w:left w:val="single" w:sz="6" w:space="0" w:color="000000"/>
              <w:bottom w:val="single" w:sz="6" w:space="0" w:color="000000"/>
              <w:right w:val="single" w:sz="6" w:space="0" w:color="000000"/>
            </w:tcBorders>
          </w:tcPr>
          <w:p w14:paraId="6AC584D4" w14:textId="77777777" w:rsidR="00A2416E" w:rsidRDefault="00534832">
            <w:pPr>
              <w:pStyle w:val="TableParagraph"/>
              <w:spacing w:before="41" w:line="232" w:lineRule="auto"/>
              <w:ind w:right="263"/>
              <w:rPr>
                <w:sz w:val="17"/>
              </w:rPr>
            </w:pPr>
            <w:r>
              <w:rPr>
                <w:sz w:val="17"/>
              </w:rPr>
              <w:t>LPG in a spark ignition engine</w:t>
            </w:r>
          </w:p>
        </w:tc>
        <w:tc>
          <w:tcPr>
            <w:tcW w:w="1361" w:type="dxa"/>
            <w:tcBorders>
              <w:top w:val="single" w:sz="6" w:space="0" w:color="000000"/>
              <w:left w:val="single" w:sz="6" w:space="0" w:color="000000"/>
              <w:bottom w:val="single" w:sz="6" w:space="0" w:color="000000"/>
              <w:right w:val="single" w:sz="6" w:space="0" w:color="000000"/>
            </w:tcBorders>
          </w:tcPr>
          <w:p w14:paraId="36859BB2" w14:textId="77777777" w:rsidR="00A2416E" w:rsidRDefault="00534832">
            <w:pPr>
              <w:pStyle w:val="TableParagraph"/>
              <w:rPr>
                <w:sz w:val="17"/>
              </w:rPr>
            </w:pPr>
            <w:r>
              <w:rPr>
                <w:sz w:val="17"/>
              </w:rPr>
              <w:t>73.6</w:t>
            </w:r>
          </w:p>
        </w:tc>
        <w:tc>
          <w:tcPr>
            <w:tcW w:w="1574" w:type="dxa"/>
            <w:tcBorders>
              <w:top w:val="single" w:sz="6" w:space="0" w:color="000000"/>
              <w:left w:val="single" w:sz="6" w:space="0" w:color="000000"/>
              <w:bottom w:val="single" w:sz="6" w:space="0" w:color="000000"/>
              <w:right w:val="nil"/>
            </w:tcBorders>
          </w:tcPr>
          <w:p w14:paraId="3EB2DE0C" w14:textId="77777777" w:rsidR="00A2416E" w:rsidRDefault="00534832">
            <w:pPr>
              <w:pStyle w:val="TableParagraph"/>
              <w:rPr>
                <w:sz w:val="17"/>
              </w:rPr>
            </w:pPr>
            <w:r>
              <w:rPr>
                <w:sz w:val="17"/>
              </w:rPr>
              <w:t>73.6</w:t>
            </w:r>
          </w:p>
        </w:tc>
      </w:tr>
      <w:tr w:rsidR="00A2416E" w14:paraId="235193A8" w14:textId="77777777">
        <w:trPr>
          <w:trHeight w:val="652"/>
        </w:trPr>
        <w:tc>
          <w:tcPr>
            <w:tcW w:w="2230" w:type="dxa"/>
            <w:tcBorders>
              <w:top w:val="single" w:sz="6" w:space="0" w:color="000000"/>
              <w:left w:val="nil"/>
              <w:bottom w:val="single" w:sz="6" w:space="0" w:color="000000"/>
              <w:right w:val="single" w:sz="6" w:space="0" w:color="000000"/>
            </w:tcBorders>
          </w:tcPr>
          <w:p w14:paraId="037893B3" w14:textId="77777777" w:rsidR="00A2416E" w:rsidRDefault="00534832">
            <w:pPr>
              <w:pStyle w:val="TableParagraph"/>
              <w:ind w:left="7"/>
              <w:rPr>
                <w:sz w:val="17"/>
              </w:rPr>
            </w:pPr>
            <w:r>
              <w:rPr>
                <w:sz w:val="17"/>
              </w:rPr>
              <w:t>Natural gas, EU energy mix</w:t>
            </w:r>
          </w:p>
        </w:tc>
        <w:tc>
          <w:tcPr>
            <w:tcW w:w="1803" w:type="dxa"/>
            <w:tcBorders>
              <w:top w:val="single" w:sz="6" w:space="0" w:color="000000"/>
              <w:left w:val="single" w:sz="6" w:space="0" w:color="000000"/>
              <w:bottom w:val="single" w:sz="6" w:space="0" w:color="000000"/>
              <w:right w:val="single" w:sz="6" w:space="0" w:color="000000"/>
            </w:tcBorders>
          </w:tcPr>
          <w:p w14:paraId="43C6E64F" w14:textId="77777777" w:rsidR="00A2416E" w:rsidRDefault="00534832">
            <w:pPr>
              <w:pStyle w:val="TableParagraph"/>
              <w:spacing w:before="41" w:line="232" w:lineRule="auto"/>
              <w:ind w:right="84"/>
              <w:rPr>
                <w:sz w:val="17"/>
              </w:rPr>
            </w:pPr>
            <w:r>
              <w:rPr>
                <w:sz w:val="17"/>
              </w:rPr>
              <w:t>Compressed natural gas in a spark ignition engine</w:t>
            </w:r>
          </w:p>
        </w:tc>
        <w:tc>
          <w:tcPr>
            <w:tcW w:w="1361" w:type="dxa"/>
            <w:tcBorders>
              <w:top w:val="single" w:sz="6" w:space="0" w:color="000000"/>
              <w:left w:val="single" w:sz="6" w:space="0" w:color="000000"/>
              <w:bottom w:val="single" w:sz="6" w:space="0" w:color="000000"/>
              <w:right w:val="single" w:sz="6" w:space="0" w:color="000000"/>
            </w:tcBorders>
          </w:tcPr>
          <w:p w14:paraId="407E4BF3" w14:textId="77777777" w:rsidR="00A2416E" w:rsidRDefault="00534832">
            <w:pPr>
              <w:pStyle w:val="TableParagraph"/>
              <w:rPr>
                <w:sz w:val="17"/>
              </w:rPr>
            </w:pPr>
            <w:r>
              <w:rPr>
                <w:sz w:val="17"/>
              </w:rPr>
              <w:t>69.3</w:t>
            </w:r>
          </w:p>
        </w:tc>
        <w:tc>
          <w:tcPr>
            <w:tcW w:w="1574" w:type="dxa"/>
            <w:tcBorders>
              <w:top w:val="single" w:sz="6" w:space="0" w:color="000000"/>
              <w:left w:val="single" w:sz="6" w:space="0" w:color="000000"/>
              <w:bottom w:val="single" w:sz="6" w:space="0" w:color="000000"/>
              <w:right w:val="nil"/>
            </w:tcBorders>
          </w:tcPr>
          <w:p w14:paraId="48348EA8" w14:textId="77777777" w:rsidR="00A2416E" w:rsidRDefault="00534832">
            <w:pPr>
              <w:pStyle w:val="TableParagraph"/>
              <w:rPr>
                <w:sz w:val="17"/>
              </w:rPr>
            </w:pPr>
            <w:r>
              <w:rPr>
                <w:sz w:val="17"/>
              </w:rPr>
              <w:t>69.3</w:t>
            </w:r>
          </w:p>
        </w:tc>
      </w:tr>
      <w:tr w:rsidR="00A2416E" w14:paraId="748DCDF5" w14:textId="77777777">
        <w:trPr>
          <w:trHeight w:val="652"/>
        </w:trPr>
        <w:tc>
          <w:tcPr>
            <w:tcW w:w="2230" w:type="dxa"/>
            <w:tcBorders>
              <w:top w:val="single" w:sz="6" w:space="0" w:color="000000"/>
              <w:left w:val="nil"/>
              <w:bottom w:val="single" w:sz="6" w:space="0" w:color="000000"/>
              <w:right w:val="single" w:sz="6" w:space="0" w:color="000000"/>
            </w:tcBorders>
          </w:tcPr>
          <w:p w14:paraId="0B9A5898" w14:textId="77777777" w:rsidR="00A2416E" w:rsidRDefault="00534832">
            <w:pPr>
              <w:pStyle w:val="TableParagraph"/>
              <w:ind w:left="7"/>
              <w:rPr>
                <w:sz w:val="17"/>
              </w:rPr>
            </w:pPr>
            <w:r>
              <w:rPr>
                <w:sz w:val="17"/>
              </w:rPr>
              <w:t>Natural gas, EU energy mix</w:t>
            </w:r>
          </w:p>
        </w:tc>
        <w:tc>
          <w:tcPr>
            <w:tcW w:w="1803" w:type="dxa"/>
            <w:tcBorders>
              <w:top w:val="single" w:sz="6" w:space="0" w:color="000000"/>
              <w:left w:val="single" w:sz="6" w:space="0" w:color="000000"/>
              <w:bottom w:val="single" w:sz="6" w:space="0" w:color="000000"/>
              <w:right w:val="single" w:sz="6" w:space="0" w:color="000000"/>
            </w:tcBorders>
          </w:tcPr>
          <w:p w14:paraId="3B457A6A" w14:textId="77777777" w:rsidR="00A2416E" w:rsidRDefault="00534832" w:rsidP="00066A85">
            <w:pPr>
              <w:pStyle w:val="TableParagraph"/>
              <w:spacing w:before="41" w:line="233" w:lineRule="auto"/>
              <w:ind w:left="113"/>
              <w:rPr>
                <w:sz w:val="17"/>
              </w:rPr>
            </w:pPr>
            <w:r>
              <w:rPr>
                <w:sz w:val="17"/>
              </w:rPr>
              <w:t>Liquefied natural gas (LNG) in a spark ignition engine</w:t>
            </w:r>
          </w:p>
        </w:tc>
        <w:tc>
          <w:tcPr>
            <w:tcW w:w="1361" w:type="dxa"/>
            <w:tcBorders>
              <w:top w:val="single" w:sz="6" w:space="0" w:color="000000"/>
              <w:left w:val="single" w:sz="6" w:space="0" w:color="000000"/>
              <w:bottom w:val="single" w:sz="6" w:space="0" w:color="000000"/>
              <w:right w:val="single" w:sz="6" w:space="0" w:color="000000"/>
            </w:tcBorders>
          </w:tcPr>
          <w:p w14:paraId="7375FB03" w14:textId="77777777" w:rsidR="00A2416E" w:rsidRDefault="00534832">
            <w:pPr>
              <w:pStyle w:val="TableParagraph"/>
              <w:rPr>
                <w:sz w:val="17"/>
              </w:rPr>
            </w:pPr>
            <w:r>
              <w:rPr>
                <w:sz w:val="17"/>
              </w:rPr>
              <w:t>74.5</w:t>
            </w:r>
          </w:p>
        </w:tc>
        <w:tc>
          <w:tcPr>
            <w:tcW w:w="1574" w:type="dxa"/>
            <w:tcBorders>
              <w:top w:val="single" w:sz="6" w:space="0" w:color="000000"/>
              <w:left w:val="single" w:sz="6" w:space="0" w:color="000000"/>
              <w:bottom w:val="single" w:sz="6" w:space="0" w:color="000000"/>
              <w:right w:val="nil"/>
            </w:tcBorders>
          </w:tcPr>
          <w:p w14:paraId="102B9F60" w14:textId="77777777" w:rsidR="00A2416E" w:rsidRDefault="00534832">
            <w:pPr>
              <w:pStyle w:val="TableParagraph"/>
              <w:rPr>
                <w:sz w:val="17"/>
              </w:rPr>
            </w:pPr>
            <w:r>
              <w:rPr>
                <w:sz w:val="17"/>
              </w:rPr>
              <w:t>74.5</w:t>
            </w:r>
          </w:p>
        </w:tc>
      </w:tr>
      <w:tr w:rsidR="00A2416E" w14:paraId="6E44497F" w14:textId="77777777">
        <w:trPr>
          <w:trHeight w:val="652"/>
        </w:trPr>
        <w:tc>
          <w:tcPr>
            <w:tcW w:w="2230" w:type="dxa"/>
            <w:tcBorders>
              <w:top w:val="single" w:sz="6" w:space="0" w:color="000000"/>
              <w:left w:val="nil"/>
              <w:bottom w:val="single" w:sz="6" w:space="0" w:color="000000"/>
              <w:right w:val="single" w:sz="6" w:space="0" w:color="000000"/>
            </w:tcBorders>
          </w:tcPr>
          <w:p w14:paraId="7F233705" w14:textId="77777777" w:rsidR="00A2416E" w:rsidRDefault="00534832" w:rsidP="00066A85">
            <w:pPr>
              <w:pStyle w:val="TableParagraph"/>
              <w:spacing w:before="41" w:line="232" w:lineRule="auto"/>
              <w:ind w:left="6"/>
              <w:rPr>
                <w:sz w:val="17"/>
              </w:rPr>
            </w:pPr>
            <w:r>
              <w:rPr>
                <w:sz w:val="17"/>
              </w:rPr>
              <w:t>Sabatier reaction of hydrogen by electrolysis with</w:t>
            </w:r>
          </w:p>
          <w:p w14:paraId="0502C750" w14:textId="77777777" w:rsidR="00A2416E" w:rsidRDefault="00534832" w:rsidP="00066A85">
            <w:pPr>
              <w:pStyle w:val="TableParagraph"/>
              <w:spacing w:before="0" w:line="191" w:lineRule="exact"/>
              <w:ind w:left="6"/>
              <w:rPr>
                <w:sz w:val="17"/>
              </w:rPr>
            </w:pPr>
            <w:r>
              <w:rPr>
                <w:sz w:val="17"/>
              </w:rPr>
              <w:t>non-biological renewable energy</w:t>
            </w:r>
          </w:p>
        </w:tc>
        <w:tc>
          <w:tcPr>
            <w:tcW w:w="1803" w:type="dxa"/>
            <w:tcBorders>
              <w:top w:val="single" w:sz="6" w:space="0" w:color="000000"/>
              <w:left w:val="single" w:sz="6" w:space="0" w:color="000000"/>
              <w:bottom w:val="single" w:sz="6" w:space="0" w:color="000000"/>
              <w:right w:val="single" w:sz="6" w:space="0" w:color="000000"/>
            </w:tcBorders>
          </w:tcPr>
          <w:p w14:paraId="56A4EB5A" w14:textId="77777777" w:rsidR="00A2416E" w:rsidRDefault="00534832">
            <w:pPr>
              <w:pStyle w:val="TableParagraph"/>
              <w:spacing w:before="41" w:line="232" w:lineRule="auto"/>
              <w:ind w:right="164"/>
              <w:rPr>
                <w:sz w:val="17"/>
              </w:rPr>
            </w:pPr>
            <w:r>
              <w:rPr>
                <w:sz w:val="17"/>
              </w:rPr>
              <w:t>Compressed synthetic methane in a spark ignition engine</w:t>
            </w:r>
          </w:p>
        </w:tc>
        <w:tc>
          <w:tcPr>
            <w:tcW w:w="1361" w:type="dxa"/>
            <w:tcBorders>
              <w:top w:val="single" w:sz="6" w:space="0" w:color="000000"/>
              <w:left w:val="single" w:sz="6" w:space="0" w:color="000000"/>
              <w:bottom w:val="single" w:sz="6" w:space="0" w:color="000000"/>
              <w:right w:val="single" w:sz="6" w:space="0" w:color="000000"/>
            </w:tcBorders>
          </w:tcPr>
          <w:p w14:paraId="0FE5CABE" w14:textId="77777777" w:rsidR="00A2416E" w:rsidRDefault="00534832">
            <w:pPr>
              <w:pStyle w:val="TableParagraph"/>
              <w:rPr>
                <w:sz w:val="17"/>
              </w:rPr>
            </w:pPr>
            <w:r>
              <w:rPr>
                <w:sz w:val="17"/>
              </w:rPr>
              <w:t>3.3</w:t>
            </w:r>
          </w:p>
        </w:tc>
        <w:tc>
          <w:tcPr>
            <w:tcW w:w="1574" w:type="dxa"/>
            <w:tcBorders>
              <w:top w:val="single" w:sz="6" w:space="0" w:color="000000"/>
              <w:left w:val="single" w:sz="6" w:space="0" w:color="000000"/>
              <w:bottom w:val="single" w:sz="6" w:space="0" w:color="000000"/>
              <w:right w:val="nil"/>
            </w:tcBorders>
          </w:tcPr>
          <w:p w14:paraId="7D9F95D7" w14:textId="77777777" w:rsidR="00A2416E" w:rsidRDefault="00534832">
            <w:pPr>
              <w:pStyle w:val="TableParagraph"/>
              <w:rPr>
                <w:sz w:val="17"/>
              </w:rPr>
            </w:pPr>
            <w:r>
              <w:rPr>
                <w:sz w:val="17"/>
              </w:rPr>
              <w:t>3.3</w:t>
            </w:r>
          </w:p>
        </w:tc>
      </w:tr>
      <w:tr w:rsidR="00A2416E" w14:paraId="3DEDD229" w14:textId="77777777">
        <w:trPr>
          <w:trHeight w:val="462"/>
        </w:trPr>
        <w:tc>
          <w:tcPr>
            <w:tcW w:w="2230" w:type="dxa"/>
            <w:tcBorders>
              <w:top w:val="single" w:sz="6" w:space="0" w:color="000000"/>
              <w:left w:val="nil"/>
              <w:bottom w:val="single" w:sz="6" w:space="0" w:color="000000"/>
              <w:right w:val="single" w:sz="6" w:space="0" w:color="000000"/>
            </w:tcBorders>
          </w:tcPr>
          <w:p w14:paraId="4CC478A9" w14:textId="77777777" w:rsidR="00A2416E" w:rsidRDefault="00534832">
            <w:pPr>
              <w:pStyle w:val="TableParagraph"/>
              <w:spacing w:before="41" w:line="232" w:lineRule="auto"/>
              <w:ind w:left="7" w:right="1076"/>
              <w:rPr>
                <w:sz w:val="17"/>
              </w:rPr>
            </w:pPr>
            <w:r>
              <w:rPr>
                <w:sz w:val="17"/>
              </w:rPr>
              <w:t>Natural gas through steam reforming</w:t>
            </w:r>
          </w:p>
        </w:tc>
        <w:tc>
          <w:tcPr>
            <w:tcW w:w="1803" w:type="dxa"/>
            <w:tcBorders>
              <w:top w:val="single" w:sz="6" w:space="0" w:color="000000"/>
              <w:left w:val="single" w:sz="6" w:space="0" w:color="000000"/>
              <w:bottom w:val="single" w:sz="6" w:space="0" w:color="000000"/>
              <w:right w:val="single" w:sz="6" w:space="0" w:color="000000"/>
            </w:tcBorders>
          </w:tcPr>
          <w:p w14:paraId="2855B80C" w14:textId="77777777" w:rsidR="00A2416E" w:rsidRDefault="00534832">
            <w:pPr>
              <w:pStyle w:val="TableParagraph"/>
              <w:spacing w:before="41" w:line="232" w:lineRule="auto"/>
              <w:ind w:right="135"/>
              <w:rPr>
                <w:sz w:val="17"/>
              </w:rPr>
            </w:pPr>
            <w:r>
              <w:rPr>
                <w:sz w:val="17"/>
              </w:rPr>
              <w:t>Compressed hydrogen in a fuel cell</w:t>
            </w:r>
          </w:p>
        </w:tc>
        <w:tc>
          <w:tcPr>
            <w:tcW w:w="1361" w:type="dxa"/>
            <w:tcBorders>
              <w:top w:val="single" w:sz="6" w:space="0" w:color="000000"/>
              <w:left w:val="single" w:sz="6" w:space="0" w:color="000000"/>
              <w:bottom w:val="single" w:sz="6" w:space="0" w:color="000000"/>
              <w:right w:val="single" w:sz="6" w:space="0" w:color="000000"/>
            </w:tcBorders>
          </w:tcPr>
          <w:p w14:paraId="7B82773A" w14:textId="77777777" w:rsidR="00A2416E" w:rsidRDefault="00534832">
            <w:pPr>
              <w:pStyle w:val="TableParagraph"/>
              <w:rPr>
                <w:sz w:val="17"/>
              </w:rPr>
            </w:pPr>
            <w:r>
              <w:rPr>
                <w:sz w:val="17"/>
              </w:rPr>
              <w:t>104.3</w:t>
            </w:r>
          </w:p>
        </w:tc>
        <w:tc>
          <w:tcPr>
            <w:tcW w:w="1574" w:type="dxa"/>
            <w:tcBorders>
              <w:top w:val="single" w:sz="6" w:space="0" w:color="000000"/>
              <w:left w:val="single" w:sz="6" w:space="0" w:color="000000"/>
              <w:bottom w:val="single" w:sz="6" w:space="0" w:color="000000"/>
              <w:right w:val="nil"/>
            </w:tcBorders>
          </w:tcPr>
          <w:p w14:paraId="5724E83A" w14:textId="77777777" w:rsidR="00A2416E" w:rsidRDefault="00534832">
            <w:pPr>
              <w:pStyle w:val="TableParagraph"/>
              <w:rPr>
                <w:sz w:val="17"/>
              </w:rPr>
            </w:pPr>
            <w:r>
              <w:rPr>
                <w:sz w:val="17"/>
              </w:rPr>
              <w:t>104.3</w:t>
            </w:r>
          </w:p>
        </w:tc>
      </w:tr>
      <w:tr w:rsidR="00A2416E" w14:paraId="08CAB5BA" w14:textId="77777777">
        <w:trPr>
          <w:trHeight w:val="462"/>
        </w:trPr>
        <w:tc>
          <w:tcPr>
            <w:tcW w:w="2230" w:type="dxa"/>
            <w:tcBorders>
              <w:top w:val="single" w:sz="6" w:space="0" w:color="000000"/>
              <w:left w:val="nil"/>
              <w:bottom w:val="single" w:sz="6" w:space="0" w:color="000000"/>
              <w:right w:val="single" w:sz="6" w:space="0" w:color="000000"/>
            </w:tcBorders>
          </w:tcPr>
          <w:p w14:paraId="67A4479C" w14:textId="77777777" w:rsidR="00A2416E" w:rsidRDefault="00534832">
            <w:pPr>
              <w:pStyle w:val="TableParagraph"/>
              <w:spacing w:before="41" w:line="232" w:lineRule="auto"/>
              <w:ind w:left="7" w:right="127"/>
              <w:rPr>
                <w:sz w:val="17"/>
              </w:rPr>
            </w:pPr>
            <w:r>
              <w:rPr>
                <w:sz w:val="17"/>
              </w:rPr>
              <w:t>Electrolysis fully powered by renewable non-biological energy</w:t>
            </w:r>
          </w:p>
        </w:tc>
        <w:tc>
          <w:tcPr>
            <w:tcW w:w="1803" w:type="dxa"/>
            <w:tcBorders>
              <w:top w:val="single" w:sz="6" w:space="0" w:color="000000"/>
              <w:left w:val="single" w:sz="6" w:space="0" w:color="000000"/>
              <w:bottom w:val="single" w:sz="6" w:space="0" w:color="000000"/>
              <w:right w:val="single" w:sz="6" w:space="0" w:color="000000"/>
            </w:tcBorders>
          </w:tcPr>
          <w:p w14:paraId="245C07E9" w14:textId="77777777" w:rsidR="00A2416E" w:rsidRDefault="00534832">
            <w:pPr>
              <w:pStyle w:val="TableParagraph"/>
              <w:spacing w:before="41" w:line="232" w:lineRule="auto"/>
              <w:ind w:right="135"/>
              <w:rPr>
                <w:sz w:val="17"/>
              </w:rPr>
            </w:pPr>
            <w:r>
              <w:rPr>
                <w:sz w:val="17"/>
              </w:rPr>
              <w:t>Compressed hydrogen in a fuel cell</w:t>
            </w:r>
          </w:p>
        </w:tc>
        <w:tc>
          <w:tcPr>
            <w:tcW w:w="1361" w:type="dxa"/>
            <w:tcBorders>
              <w:top w:val="single" w:sz="6" w:space="0" w:color="000000"/>
              <w:left w:val="single" w:sz="6" w:space="0" w:color="000000"/>
              <w:bottom w:val="single" w:sz="6" w:space="0" w:color="000000"/>
              <w:right w:val="single" w:sz="6" w:space="0" w:color="000000"/>
            </w:tcBorders>
          </w:tcPr>
          <w:p w14:paraId="79A8401F" w14:textId="77777777" w:rsidR="00A2416E" w:rsidRDefault="00534832">
            <w:pPr>
              <w:pStyle w:val="TableParagraph"/>
              <w:rPr>
                <w:sz w:val="17"/>
              </w:rPr>
            </w:pPr>
            <w:r>
              <w:rPr>
                <w:sz w:val="17"/>
              </w:rPr>
              <w:t>9.1</w:t>
            </w:r>
          </w:p>
        </w:tc>
        <w:tc>
          <w:tcPr>
            <w:tcW w:w="1574" w:type="dxa"/>
            <w:tcBorders>
              <w:top w:val="single" w:sz="6" w:space="0" w:color="000000"/>
              <w:left w:val="single" w:sz="6" w:space="0" w:color="000000"/>
              <w:bottom w:val="single" w:sz="6" w:space="0" w:color="000000"/>
              <w:right w:val="nil"/>
            </w:tcBorders>
          </w:tcPr>
          <w:p w14:paraId="46B0D43B" w14:textId="77777777" w:rsidR="00A2416E" w:rsidRDefault="00534832">
            <w:pPr>
              <w:pStyle w:val="TableParagraph"/>
              <w:rPr>
                <w:sz w:val="17"/>
              </w:rPr>
            </w:pPr>
            <w:r>
              <w:rPr>
                <w:sz w:val="17"/>
              </w:rPr>
              <w:t>9.1</w:t>
            </w:r>
          </w:p>
        </w:tc>
      </w:tr>
      <w:tr w:rsidR="00A2416E" w14:paraId="0C1EC040" w14:textId="77777777">
        <w:trPr>
          <w:trHeight w:val="462"/>
        </w:trPr>
        <w:tc>
          <w:tcPr>
            <w:tcW w:w="2230" w:type="dxa"/>
            <w:tcBorders>
              <w:top w:val="single" w:sz="6" w:space="0" w:color="000000"/>
              <w:left w:val="nil"/>
              <w:bottom w:val="single" w:sz="6" w:space="0" w:color="000000"/>
              <w:right w:val="single" w:sz="6" w:space="0" w:color="000000"/>
            </w:tcBorders>
          </w:tcPr>
          <w:p w14:paraId="63AA4F53" w14:textId="77777777" w:rsidR="00A2416E" w:rsidRDefault="00534832">
            <w:pPr>
              <w:pStyle w:val="TableParagraph"/>
              <w:ind w:left="7"/>
              <w:rPr>
                <w:sz w:val="17"/>
              </w:rPr>
            </w:pPr>
            <w:r>
              <w:rPr>
                <w:sz w:val="17"/>
              </w:rPr>
              <w:t>Coal</w:t>
            </w:r>
          </w:p>
        </w:tc>
        <w:tc>
          <w:tcPr>
            <w:tcW w:w="1803" w:type="dxa"/>
            <w:tcBorders>
              <w:top w:val="single" w:sz="6" w:space="0" w:color="000000"/>
              <w:left w:val="single" w:sz="6" w:space="0" w:color="000000"/>
              <w:bottom w:val="single" w:sz="6" w:space="0" w:color="000000"/>
              <w:right w:val="single" w:sz="6" w:space="0" w:color="000000"/>
            </w:tcBorders>
          </w:tcPr>
          <w:p w14:paraId="17B20A2E" w14:textId="77777777" w:rsidR="00A2416E" w:rsidRDefault="00534832">
            <w:pPr>
              <w:pStyle w:val="TableParagraph"/>
              <w:spacing w:before="41" w:line="232" w:lineRule="auto"/>
              <w:ind w:right="135"/>
              <w:rPr>
                <w:sz w:val="17"/>
              </w:rPr>
            </w:pPr>
            <w:r>
              <w:rPr>
                <w:sz w:val="17"/>
              </w:rPr>
              <w:t>Compressed hydrogen in a fuel cell</w:t>
            </w:r>
          </w:p>
        </w:tc>
        <w:tc>
          <w:tcPr>
            <w:tcW w:w="1361" w:type="dxa"/>
            <w:tcBorders>
              <w:top w:val="single" w:sz="6" w:space="0" w:color="000000"/>
              <w:left w:val="single" w:sz="6" w:space="0" w:color="000000"/>
              <w:bottom w:val="single" w:sz="6" w:space="0" w:color="000000"/>
              <w:right w:val="single" w:sz="6" w:space="0" w:color="000000"/>
            </w:tcBorders>
          </w:tcPr>
          <w:p w14:paraId="243D5730" w14:textId="77777777" w:rsidR="00A2416E" w:rsidRDefault="00534832">
            <w:pPr>
              <w:pStyle w:val="TableParagraph"/>
              <w:rPr>
                <w:sz w:val="17"/>
              </w:rPr>
            </w:pPr>
            <w:r>
              <w:rPr>
                <w:sz w:val="17"/>
              </w:rPr>
              <w:t>234.4</w:t>
            </w:r>
          </w:p>
        </w:tc>
        <w:tc>
          <w:tcPr>
            <w:tcW w:w="1574" w:type="dxa"/>
            <w:tcBorders>
              <w:top w:val="single" w:sz="6" w:space="0" w:color="000000"/>
              <w:left w:val="single" w:sz="6" w:space="0" w:color="000000"/>
              <w:bottom w:val="single" w:sz="6" w:space="0" w:color="000000"/>
              <w:right w:val="nil"/>
            </w:tcBorders>
          </w:tcPr>
          <w:p w14:paraId="6046830F" w14:textId="77777777" w:rsidR="00A2416E" w:rsidRDefault="00534832">
            <w:pPr>
              <w:pStyle w:val="TableParagraph"/>
              <w:rPr>
                <w:sz w:val="17"/>
              </w:rPr>
            </w:pPr>
            <w:r>
              <w:rPr>
                <w:sz w:val="17"/>
              </w:rPr>
              <w:t>234.4</w:t>
            </w:r>
          </w:p>
        </w:tc>
      </w:tr>
      <w:tr w:rsidR="00A2416E" w14:paraId="789D2C95" w14:textId="77777777">
        <w:trPr>
          <w:trHeight w:val="462"/>
        </w:trPr>
        <w:tc>
          <w:tcPr>
            <w:tcW w:w="2230" w:type="dxa"/>
            <w:tcBorders>
              <w:top w:val="single" w:sz="6" w:space="0" w:color="000000"/>
              <w:left w:val="nil"/>
              <w:bottom w:val="single" w:sz="6" w:space="0" w:color="000000"/>
              <w:right w:val="single" w:sz="6" w:space="0" w:color="000000"/>
            </w:tcBorders>
          </w:tcPr>
          <w:p w14:paraId="12C21D03" w14:textId="77777777" w:rsidR="00A2416E" w:rsidRDefault="00534832">
            <w:pPr>
              <w:pStyle w:val="TableParagraph"/>
              <w:spacing w:before="41" w:line="232" w:lineRule="auto"/>
              <w:ind w:left="7" w:right="174"/>
              <w:rPr>
                <w:sz w:val="17"/>
              </w:rPr>
            </w:pPr>
            <w:r>
              <w:rPr>
                <w:sz w:val="17"/>
              </w:rPr>
              <w:t>Coal with carbon capture and storage of process emissions</w:t>
            </w:r>
          </w:p>
        </w:tc>
        <w:tc>
          <w:tcPr>
            <w:tcW w:w="1803" w:type="dxa"/>
            <w:tcBorders>
              <w:top w:val="single" w:sz="6" w:space="0" w:color="000000"/>
              <w:left w:val="single" w:sz="6" w:space="0" w:color="000000"/>
              <w:bottom w:val="single" w:sz="6" w:space="0" w:color="000000"/>
              <w:right w:val="single" w:sz="6" w:space="0" w:color="000000"/>
            </w:tcBorders>
          </w:tcPr>
          <w:p w14:paraId="3BDFB3B0" w14:textId="77777777" w:rsidR="00A2416E" w:rsidRDefault="00534832">
            <w:pPr>
              <w:pStyle w:val="TableParagraph"/>
              <w:spacing w:before="41" w:line="232" w:lineRule="auto"/>
              <w:ind w:right="135"/>
              <w:rPr>
                <w:sz w:val="17"/>
              </w:rPr>
            </w:pPr>
            <w:r>
              <w:rPr>
                <w:sz w:val="17"/>
              </w:rPr>
              <w:t>Compressed hydrogen in a fuel cell</w:t>
            </w:r>
          </w:p>
        </w:tc>
        <w:tc>
          <w:tcPr>
            <w:tcW w:w="1361" w:type="dxa"/>
            <w:tcBorders>
              <w:top w:val="single" w:sz="6" w:space="0" w:color="000000"/>
              <w:left w:val="single" w:sz="6" w:space="0" w:color="000000"/>
              <w:bottom w:val="single" w:sz="6" w:space="0" w:color="000000"/>
              <w:right w:val="single" w:sz="6" w:space="0" w:color="000000"/>
            </w:tcBorders>
          </w:tcPr>
          <w:p w14:paraId="0FFD383D" w14:textId="77777777" w:rsidR="00A2416E" w:rsidRDefault="00534832">
            <w:pPr>
              <w:pStyle w:val="TableParagraph"/>
              <w:rPr>
                <w:sz w:val="17"/>
              </w:rPr>
            </w:pPr>
            <w:r>
              <w:rPr>
                <w:sz w:val="17"/>
              </w:rPr>
              <w:t>52.7</w:t>
            </w:r>
          </w:p>
        </w:tc>
        <w:tc>
          <w:tcPr>
            <w:tcW w:w="1574" w:type="dxa"/>
            <w:tcBorders>
              <w:top w:val="single" w:sz="6" w:space="0" w:color="000000"/>
              <w:left w:val="single" w:sz="6" w:space="0" w:color="000000"/>
              <w:bottom w:val="single" w:sz="6" w:space="0" w:color="000000"/>
              <w:right w:val="nil"/>
            </w:tcBorders>
          </w:tcPr>
          <w:p w14:paraId="006332B6" w14:textId="77777777" w:rsidR="00A2416E" w:rsidRDefault="00534832">
            <w:pPr>
              <w:pStyle w:val="TableParagraph"/>
              <w:rPr>
                <w:sz w:val="17"/>
              </w:rPr>
            </w:pPr>
            <w:r>
              <w:rPr>
                <w:sz w:val="17"/>
              </w:rPr>
              <w:t>52.7</w:t>
            </w:r>
          </w:p>
        </w:tc>
      </w:tr>
      <w:tr w:rsidR="00A2416E" w14:paraId="1F750C81" w14:textId="77777777">
        <w:trPr>
          <w:trHeight w:val="462"/>
        </w:trPr>
        <w:tc>
          <w:tcPr>
            <w:tcW w:w="2230" w:type="dxa"/>
            <w:tcBorders>
              <w:top w:val="single" w:sz="6" w:space="0" w:color="000000"/>
              <w:left w:val="nil"/>
              <w:bottom w:val="single" w:sz="6" w:space="0" w:color="000000"/>
              <w:right w:val="single" w:sz="6" w:space="0" w:color="000000"/>
            </w:tcBorders>
          </w:tcPr>
          <w:p w14:paraId="40C44060" w14:textId="77777777" w:rsidR="00A2416E" w:rsidRDefault="00534832">
            <w:pPr>
              <w:pStyle w:val="TableParagraph"/>
              <w:spacing w:before="41" w:line="232" w:lineRule="auto"/>
              <w:ind w:left="7" w:right="405"/>
              <w:rPr>
                <w:sz w:val="17"/>
              </w:rPr>
            </w:pPr>
            <w:r>
              <w:rPr>
                <w:sz w:val="17"/>
              </w:rPr>
              <w:t>Plastic waste extracted from fossil raw materials</w:t>
            </w:r>
          </w:p>
        </w:tc>
        <w:tc>
          <w:tcPr>
            <w:tcW w:w="1803" w:type="dxa"/>
            <w:tcBorders>
              <w:top w:val="single" w:sz="6" w:space="0" w:color="000000"/>
              <w:left w:val="single" w:sz="6" w:space="0" w:color="000000"/>
              <w:bottom w:val="single" w:sz="6" w:space="0" w:color="000000"/>
              <w:right w:val="single" w:sz="6" w:space="0" w:color="000000"/>
            </w:tcBorders>
          </w:tcPr>
          <w:p w14:paraId="43E6687C" w14:textId="77777777" w:rsidR="00A2416E" w:rsidRDefault="00534832">
            <w:pPr>
              <w:pStyle w:val="TableParagraph"/>
              <w:spacing w:before="41" w:line="232" w:lineRule="auto"/>
              <w:ind w:right="702"/>
              <w:rPr>
                <w:sz w:val="17"/>
              </w:rPr>
            </w:pPr>
            <w:r>
              <w:rPr>
                <w:sz w:val="17"/>
              </w:rPr>
              <w:t>Petrol, diesel or gas oil</w:t>
            </w:r>
          </w:p>
        </w:tc>
        <w:tc>
          <w:tcPr>
            <w:tcW w:w="1361" w:type="dxa"/>
            <w:tcBorders>
              <w:top w:val="single" w:sz="6" w:space="0" w:color="000000"/>
              <w:left w:val="single" w:sz="6" w:space="0" w:color="000000"/>
              <w:bottom w:val="single" w:sz="6" w:space="0" w:color="000000"/>
              <w:right w:val="single" w:sz="6" w:space="0" w:color="000000"/>
            </w:tcBorders>
          </w:tcPr>
          <w:p w14:paraId="79432D11" w14:textId="77777777" w:rsidR="00A2416E" w:rsidRDefault="00534832">
            <w:pPr>
              <w:pStyle w:val="TableParagraph"/>
              <w:rPr>
                <w:sz w:val="17"/>
              </w:rPr>
            </w:pPr>
            <w:r>
              <w:rPr>
                <w:sz w:val="17"/>
              </w:rPr>
              <w:t>86</w:t>
            </w:r>
          </w:p>
        </w:tc>
        <w:tc>
          <w:tcPr>
            <w:tcW w:w="1574" w:type="dxa"/>
            <w:tcBorders>
              <w:top w:val="single" w:sz="6" w:space="0" w:color="000000"/>
              <w:left w:val="single" w:sz="6" w:space="0" w:color="000000"/>
              <w:bottom w:val="single" w:sz="6" w:space="0" w:color="000000"/>
              <w:right w:val="nil"/>
            </w:tcBorders>
          </w:tcPr>
          <w:p w14:paraId="2124E515" w14:textId="77777777" w:rsidR="00A2416E" w:rsidRDefault="00534832">
            <w:pPr>
              <w:pStyle w:val="TableParagraph"/>
              <w:rPr>
                <w:sz w:val="17"/>
              </w:rPr>
            </w:pPr>
            <w:r>
              <w:rPr>
                <w:sz w:val="17"/>
              </w:rPr>
              <w:t>86</w:t>
            </w:r>
          </w:p>
        </w:tc>
      </w:tr>
    </w:tbl>
    <w:p w14:paraId="686D7B57" w14:textId="77777777" w:rsidR="00A2416E" w:rsidRDefault="00534832">
      <w:pPr>
        <w:spacing w:before="126" w:line="232" w:lineRule="auto"/>
        <w:ind w:left="400" w:right="1902"/>
        <w:rPr>
          <w:sz w:val="17"/>
        </w:rPr>
      </w:pPr>
      <w:r>
        <w:rPr>
          <w:sz w:val="10"/>
        </w:rPr>
        <w:t xml:space="preserve">1 </w:t>
      </w:r>
      <w:r>
        <w:rPr>
          <w:sz w:val="17"/>
        </w:rPr>
        <w:t>Conventional crude oil means any refinery raw material exhibiting an API (American Petroleum Institute) gravity that is higher than 10 degrees when situated in a reservoir formation at its place of origin as measured per testing method ASTM D287, and not falling within the definition for CN code 2714</w:t>
      </w:r>
    </w:p>
    <w:p w14:paraId="4B21A793" w14:textId="77777777" w:rsidR="00A2416E" w:rsidRDefault="00534832">
      <w:pPr>
        <w:tabs>
          <w:tab w:val="right" w:pos="7997"/>
        </w:tabs>
        <w:spacing w:line="238" w:lineRule="exact"/>
        <w:ind w:left="400"/>
        <w:rPr>
          <w:rFonts w:ascii="HelveticaNeueLT Std Cn" w:hAnsi="HelveticaNeueLT Std Cn"/>
          <w:sz w:val="20"/>
        </w:rPr>
      </w:pPr>
      <w:r>
        <w:rPr>
          <w:sz w:val="17"/>
        </w:rPr>
        <w:t>as set out in Regulation (EEC) No 2658/87.</w:t>
      </w:r>
      <w:r>
        <w:rPr>
          <w:sz w:val="17"/>
        </w:rPr>
        <w:tab/>
      </w:r>
      <w:r>
        <w:rPr>
          <w:rFonts w:ascii="HelveticaNeueLT Std Cn" w:hAnsi="HelveticaNeueLT Std Cn"/>
          <w:sz w:val="20"/>
        </w:rPr>
        <w:t>5</w:t>
      </w:r>
    </w:p>
    <w:p w14:paraId="65268C9D" w14:textId="77777777" w:rsidR="00A2416E" w:rsidRDefault="00A2416E">
      <w:pPr>
        <w:spacing w:line="238" w:lineRule="exact"/>
        <w:rPr>
          <w:rFonts w:ascii="HelveticaNeueLT Std Cn" w:hAnsi="HelveticaNeueLT Std Cn"/>
          <w:sz w:val="20"/>
        </w:rPr>
        <w:sectPr w:rsidR="00A2416E">
          <w:type w:val="continuous"/>
          <w:pgSz w:w="9360" w:h="13720"/>
          <w:pgMar w:top="900" w:right="580" w:bottom="280" w:left="620" w:header="720" w:footer="720" w:gutter="0"/>
          <w:cols w:space="720"/>
        </w:sectPr>
      </w:pPr>
    </w:p>
    <w:p w14:paraId="12ED578D" w14:textId="77777777" w:rsidR="00A2416E" w:rsidRDefault="00534832">
      <w:pPr>
        <w:pStyle w:val="Rubrik2"/>
        <w:spacing w:line="228" w:lineRule="auto"/>
        <w:ind w:right="19"/>
      </w:pPr>
      <w:r>
        <w:lastRenderedPageBreak/>
        <w:t>STEMFS 2021:2</w:t>
      </w:r>
    </w:p>
    <w:p w14:paraId="36448102" w14:textId="77777777" w:rsidR="00A2416E" w:rsidRDefault="00534832">
      <w:pPr>
        <w:spacing w:before="81" w:line="232" w:lineRule="auto"/>
        <w:ind w:left="117" w:right="437"/>
        <w:rPr>
          <w:sz w:val="17"/>
        </w:rPr>
      </w:pPr>
      <w:r>
        <w:br w:type="column"/>
      </w:r>
      <w:r>
        <w:rPr>
          <w:sz w:val="10"/>
        </w:rPr>
        <w:t xml:space="preserve">2 </w:t>
      </w:r>
      <w:r>
        <w:rPr>
          <w:sz w:val="17"/>
        </w:rPr>
        <w:t>Natural bitumen means any refinery raw material that a) has an American Petroleum Institute (API) gravity of 10 degrees or less when situated in a reservoir formation at the place of extraction as defined pursuant to the testing method of the American Society for Testing and Materials (ASTM) D287; b) has an annual average viscosity at reservoir temperature greater than that calculated by the equation Viscosity (Centipoise) = 518.98e-0.038T, where T is the temperature in Celsius; c) falls within the definition of tar sands under combined nomenclature (CN) code 2714 as outlined in Council Regulation (EEC) No 2658/87; and d) where the mobilisation of the source of the raw material is achieved by mining extraction or thermally enhanced gravity drainage where the thermal energy is mainly derived from sources other than the feedstock source itself.</w:t>
      </w:r>
    </w:p>
    <w:p w14:paraId="7D15F9D2" w14:textId="77777777" w:rsidR="00A2416E" w:rsidRDefault="00534832">
      <w:pPr>
        <w:spacing w:before="89" w:line="232" w:lineRule="auto"/>
        <w:ind w:left="117" w:right="473"/>
        <w:rPr>
          <w:sz w:val="17"/>
        </w:rPr>
      </w:pPr>
      <w:r>
        <w:rPr>
          <w:sz w:val="10"/>
        </w:rPr>
        <w:t xml:space="preserve">3 </w:t>
      </w:r>
      <w:r>
        <w:rPr>
          <w:sz w:val="17"/>
        </w:rPr>
        <w:t>Oil shale means any source of refinery raw material as situated in a rock formation containing solid kerogen and falling within the definition for oil shale under CN code 2714 as outlined in Regulation (EEC) No 2658/87. Mobilisation of the source of the raw material is achieved by mining extraction or thermally enhanced gravity drainage.</w:t>
      </w:r>
    </w:p>
    <w:p w14:paraId="4F1DF429" w14:textId="77777777" w:rsidR="00A2416E" w:rsidRDefault="00A2416E">
      <w:pPr>
        <w:spacing w:line="232" w:lineRule="auto"/>
        <w:rPr>
          <w:sz w:val="17"/>
        </w:rPr>
        <w:sectPr w:rsidR="00A2416E">
          <w:pgSz w:w="9360" w:h="13720"/>
          <w:pgMar w:top="940" w:right="580" w:bottom="280" w:left="620" w:header="720" w:footer="720" w:gutter="0"/>
          <w:cols w:num="2" w:space="720" w:equalWidth="0">
            <w:col w:w="997" w:space="703"/>
            <w:col w:w="6460"/>
          </w:cols>
        </w:sectPr>
      </w:pPr>
    </w:p>
    <w:p w14:paraId="4B2CA0EF" w14:textId="77777777" w:rsidR="00A2416E" w:rsidRDefault="00A2416E">
      <w:pPr>
        <w:pStyle w:val="Brdtext"/>
        <w:rPr>
          <w:sz w:val="26"/>
        </w:rPr>
      </w:pPr>
    </w:p>
    <w:p w14:paraId="0A26DB13" w14:textId="77777777" w:rsidR="00A2416E" w:rsidRDefault="00A2416E">
      <w:pPr>
        <w:pStyle w:val="Brdtext"/>
        <w:rPr>
          <w:sz w:val="26"/>
        </w:rPr>
      </w:pPr>
    </w:p>
    <w:p w14:paraId="0FAF311C" w14:textId="77777777" w:rsidR="00A2416E" w:rsidRDefault="00A2416E">
      <w:pPr>
        <w:pStyle w:val="Brdtext"/>
        <w:rPr>
          <w:sz w:val="26"/>
        </w:rPr>
      </w:pPr>
    </w:p>
    <w:p w14:paraId="4EFBC468" w14:textId="77777777" w:rsidR="00A2416E" w:rsidRDefault="00A2416E">
      <w:pPr>
        <w:pStyle w:val="Brdtext"/>
        <w:rPr>
          <w:sz w:val="26"/>
        </w:rPr>
      </w:pPr>
    </w:p>
    <w:p w14:paraId="2BAA9D54" w14:textId="77777777" w:rsidR="00A2416E" w:rsidRDefault="00A2416E">
      <w:pPr>
        <w:pStyle w:val="Brdtext"/>
        <w:rPr>
          <w:sz w:val="26"/>
        </w:rPr>
      </w:pPr>
    </w:p>
    <w:p w14:paraId="4B62674C" w14:textId="77777777" w:rsidR="00A2416E" w:rsidRDefault="00A2416E">
      <w:pPr>
        <w:pStyle w:val="Brdtext"/>
        <w:rPr>
          <w:sz w:val="26"/>
        </w:rPr>
      </w:pPr>
    </w:p>
    <w:p w14:paraId="1921A8E7" w14:textId="77777777" w:rsidR="00A2416E" w:rsidRDefault="00A2416E">
      <w:pPr>
        <w:pStyle w:val="Brdtext"/>
        <w:rPr>
          <w:sz w:val="26"/>
        </w:rPr>
      </w:pPr>
    </w:p>
    <w:p w14:paraId="3B5954AD" w14:textId="77777777" w:rsidR="00A2416E" w:rsidRDefault="00A2416E">
      <w:pPr>
        <w:pStyle w:val="Brdtext"/>
        <w:rPr>
          <w:sz w:val="26"/>
        </w:rPr>
      </w:pPr>
    </w:p>
    <w:p w14:paraId="6D123182" w14:textId="77777777" w:rsidR="00A2416E" w:rsidRDefault="00A2416E">
      <w:pPr>
        <w:pStyle w:val="Brdtext"/>
        <w:rPr>
          <w:sz w:val="26"/>
        </w:rPr>
      </w:pPr>
    </w:p>
    <w:p w14:paraId="6E023F0F" w14:textId="77777777" w:rsidR="00A2416E" w:rsidRDefault="00A2416E">
      <w:pPr>
        <w:pStyle w:val="Brdtext"/>
        <w:rPr>
          <w:sz w:val="26"/>
        </w:rPr>
      </w:pPr>
    </w:p>
    <w:p w14:paraId="673A25F2" w14:textId="77777777" w:rsidR="00A2416E" w:rsidRDefault="00A2416E">
      <w:pPr>
        <w:pStyle w:val="Brdtext"/>
        <w:rPr>
          <w:sz w:val="26"/>
        </w:rPr>
      </w:pPr>
    </w:p>
    <w:p w14:paraId="3CCEACBA" w14:textId="77777777" w:rsidR="00A2416E" w:rsidRDefault="00A2416E">
      <w:pPr>
        <w:pStyle w:val="Brdtext"/>
        <w:rPr>
          <w:sz w:val="26"/>
        </w:rPr>
      </w:pPr>
    </w:p>
    <w:p w14:paraId="5FC5200E" w14:textId="77777777" w:rsidR="00A2416E" w:rsidRDefault="00A2416E">
      <w:pPr>
        <w:pStyle w:val="Brdtext"/>
        <w:rPr>
          <w:sz w:val="26"/>
        </w:rPr>
      </w:pPr>
    </w:p>
    <w:p w14:paraId="286B93AD" w14:textId="77777777" w:rsidR="00A2416E" w:rsidRDefault="00A2416E">
      <w:pPr>
        <w:pStyle w:val="Brdtext"/>
        <w:rPr>
          <w:sz w:val="26"/>
        </w:rPr>
      </w:pPr>
    </w:p>
    <w:p w14:paraId="420D1E7A" w14:textId="77777777" w:rsidR="00A2416E" w:rsidRDefault="00A2416E">
      <w:pPr>
        <w:pStyle w:val="Brdtext"/>
        <w:rPr>
          <w:sz w:val="26"/>
        </w:rPr>
      </w:pPr>
    </w:p>
    <w:p w14:paraId="0C5704DE" w14:textId="77777777" w:rsidR="00A2416E" w:rsidRDefault="00A2416E">
      <w:pPr>
        <w:pStyle w:val="Brdtext"/>
        <w:rPr>
          <w:sz w:val="26"/>
        </w:rPr>
      </w:pPr>
    </w:p>
    <w:p w14:paraId="01626443" w14:textId="77777777" w:rsidR="00A2416E" w:rsidRDefault="00A2416E">
      <w:pPr>
        <w:pStyle w:val="Brdtext"/>
        <w:rPr>
          <w:sz w:val="26"/>
        </w:rPr>
      </w:pPr>
    </w:p>
    <w:p w14:paraId="36AD06E0" w14:textId="77777777" w:rsidR="00A2416E" w:rsidRDefault="00A2416E">
      <w:pPr>
        <w:pStyle w:val="Brdtext"/>
        <w:rPr>
          <w:sz w:val="26"/>
        </w:rPr>
      </w:pPr>
    </w:p>
    <w:p w14:paraId="26EDA37B" w14:textId="77777777" w:rsidR="00A2416E" w:rsidRDefault="00A2416E">
      <w:pPr>
        <w:pStyle w:val="Brdtext"/>
        <w:rPr>
          <w:sz w:val="26"/>
        </w:rPr>
      </w:pPr>
    </w:p>
    <w:p w14:paraId="05A57E67" w14:textId="77777777" w:rsidR="00A2416E" w:rsidRDefault="00A2416E">
      <w:pPr>
        <w:pStyle w:val="Brdtext"/>
        <w:rPr>
          <w:sz w:val="26"/>
        </w:rPr>
      </w:pPr>
    </w:p>
    <w:p w14:paraId="38EEEB4B" w14:textId="77777777" w:rsidR="00A2416E" w:rsidRDefault="00A2416E">
      <w:pPr>
        <w:pStyle w:val="Brdtext"/>
        <w:rPr>
          <w:sz w:val="26"/>
        </w:rPr>
      </w:pPr>
    </w:p>
    <w:p w14:paraId="40C566BA" w14:textId="77777777" w:rsidR="00A2416E" w:rsidRDefault="00A2416E">
      <w:pPr>
        <w:pStyle w:val="Brdtext"/>
        <w:rPr>
          <w:sz w:val="26"/>
        </w:rPr>
      </w:pPr>
    </w:p>
    <w:p w14:paraId="7002B62C" w14:textId="77777777" w:rsidR="00A2416E" w:rsidRDefault="00A2416E">
      <w:pPr>
        <w:pStyle w:val="Brdtext"/>
        <w:rPr>
          <w:sz w:val="26"/>
        </w:rPr>
      </w:pPr>
    </w:p>
    <w:p w14:paraId="3313B690" w14:textId="77777777" w:rsidR="00A2416E" w:rsidRDefault="00A2416E">
      <w:pPr>
        <w:pStyle w:val="Brdtext"/>
        <w:rPr>
          <w:sz w:val="26"/>
        </w:rPr>
      </w:pPr>
    </w:p>
    <w:p w14:paraId="164F8077" w14:textId="77777777" w:rsidR="00A2416E" w:rsidRDefault="00A2416E">
      <w:pPr>
        <w:pStyle w:val="Brdtext"/>
        <w:rPr>
          <w:sz w:val="26"/>
        </w:rPr>
      </w:pPr>
    </w:p>
    <w:p w14:paraId="03001A05" w14:textId="77777777" w:rsidR="00A2416E" w:rsidRDefault="00A2416E">
      <w:pPr>
        <w:pStyle w:val="Brdtext"/>
        <w:rPr>
          <w:sz w:val="26"/>
        </w:rPr>
      </w:pPr>
    </w:p>
    <w:p w14:paraId="35F2DB8D" w14:textId="77777777" w:rsidR="00A2416E" w:rsidRDefault="00A2416E">
      <w:pPr>
        <w:pStyle w:val="Brdtext"/>
        <w:rPr>
          <w:sz w:val="26"/>
        </w:rPr>
      </w:pPr>
    </w:p>
    <w:p w14:paraId="40DD90BC" w14:textId="77777777" w:rsidR="00A2416E" w:rsidRDefault="00534832">
      <w:pPr>
        <w:pStyle w:val="Rubrik3"/>
        <w:spacing w:before="224"/>
      </w:pPr>
      <w:r>
        <w:t>6</w:t>
      </w:r>
    </w:p>
    <w:p w14:paraId="0F0644FB" w14:textId="77777777" w:rsidR="00A2416E" w:rsidRDefault="00A2416E">
      <w:pPr>
        <w:sectPr w:rsidR="00A2416E">
          <w:type w:val="continuous"/>
          <w:pgSz w:w="9360" w:h="13720"/>
          <w:pgMar w:top="900" w:right="580" w:bottom="280" w:left="620" w:header="720" w:footer="720" w:gutter="0"/>
          <w:cols w:space="720"/>
        </w:sectPr>
      </w:pPr>
    </w:p>
    <w:p w14:paraId="7E910C00" w14:textId="77777777" w:rsidR="00A2416E" w:rsidRDefault="00A2416E">
      <w:pPr>
        <w:pStyle w:val="Brdtext"/>
        <w:spacing w:before="5"/>
        <w:rPr>
          <w:rFonts w:ascii="HelveticaNeueLT Std Cn"/>
          <w:sz w:val="17"/>
        </w:rPr>
      </w:pPr>
    </w:p>
    <w:p w14:paraId="1D864C65" w14:textId="77777777" w:rsidR="00A2416E" w:rsidRDefault="00A2416E">
      <w:pPr>
        <w:rPr>
          <w:rFonts w:ascii="HelveticaNeueLT Std Cn"/>
          <w:sz w:val="17"/>
        </w:rPr>
        <w:sectPr w:rsidR="00A2416E">
          <w:pgSz w:w="9360" w:h="13720"/>
          <w:pgMar w:top="1280" w:right="580" w:bottom="280" w:left="620" w:header="720" w:footer="720" w:gutter="0"/>
          <w:cols w:space="720"/>
        </w:sectPr>
      </w:pPr>
    </w:p>
    <w:p w14:paraId="442D83DA" w14:textId="77777777" w:rsidR="00A2416E" w:rsidRDefault="00A2416E">
      <w:pPr>
        <w:pStyle w:val="Brdtext"/>
        <w:rPr>
          <w:rFonts w:ascii="HelveticaNeueLT Std Cn"/>
          <w:sz w:val="20"/>
        </w:rPr>
      </w:pPr>
    </w:p>
    <w:p w14:paraId="21280EC6" w14:textId="77777777" w:rsidR="00A2416E" w:rsidRDefault="00A2416E">
      <w:pPr>
        <w:pStyle w:val="Brdtext"/>
        <w:rPr>
          <w:rFonts w:ascii="HelveticaNeueLT Std Cn"/>
          <w:sz w:val="20"/>
        </w:rPr>
      </w:pPr>
    </w:p>
    <w:p w14:paraId="18CB8DD6" w14:textId="77777777" w:rsidR="00A2416E" w:rsidRDefault="00A2416E">
      <w:pPr>
        <w:pStyle w:val="Brdtext"/>
        <w:rPr>
          <w:rFonts w:ascii="HelveticaNeueLT Std Cn"/>
          <w:sz w:val="20"/>
        </w:rPr>
      </w:pPr>
    </w:p>
    <w:p w14:paraId="540CFE4B" w14:textId="77777777" w:rsidR="00A2416E" w:rsidRDefault="00A2416E">
      <w:pPr>
        <w:pStyle w:val="Brdtext"/>
        <w:rPr>
          <w:rFonts w:ascii="HelveticaNeueLT Std Cn"/>
          <w:sz w:val="20"/>
        </w:rPr>
      </w:pPr>
    </w:p>
    <w:p w14:paraId="11845BE4" w14:textId="77777777" w:rsidR="00A2416E" w:rsidRDefault="00A2416E">
      <w:pPr>
        <w:pStyle w:val="Brdtext"/>
        <w:rPr>
          <w:rFonts w:ascii="HelveticaNeueLT Std Cn"/>
          <w:sz w:val="20"/>
        </w:rPr>
      </w:pPr>
    </w:p>
    <w:p w14:paraId="1DC5E8BC" w14:textId="77777777" w:rsidR="00A2416E" w:rsidRDefault="00A2416E">
      <w:pPr>
        <w:pStyle w:val="Brdtext"/>
        <w:rPr>
          <w:rFonts w:ascii="HelveticaNeueLT Std Cn"/>
          <w:sz w:val="20"/>
        </w:rPr>
      </w:pPr>
    </w:p>
    <w:p w14:paraId="4C7E42E5" w14:textId="77777777" w:rsidR="00A2416E" w:rsidRDefault="00A2416E">
      <w:pPr>
        <w:pStyle w:val="Brdtext"/>
        <w:rPr>
          <w:rFonts w:ascii="HelveticaNeueLT Std Cn"/>
          <w:sz w:val="20"/>
        </w:rPr>
      </w:pPr>
    </w:p>
    <w:p w14:paraId="22D939CA" w14:textId="77777777" w:rsidR="00A2416E" w:rsidRDefault="00A2416E">
      <w:pPr>
        <w:pStyle w:val="Brdtext"/>
        <w:rPr>
          <w:rFonts w:ascii="HelveticaNeueLT Std Cn"/>
          <w:sz w:val="20"/>
        </w:rPr>
      </w:pPr>
    </w:p>
    <w:p w14:paraId="028AB1C2" w14:textId="77777777" w:rsidR="00A2416E" w:rsidRDefault="00A2416E">
      <w:pPr>
        <w:pStyle w:val="Brdtext"/>
        <w:rPr>
          <w:rFonts w:ascii="HelveticaNeueLT Std Cn"/>
          <w:sz w:val="20"/>
        </w:rPr>
      </w:pPr>
    </w:p>
    <w:p w14:paraId="1DD21BDF" w14:textId="77777777" w:rsidR="00A2416E" w:rsidRDefault="00A2416E">
      <w:pPr>
        <w:pStyle w:val="Brdtext"/>
        <w:rPr>
          <w:rFonts w:ascii="HelveticaNeueLT Std Cn"/>
          <w:sz w:val="20"/>
        </w:rPr>
      </w:pPr>
    </w:p>
    <w:p w14:paraId="2083FCED" w14:textId="77777777" w:rsidR="00A2416E" w:rsidRDefault="00A2416E">
      <w:pPr>
        <w:pStyle w:val="Brdtext"/>
        <w:rPr>
          <w:rFonts w:ascii="HelveticaNeueLT Std Cn"/>
          <w:sz w:val="20"/>
        </w:rPr>
      </w:pPr>
    </w:p>
    <w:p w14:paraId="028AE273" w14:textId="77777777" w:rsidR="00A2416E" w:rsidRDefault="00A2416E">
      <w:pPr>
        <w:pStyle w:val="Brdtext"/>
        <w:rPr>
          <w:rFonts w:ascii="HelveticaNeueLT Std Cn"/>
          <w:sz w:val="20"/>
        </w:rPr>
      </w:pPr>
    </w:p>
    <w:p w14:paraId="251DFACB" w14:textId="77777777" w:rsidR="00A2416E" w:rsidRDefault="00A2416E">
      <w:pPr>
        <w:pStyle w:val="Brdtext"/>
        <w:rPr>
          <w:rFonts w:ascii="HelveticaNeueLT Std Cn"/>
          <w:sz w:val="20"/>
        </w:rPr>
      </w:pPr>
    </w:p>
    <w:p w14:paraId="0A2B0D40" w14:textId="77777777" w:rsidR="00A2416E" w:rsidRDefault="00A2416E">
      <w:pPr>
        <w:pStyle w:val="Brdtext"/>
        <w:rPr>
          <w:rFonts w:ascii="HelveticaNeueLT Std Cn"/>
          <w:sz w:val="20"/>
        </w:rPr>
      </w:pPr>
    </w:p>
    <w:p w14:paraId="30A81004" w14:textId="77777777" w:rsidR="00A2416E" w:rsidRDefault="00A2416E">
      <w:pPr>
        <w:pStyle w:val="Brdtext"/>
        <w:rPr>
          <w:rFonts w:ascii="HelveticaNeueLT Std Cn"/>
          <w:sz w:val="20"/>
        </w:rPr>
      </w:pPr>
    </w:p>
    <w:p w14:paraId="3A7B3309" w14:textId="77777777" w:rsidR="00A2416E" w:rsidRDefault="00A2416E">
      <w:pPr>
        <w:pStyle w:val="Brdtext"/>
        <w:rPr>
          <w:rFonts w:ascii="HelveticaNeueLT Std Cn"/>
          <w:sz w:val="20"/>
        </w:rPr>
      </w:pPr>
    </w:p>
    <w:p w14:paraId="2361A1FC" w14:textId="77777777" w:rsidR="00A2416E" w:rsidRDefault="00A2416E">
      <w:pPr>
        <w:pStyle w:val="Brdtext"/>
        <w:rPr>
          <w:rFonts w:ascii="HelveticaNeueLT Std Cn"/>
          <w:sz w:val="20"/>
        </w:rPr>
      </w:pPr>
    </w:p>
    <w:p w14:paraId="738FFF7C" w14:textId="77777777" w:rsidR="00A2416E" w:rsidRDefault="00A2416E">
      <w:pPr>
        <w:pStyle w:val="Brdtext"/>
        <w:rPr>
          <w:rFonts w:ascii="HelveticaNeueLT Std Cn"/>
          <w:sz w:val="20"/>
        </w:rPr>
      </w:pPr>
    </w:p>
    <w:p w14:paraId="76492810" w14:textId="77777777" w:rsidR="00A2416E" w:rsidRDefault="00A2416E">
      <w:pPr>
        <w:pStyle w:val="Brdtext"/>
        <w:rPr>
          <w:rFonts w:ascii="HelveticaNeueLT Std Cn"/>
          <w:sz w:val="20"/>
        </w:rPr>
      </w:pPr>
    </w:p>
    <w:p w14:paraId="6F92DCEE" w14:textId="77777777" w:rsidR="00A2416E" w:rsidRDefault="00A2416E">
      <w:pPr>
        <w:pStyle w:val="Brdtext"/>
        <w:rPr>
          <w:rFonts w:ascii="HelveticaNeueLT Std Cn"/>
          <w:sz w:val="20"/>
        </w:rPr>
      </w:pPr>
    </w:p>
    <w:p w14:paraId="70327EAF" w14:textId="77777777" w:rsidR="00A2416E" w:rsidRDefault="00A2416E">
      <w:pPr>
        <w:pStyle w:val="Brdtext"/>
        <w:rPr>
          <w:rFonts w:ascii="HelveticaNeueLT Std Cn"/>
          <w:sz w:val="20"/>
        </w:rPr>
      </w:pPr>
    </w:p>
    <w:p w14:paraId="5C32F2E3" w14:textId="77777777" w:rsidR="00A2416E" w:rsidRDefault="00A2416E">
      <w:pPr>
        <w:pStyle w:val="Brdtext"/>
        <w:rPr>
          <w:rFonts w:ascii="HelveticaNeueLT Std Cn"/>
          <w:sz w:val="20"/>
        </w:rPr>
      </w:pPr>
    </w:p>
    <w:p w14:paraId="299CDD49" w14:textId="77777777" w:rsidR="00A2416E" w:rsidRDefault="00A2416E">
      <w:pPr>
        <w:pStyle w:val="Brdtext"/>
        <w:rPr>
          <w:rFonts w:ascii="HelveticaNeueLT Std Cn"/>
          <w:sz w:val="20"/>
        </w:rPr>
      </w:pPr>
    </w:p>
    <w:p w14:paraId="01E205CD" w14:textId="77777777" w:rsidR="00A2416E" w:rsidRDefault="00A2416E">
      <w:pPr>
        <w:pStyle w:val="Brdtext"/>
        <w:rPr>
          <w:rFonts w:ascii="HelveticaNeueLT Std Cn"/>
          <w:sz w:val="20"/>
        </w:rPr>
      </w:pPr>
    </w:p>
    <w:p w14:paraId="57053980" w14:textId="77777777" w:rsidR="00A2416E" w:rsidRDefault="00A2416E">
      <w:pPr>
        <w:pStyle w:val="Brdtext"/>
        <w:rPr>
          <w:rFonts w:ascii="HelveticaNeueLT Std Cn"/>
          <w:sz w:val="20"/>
        </w:rPr>
      </w:pPr>
    </w:p>
    <w:p w14:paraId="7E7BCDE6" w14:textId="77777777" w:rsidR="00A2416E" w:rsidRDefault="00A2416E">
      <w:pPr>
        <w:pStyle w:val="Brdtext"/>
        <w:rPr>
          <w:rFonts w:ascii="HelveticaNeueLT Std Cn"/>
          <w:sz w:val="20"/>
        </w:rPr>
      </w:pPr>
    </w:p>
    <w:p w14:paraId="6E96DEB2" w14:textId="77777777" w:rsidR="00A2416E" w:rsidRDefault="00A2416E">
      <w:pPr>
        <w:pStyle w:val="Brdtext"/>
        <w:rPr>
          <w:rFonts w:ascii="HelveticaNeueLT Std Cn"/>
          <w:sz w:val="20"/>
        </w:rPr>
      </w:pPr>
    </w:p>
    <w:p w14:paraId="2CEA5378" w14:textId="77777777" w:rsidR="00A2416E" w:rsidRDefault="00A2416E">
      <w:pPr>
        <w:pStyle w:val="Brdtext"/>
        <w:rPr>
          <w:rFonts w:ascii="HelveticaNeueLT Std Cn"/>
          <w:sz w:val="20"/>
        </w:rPr>
      </w:pPr>
    </w:p>
    <w:p w14:paraId="3490DF5D" w14:textId="77777777" w:rsidR="00A2416E" w:rsidRDefault="00A2416E">
      <w:pPr>
        <w:pStyle w:val="Brdtext"/>
        <w:rPr>
          <w:rFonts w:ascii="HelveticaNeueLT Std Cn"/>
          <w:sz w:val="20"/>
        </w:rPr>
      </w:pPr>
    </w:p>
    <w:p w14:paraId="34D5B22D" w14:textId="77777777" w:rsidR="00A2416E" w:rsidRDefault="00A2416E">
      <w:pPr>
        <w:pStyle w:val="Brdtext"/>
        <w:rPr>
          <w:rFonts w:ascii="HelveticaNeueLT Std Cn"/>
          <w:sz w:val="20"/>
        </w:rPr>
      </w:pPr>
    </w:p>
    <w:p w14:paraId="05213574" w14:textId="77777777" w:rsidR="00A2416E" w:rsidRDefault="00A2416E">
      <w:pPr>
        <w:pStyle w:val="Brdtext"/>
        <w:rPr>
          <w:rFonts w:ascii="HelveticaNeueLT Std Cn"/>
          <w:sz w:val="20"/>
        </w:rPr>
      </w:pPr>
    </w:p>
    <w:p w14:paraId="660C5318" w14:textId="77777777" w:rsidR="00A2416E" w:rsidRDefault="00A2416E">
      <w:pPr>
        <w:pStyle w:val="Brdtext"/>
        <w:rPr>
          <w:rFonts w:ascii="HelveticaNeueLT Std Cn"/>
          <w:sz w:val="20"/>
        </w:rPr>
      </w:pPr>
    </w:p>
    <w:p w14:paraId="01DCA327" w14:textId="77777777" w:rsidR="00A2416E" w:rsidRDefault="00A2416E">
      <w:pPr>
        <w:pStyle w:val="Brdtext"/>
        <w:rPr>
          <w:rFonts w:ascii="HelveticaNeueLT Std Cn"/>
          <w:sz w:val="20"/>
        </w:rPr>
      </w:pPr>
    </w:p>
    <w:p w14:paraId="086BC412" w14:textId="77777777" w:rsidR="00A2416E" w:rsidRDefault="00A2416E">
      <w:pPr>
        <w:pStyle w:val="Brdtext"/>
        <w:rPr>
          <w:rFonts w:ascii="HelveticaNeueLT Std Cn"/>
          <w:sz w:val="20"/>
        </w:rPr>
      </w:pPr>
    </w:p>
    <w:p w14:paraId="294DA329" w14:textId="77777777" w:rsidR="00A2416E" w:rsidRDefault="00A2416E">
      <w:pPr>
        <w:pStyle w:val="Brdtext"/>
        <w:rPr>
          <w:rFonts w:ascii="HelveticaNeueLT Std Cn"/>
          <w:sz w:val="20"/>
        </w:rPr>
      </w:pPr>
    </w:p>
    <w:p w14:paraId="22792458" w14:textId="77777777" w:rsidR="00A2416E" w:rsidRDefault="00A2416E">
      <w:pPr>
        <w:pStyle w:val="Brdtext"/>
        <w:rPr>
          <w:rFonts w:ascii="HelveticaNeueLT Std Cn"/>
          <w:sz w:val="20"/>
        </w:rPr>
      </w:pPr>
    </w:p>
    <w:p w14:paraId="1C740100" w14:textId="77777777" w:rsidR="00A2416E" w:rsidRDefault="00A2416E">
      <w:pPr>
        <w:pStyle w:val="Brdtext"/>
        <w:rPr>
          <w:rFonts w:ascii="HelveticaNeueLT Std Cn"/>
          <w:sz w:val="20"/>
        </w:rPr>
      </w:pPr>
    </w:p>
    <w:p w14:paraId="29572199" w14:textId="77777777" w:rsidR="00A2416E" w:rsidRDefault="00A2416E">
      <w:pPr>
        <w:pStyle w:val="Brdtext"/>
        <w:rPr>
          <w:rFonts w:ascii="HelveticaNeueLT Std Cn"/>
          <w:sz w:val="20"/>
        </w:rPr>
      </w:pPr>
    </w:p>
    <w:p w14:paraId="0EB0BC72" w14:textId="77777777" w:rsidR="00A2416E" w:rsidRDefault="00A2416E">
      <w:pPr>
        <w:pStyle w:val="Brdtext"/>
        <w:rPr>
          <w:rFonts w:ascii="HelveticaNeueLT Std Cn"/>
          <w:sz w:val="20"/>
        </w:rPr>
      </w:pPr>
    </w:p>
    <w:p w14:paraId="2D3A12AE" w14:textId="77777777" w:rsidR="00A2416E" w:rsidRDefault="00A2416E">
      <w:pPr>
        <w:pStyle w:val="Brdtext"/>
        <w:rPr>
          <w:rFonts w:ascii="HelveticaNeueLT Std Cn"/>
          <w:sz w:val="20"/>
        </w:rPr>
      </w:pPr>
    </w:p>
    <w:p w14:paraId="27EB7451" w14:textId="77777777" w:rsidR="00A2416E" w:rsidRDefault="00A2416E">
      <w:pPr>
        <w:pStyle w:val="Brdtext"/>
        <w:rPr>
          <w:rFonts w:ascii="HelveticaNeueLT Std Cn"/>
          <w:sz w:val="20"/>
        </w:rPr>
      </w:pPr>
    </w:p>
    <w:p w14:paraId="0EDA141E" w14:textId="77777777" w:rsidR="00A2416E" w:rsidRDefault="00A2416E">
      <w:pPr>
        <w:pStyle w:val="Brdtext"/>
        <w:rPr>
          <w:rFonts w:ascii="HelveticaNeueLT Std Cn"/>
          <w:sz w:val="20"/>
        </w:rPr>
      </w:pPr>
    </w:p>
    <w:p w14:paraId="5F428612" w14:textId="77777777" w:rsidR="00A2416E" w:rsidRDefault="00A2416E">
      <w:pPr>
        <w:pStyle w:val="Brdtext"/>
        <w:rPr>
          <w:rFonts w:ascii="HelveticaNeueLT Std Cn"/>
          <w:sz w:val="20"/>
        </w:rPr>
      </w:pPr>
    </w:p>
    <w:p w14:paraId="161E4775" w14:textId="77777777" w:rsidR="00A2416E" w:rsidRDefault="00A2416E">
      <w:pPr>
        <w:pStyle w:val="Brdtext"/>
        <w:rPr>
          <w:rFonts w:ascii="HelveticaNeueLT Std Cn"/>
          <w:sz w:val="20"/>
        </w:rPr>
      </w:pPr>
    </w:p>
    <w:p w14:paraId="22A8064F" w14:textId="77777777" w:rsidR="00A2416E" w:rsidRDefault="00A2416E">
      <w:pPr>
        <w:pStyle w:val="Brdtext"/>
        <w:rPr>
          <w:rFonts w:ascii="HelveticaNeueLT Std Cn"/>
          <w:sz w:val="20"/>
        </w:rPr>
      </w:pPr>
    </w:p>
    <w:p w14:paraId="2306BE05" w14:textId="77777777" w:rsidR="00A2416E" w:rsidRDefault="00A2416E">
      <w:pPr>
        <w:pStyle w:val="Brdtext"/>
        <w:rPr>
          <w:rFonts w:ascii="HelveticaNeueLT Std Cn"/>
          <w:sz w:val="20"/>
        </w:rPr>
      </w:pPr>
    </w:p>
    <w:p w14:paraId="54B49DEE" w14:textId="77777777" w:rsidR="00A2416E" w:rsidRDefault="00A2416E">
      <w:pPr>
        <w:pStyle w:val="Brdtext"/>
        <w:rPr>
          <w:rFonts w:ascii="HelveticaNeueLT Std Cn"/>
          <w:sz w:val="20"/>
        </w:rPr>
      </w:pPr>
    </w:p>
    <w:p w14:paraId="301BA4AE" w14:textId="77777777" w:rsidR="00A2416E" w:rsidRDefault="00A2416E">
      <w:pPr>
        <w:pStyle w:val="Brdtext"/>
        <w:rPr>
          <w:rFonts w:ascii="HelveticaNeueLT Std Cn"/>
          <w:sz w:val="20"/>
        </w:rPr>
      </w:pPr>
    </w:p>
    <w:p w14:paraId="2F896C4C" w14:textId="77777777" w:rsidR="00A2416E" w:rsidRDefault="00A2416E">
      <w:pPr>
        <w:pStyle w:val="Brdtext"/>
        <w:rPr>
          <w:rFonts w:ascii="HelveticaNeueLT Std Cn"/>
          <w:sz w:val="20"/>
        </w:rPr>
      </w:pPr>
    </w:p>
    <w:p w14:paraId="460C6538" w14:textId="77777777" w:rsidR="00A2416E" w:rsidRDefault="00A2416E">
      <w:pPr>
        <w:pStyle w:val="Brdtext"/>
        <w:spacing w:before="5"/>
        <w:rPr>
          <w:rFonts w:ascii="HelveticaNeueLT Std Cn"/>
          <w:sz w:val="16"/>
        </w:rPr>
      </w:pPr>
    </w:p>
    <w:p w14:paraId="6493E55E" w14:textId="77777777" w:rsidR="00A2416E" w:rsidRDefault="00534832">
      <w:pPr>
        <w:spacing w:before="94"/>
        <w:ind w:left="3265" w:right="3303"/>
        <w:jc w:val="center"/>
        <w:rPr>
          <w:sz w:val="16"/>
        </w:rPr>
      </w:pPr>
      <w:proofErr w:type="spellStart"/>
      <w:r>
        <w:rPr>
          <w:sz w:val="16"/>
        </w:rPr>
        <w:t>Arkitektkopia</w:t>
      </w:r>
      <w:proofErr w:type="spellEnd"/>
      <w:r>
        <w:rPr>
          <w:sz w:val="16"/>
        </w:rPr>
        <w:t xml:space="preserve"> AB, 2021</w:t>
      </w:r>
    </w:p>
    <w:sectPr w:rsidR="00A2416E">
      <w:pgSz w:w="9360" w:h="13720"/>
      <w:pgMar w:top="128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Cn">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3022"/>
    <w:multiLevelType w:val="hybridMultilevel"/>
    <w:tmpl w:val="9C32ADD2"/>
    <w:lvl w:ilvl="0" w:tplc="DCE0122A">
      <w:start w:val="1"/>
      <w:numFmt w:val="lowerLetter"/>
      <w:lvlText w:val="%1."/>
      <w:lvlJc w:val="left"/>
      <w:pPr>
        <w:ind w:left="315" w:hanging="199"/>
        <w:jc w:val="left"/>
      </w:pPr>
      <w:rPr>
        <w:rFonts w:ascii="Times New Roman" w:eastAsia="Times New Roman" w:hAnsi="Times New Roman" w:cs="Times New Roman" w:hint="default"/>
        <w:w w:val="100"/>
        <w:sz w:val="19"/>
        <w:szCs w:val="19"/>
        <w:lang w:val="sv-SE" w:eastAsia="sv-SE" w:bidi="sv-SE"/>
      </w:rPr>
    </w:lvl>
    <w:lvl w:ilvl="1" w:tplc="46349384">
      <w:numFmt w:val="bullet"/>
      <w:lvlText w:val="•"/>
      <w:lvlJc w:val="left"/>
      <w:pPr>
        <w:ind w:left="933" w:hanging="199"/>
      </w:pPr>
      <w:rPr>
        <w:rFonts w:hint="default"/>
        <w:lang w:val="sv-SE" w:eastAsia="sv-SE" w:bidi="sv-SE"/>
      </w:rPr>
    </w:lvl>
    <w:lvl w:ilvl="2" w:tplc="CC300154">
      <w:numFmt w:val="bullet"/>
      <w:lvlText w:val="•"/>
      <w:lvlJc w:val="left"/>
      <w:pPr>
        <w:ind w:left="1546" w:hanging="199"/>
      </w:pPr>
      <w:rPr>
        <w:rFonts w:hint="default"/>
        <w:lang w:val="sv-SE" w:eastAsia="sv-SE" w:bidi="sv-SE"/>
      </w:rPr>
    </w:lvl>
    <w:lvl w:ilvl="3" w:tplc="49C20834">
      <w:numFmt w:val="bullet"/>
      <w:lvlText w:val="•"/>
      <w:lvlJc w:val="left"/>
      <w:pPr>
        <w:ind w:left="2160" w:hanging="199"/>
      </w:pPr>
      <w:rPr>
        <w:rFonts w:hint="default"/>
        <w:lang w:val="sv-SE" w:eastAsia="sv-SE" w:bidi="sv-SE"/>
      </w:rPr>
    </w:lvl>
    <w:lvl w:ilvl="4" w:tplc="265016FE">
      <w:numFmt w:val="bullet"/>
      <w:lvlText w:val="•"/>
      <w:lvlJc w:val="left"/>
      <w:pPr>
        <w:ind w:left="2773" w:hanging="199"/>
      </w:pPr>
      <w:rPr>
        <w:rFonts w:hint="default"/>
        <w:lang w:val="sv-SE" w:eastAsia="sv-SE" w:bidi="sv-SE"/>
      </w:rPr>
    </w:lvl>
    <w:lvl w:ilvl="5" w:tplc="4BD2233C">
      <w:numFmt w:val="bullet"/>
      <w:lvlText w:val="•"/>
      <w:lvlJc w:val="left"/>
      <w:pPr>
        <w:ind w:left="3386" w:hanging="199"/>
      </w:pPr>
      <w:rPr>
        <w:rFonts w:hint="default"/>
        <w:lang w:val="sv-SE" w:eastAsia="sv-SE" w:bidi="sv-SE"/>
      </w:rPr>
    </w:lvl>
    <w:lvl w:ilvl="6" w:tplc="3E8E58BE">
      <w:numFmt w:val="bullet"/>
      <w:lvlText w:val="•"/>
      <w:lvlJc w:val="left"/>
      <w:pPr>
        <w:ind w:left="4000" w:hanging="199"/>
      </w:pPr>
      <w:rPr>
        <w:rFonts w:hint="default"/>
        <w:lang w:val="sv-SE" w:eastAsia="sv-SE" w:bidi="sv-SE"/>
      </w:rPr>
    </w:lvl>
    <w:lvl w:ilvl="7" w:tplc="D1A2B188">
      <w:numFmt w:val="bullet"/>
      <w:lvlText w:val="•"/>
      <w:lvlJc w:val="left"/>
      <w:pPr>
        <w:ind w:left="4613" w:hanging="199"/>
      </w:pPr>
      <w:rPr>
        <w:rFonts w:hint="default"/>
        <w:lang w:val="sv-SE" w:eastAsia="sv-SE" w:bidi="sv-SE"/>
      </w:rPr>
    </w:lvl>
    <w:lvl w:ilvl="8" w:tplc="2B70E1B6">
      <w:numFmt w:val="bullet"/>
      <w:lvlText w:val="•"/>
      <w:lvlJc w:val="left"/>
      <w:pPr>
        <w:ind w:left="5226" w:hanging="199"/>
      </w:pPr>
      <w:rPr>
        <w:rFonts w:hint="default"/>
        <w:lang w:val="sv-SE" w:eastAsia="sv-SE" w:bidi="sv-SE"/>
      </w:rPr>
    </w:lvl>
  </w:abstractNum>
  <w:abstractNum w:abstractNumId="1" w15:restartNumberingAfterBreak="0">
    <w:nsid w:val="481C1347"/>
    <w:multiLevelType w:val="hybridMultilevel"/>
    <w:tmpl w:val="9C7E1930"/>
    <w:lvl w:ilvl="0" w:tplc="C744F9C0">
      <w:start w:val="1"/>
      <w:numFmt w:val="lowerLetter"/>
      <w:lvlText w:val="%1."/>
      <w:lvlJc w:val="left"/>
      <w:pPr>
        <w:ind w:left="315" w:hanging="199"/>
        <w:jc w:val="left"/>
      </w:pPr>
      <w:rPr>
        <w:rFonts w:ascii="Times New Roman" w:eastAsia="Times New Roman" w:hAnsi="Times New Roman" w:cs="Times New Roman" w:hint="default"/>
        <w:w w:val="100"/>
        <w:sz w:val="19"/>
        <w:szCs w:val="19"/>
        <w:lang w:val="sv-SE" w:eastAsia="sv-SE" w:bidi="sv-SE"/>
      </w:rPr>
    </w:lvl>
    <w:lvl w:ilvl="1" w:tplc="FEB4DD82">
      <w:numFmt w:val="bullet"/>
      <w:lvlText w:val="•"/>
      <w:lvlJc w:val="left"/>
      <w:pPr>
        <w:ind w:left="933" w:hanging="199"/>
      </w:pPr>
      <w:rPr>
        <w:rFonts w:hint="default"/>
        <w:lang w:val="sv-SE" w:eastAsia="sv-SE" w:bidi="sv-SE"/>
      </w:rPr>
    </w:lvl>
    <w:lvl w:ilvl="2" w:tplc="50BA73C2">
      <w:numFmt w:val="bullet"/>
      <w:lvlText w:val="•"/>
      <w:lvlJc w:val="left"/>
      <w:pPr>
        <w:ind w:left="1546" w:hanging="199"/>
      </w:pPr>
      <w:rPr>
        <w:rFonts w:hint="default"/>
        <w:lang w:val="sv-SE" w:eastAsia="sv-SE" w:bidi="sv-SE"/>
      </w:rPr>
    </w:lvl>
    <w:lvl w:ilvl="3" w:tplc="4ED00D5E">
      <w:numFmt w:val="bullet"/>
      <w:lvlText w:val="•"/>
      <w:lvlJc w:val="left"/>
      <w:pPr>
        <w:ind w:left="2160" w:hanging="199"/>
      </w:pPr>
      <w:rPr>
        <w:rFonts w:hint="default"/>
        <w:lang w:val="sv-SE" w:eastAsia="sv-SE" w:bidi="sv-SE"/>
      </w:rPr>
    </w:lvl>
    <w:lvl w:ilvl="4" w:tplc="20641262">
      <w:numFmt w:val="bullet"/>
      <w:lvlText w:val="•"/>
      <w:lvlJc w:val="left"/>
      <w:pPr>
        <w:ind w:left="2773" w:hanging="199"/>
      </w:pPr>
      <w:rPr>
        <w:rFonts w:hint="default"/>
        <w:lang w:val="sv-SE" w:eastAsia="sv-SE" w:bidi="sv-SE"/>
      </w:rPr>
    </w:lvl>
    <w:lvl w:ilvl="5" w:tplc="A4BE9D08">
      <w:numFmt w:val="bullet"/>
      <w:lvlText w:val="•"/>
      <w:lvlJc w:val="left"/>
      <w:pPr>
        <w:ind w:left="3386" w:hanging="199"/>
      </w:pPr>
      <w:rPr>
        <w:rFonts w:hint="default"/>
        <w:lang w:val="sv-SE" w:eastAsia="sv-SE" w:bidi="sv-SE"/>
      </w:rPr>
    </w:lvl>
    <w:lvl w:ilvl="6" w:tplc="CCC41658">
      <w:numFmt w:val="bullet"/>
      <w:lvlText w:val="•"/>
      <w:lvlJc w:val="left"/>
      <w:pPr>
        <w:ind w:left="4000" w:hanging="199"/>
      </w:pPr>
      <w:rPr>
        <w:rFonts w:hint="default"/>
        <w:lang w:val="sv-SE" w:eastAsia="sv-SE" w:bidi="sv-SE"/>
      </w:rPr>
    </w:lvl>
    <w:lvl w:ilvl="7" w:tplc="905C7B2E">
      <w:numFmt w:val="bullet"/>
      <w:lvlText w:val="•"/>
      <w:lvlJc w:val="left"/>
      <w:pPr>
        <w:ind w:left="4613" w:hanging="199"/>
      </w:pPr>
      <w:rPr>
        <w:rFonts w:hint="default"/>
        <w:lang w:val="sv-SE" w:eastAsia="sv-SE" w:bidi="sv-SE"/>
      </w:rPr>
    </w:lvl>
    <w:lvl w:ilvl="8" w:tplc="0A20BB10">
      <w:numFmt w:val="bullet"/>
      <w:lvlText w:val="•"/>
      <w:lvlJc w:val="left"/>
      <w:pPr>
        <w:ind w:left="5226" w:hanging="199"/>
      </w:pPr>
      <w:rPr>
        <w:rFonts w:hint="default"/>
        <w:lang w:val="sv-SE" w:eastAsia="sv-SE" w:bidi="sv-SE"/>
      </w:rPr>
    </w:lvl>
  </w:abstractNum>
  <w:abstractNum w:abstractNumId="2" w15:restartNumberingAfterBreak="0">
    <w:nsid w:val="5BD660CD"/>
    <w:multiLevelType w:val="hybridMultilevel"/>
    <w:tmpl w:val="E2CC420E"/>
    <w:lvl w:ilvl="0" w:tplc="87C88236">
      <w:start w:val="1"/>
      <w:numFmt w:val="lowerLetter"/>
      <w:lvlText w:val="%1."/>
      <w:lvlJc w:val="left"/>
      <w:pPr>
        <w:ind w:left="315" w:hanging="199"/>
        <w:jc w:val="left"/>
      </w:pPr>
      <w:rPr>
        <w:rFonts w:ascii="Times New Roman" w:eastAsia="Times New Roman" w:hAnsi="Times New Roman" w:cs="Times New Roman" w:hint="default"/>
        <w:w w:val="100"/>
        <w:sz w:val="19"/>
        <w:szCs w:val="19"/>
        <w:lang w:val="sv-SE" w:eastAsia="sv-SE" w:bidi="sv-SE"/>
      </w:rPr>
    </w:lvl>
    <w:lvl w:ilvl="1" w:tplc="D8EA215C">
      <w:numFmt w:val="bullet"/>
      <w:lvlText w:val="•"/>
      <w:lvlJc w:val="left"/>
      <w:pPr>
        <w:ind w:left="933" w:hanging="199"/>
      </w:pPr>
      <w:rPr>
        <w:rFonts w:hint="default"/>
        <w:lang w:val="sv-SE" w:eastAsia="sv-SE" w:bidi="sv-SE"/>
      </w:rPr>
    </w:lvl>
    <w:lvl w:ilvl="2" w:tplc="2D1CE9CC">
      <w:numFmt w:val="bullet"/>
      <w:lvlText w:val="•"/>
      <w:lvlJc w:val="left"/>
      <w:pPr>
        <w:ind w:left="1546" w:hanging="199"/>
      </w:pPr>
      <w:rPr>
        <w:rFonts w:hint="default"/>
        <w:lang w:val="sv-SE" w:eastAsia="sv-SE" w:bidi="sv-SE"/>
      </w:rPr>
    </w:lvl>
    <w:lvl w:ilvl="3" w:tplc="F2682940">
      <w:numFmt w:val="bullet"/>
      <w:lvlText w:val="•"/>
      <w:lvlJc w:val="left"/>
      <w:pPr>
        <w:ind w:left="2160" w:hanging="199"/>
      </w:pPr>
      <w:rPr>
        <w:rFonts w:hint="default"/>
        <w:lang w:val="sv-SE" w:eastAsia="sv-SE" w:bidi="sv-SE"/>
      </w:rPr>
    </w:lvl>
    <w:lvl w:ilvl="4" w:tplc="C7582D32">
      <w:numFmt w:val="bullet"/>
      <w:lvlText w:val="•"/>
      <w:lvlJc w:val="left"/>
      <w:pPr>
        <w:ind w:left="2773" w:hanging="199"/>
      </w:pPr>
      <w:rPr>
        <w:rFonts w:hint="default"/>
        <w:lang w:val="sv-SE" w:eastAsia="sv-SE" w:bidi="sv-SE"/>
      </w:rPr>
    </w:lvl>
    <w:lvl w:ilvl="5" w:tplc="4C42FF80">
      <w:numFmt w:val="bullet"/>
      <w:lvlText w:val="•"/>
      <w:lvlJc w:val="left"/>
      <w:pPr>
        <w:ind w:left="3386" w:hanging="199"/>
      </w:pPr>
      <w:rPr>
        <w:rFonts w:hint="default"/>
        <w:lang w:val="sv-SE" w:eastAsia="sv-SE" w:bidi="sv-SE"/>
      </w:rPr>
    </w:lvl>
    <w:lvl w:ilvl="6" w:tplc="8EB06906">
      <w:numFmt w:val="bullet"/>
      <w:lvlText w:val="•"/>
      <w:lvlJc w:val="left"/>
      <w:pPr>
        <w:ind w:left="4000" w:hanging="199"/>
      </w:pPr>
      <w:rPr>
        <w:rFonts w:hint="default"/>
        <w:lang w:val="sv-SE" w:eastAsia="sv-SE" w:bidi="sv-SE"/>
      </w:rPr>
    </w:lvl>
    <w:lvl w:ilvl="7" w:tplc="A57C080A">
      <w:numFmt w:val="bullet"/>
      <w:lvlText w:val="•"/>
      <w:lvlJc w:val="left"/>
      <w:pPr>
        <w:ind w:left="4613" w:hanging="199"/>
      </w:pPr>
      <w:rPr>
        <w:rFonts w:hint="default"/>
        <w:lang w:val="sv-SE" w:eastAsia="sv-SE" w:bidi="sv-SE"/>
      </w:rPr>
    </w:lvl>
    <w:lvl w:ilvl="8" w:tplc="D0B8D752">
      <w:numFmt w:val="bullet"/>
      <w:lvlText w:val="•"/>
      <w:lvlJc w:val="left"/>
      <w:pPr>
        <w:ind w:left="5226" w:hanging="199"/>
      </w:pPr>
      <w:rPr>
        <w:rFonts w:hint="default"/>
        <w:lang w:val="sv-SE" w:eastAsia="sv-SE" w:bidi="sv-SE"/>
      </w:rPr>
    </w:lvl>
  </w:abstractNum>
  <w:abstractNum w:abstractNumId="3" w15:restartNumberingAfterBreak="0">
    <w:nsid w:val="75B322EB"/>
    <w:multiLevelType w:val="hybridMultilevel"/>
    <w:tmpl w:val="9434F28E"/>
    <w:lvl w:ilvl="0" w:tplc="B284F896">
      <w:start w:val="4"/>
      <w:numFmt w:val="decimal"/>
      <w:lvlText w:val="%1"/>
      <w:lvlJc w:val="left"/>
      <w:pPr>
        <w:ind w:left="117" w:hanging="191"/>
        <w:jc w:val="left"/>
      </w:pPr>
      <w:rPr>
        <w:rFonts w:ascii="Times New Roman" w:eastAsia="Times New Roman" w:hAnsi="Times New Roman" w:cs="Times New Roman" w:hint="default"/>
        <w:b/>
        <w:bCs/>
        <w:spacing w:val="-8"/>
        <w:w w:val="100"/>
        <w:sz w:val="19"/>
        <w:szCs w:val="19"/>
        <w:lang w:val="sv-SE" w:eastAsia="sv-SE" w:bidi="sv-SE"/>
      </w:rPr>
    </w:lvl>
    <w:lvl w:ilvl="1" w:tplc="393E4A44">
      <w:numFmt w:val="bullet"/>
      <w:lvlText w:val="•"/>
      <w:lvlJc w:val="left"/>
      <w:pPr>
        <w:ind w:left="400" w:hanging="191"/>
      </w:pPr>
      <w:rPr>
        <w:rFonts w:hint="default"/>
        <w:lang w:val="sv-SE" w:eastAsia="sv-SE" w:bidi="sv-SE"/>
      </w:rPr>
    </w:lvl>
    <w:lvl w:ilvl="2" w:tplc="6742EC7E">
      <w:numFmt w:val="bullet"/>
      <w:lvlText w:val="•"/>
      <w:lvlJc w:val="left"/>
      <w:pPr>
        <w:ind w:left="892" w:hanging="191"/>
      </w:pPr>
      <w:rPr>
        <w:rFonts w:hint="default"/>
        <w:lang w:val="sv-SE" w:eastAsia="sv-SE" w:bidi="sv-SE"/>
      </w:rPr>
    </w:lvl>
    <w:lvl w:ilvl="3" w:tplc="458C596A">
      <w:numFmt w:val="bullet"/>
      <w:lvlText w:val="•"/>
      <w:lvlJc w:val="left"/>
      <w:pPr>
        <w:ind w:left="1385" w:hanging="191"/>
      </w:pPr>
      <w:rPr>
        <w:rFonts w:hint="default"/>
        <w:lang w:val="sv-SE" w:eastAsia="sv-SE" w:bidi="sv-SE"/>
      </w:rPr>
    </w:lvl>
    <w:lvl w:ilvl="4" w:tplc="A57C0292">
      <w:numFmt w:val="bullet"/>
      <w:lvlText w:val="•"/>
      <w:lvlJc w:val="left"/>
      <w:pPr>
        <w:ind w:left="1878" w:hanging="191"/>
      </w:pPr>
      <w:rPr>
        <w:rFonts w:hint="default"/>
        <w:lang w:val="sv-SE" w:eastAsia="sv-SE" w:bidi="sv-SE"/>
      </w:rPr>
    </w:lvl>
    <w:lvl w:ilvl="5" w:tplc="EAD81622">
      <w:numFmt w:val="bullet"/>
      <w:lvlText w:val="•"/>
      <w:lvlJc w:val="left"/>
      <w:pPr>
        <w:ind w:left="2371" w:hanging="191"/>
      </w:pPr>
      <w:rPr>
        <w:rFonts w:hint="default"/>
        <w:lang w:val="sv-SE" w:eastAsia="sv-SE" w:bidi="sv-SE"/>
      </w:rPr>
    </w:lvl>
    <w:lvl w:ilvl="6" w:tplc="79FE8E66">
      <w:numFmt w:val="bullet"/>
      <w:lvlText w:val="•"/>
      <w:lvlJc w:val="left"/>
      <w:pPr>
        <w:ind w:left="2864" w:hanging="191"/>
      </w:pPr>
      <w:rPr>
        <w:rFonts w:hint="default"/>
        <w:lang w:val="sv-SE" w:eastAsia="sv-SE" w:bidi="sv-SE"/>
      </w:rPr>
    </w:lvl>
    <w:lvl w:ilvl="7" w:tplc="48705B1C">
      <w:numFmt w:val="bullet"/>
      <w:lvlText w:val="•"/>
      <w:lvlJc w:val="left"/>
      <w:pPr>
        <w:ind w:left="3357" w:hanging="191"/>
      </w:pPr>
      <w:rPr>
        <w:rFonts w:hint="default"/>
        <w:lang w:val="sv-SE" w:eastAsia="sv-SE" w:bidi="sv-SE"/>
      </w:rPr>
    </w:lvl>
    <w:lvl w:ilvl="8" w:tplc="9DD4479E">
      <w:numFmt w:val="bullet"/>
      <w:lvlText w:val="•"/>
      <w:lvlJc w:val="left"/>
      <w:pPr>
        <w:ind w:left="3850" w:hanging="191"/>
      </w:pPr>
      <w:rPr>
        <w:rFonts w:hint="default"/>
        <w:lang w:val="sv-SE" w:eastAsia="sv-SE" w:bidi="sv-SE"/>
      </w:rPr>
    </w:lvl>
  </w:abstractNum>
  <w:abstractNum w:abstractNumId="4" w15:restartNumberingAfterBreak="0">
    <w:nsid w:val="781053DB"/>
    <w:multiLevelType w:val="hybridMultilevel"/>
    <w:tmpl w:val="78DE761A"/>
    <w:lvl w:ilvl="0" w:tplc="46523CC6">
      <w:start w:val="1"/>
      <w:numFmt w:val="lowerLetter"/>
      <w:lvlText w:val="%1."/>
      <w:lvlJc w:val="left"/>
      <w:pPr>
        <w:ind w:left="315" w:hanging="199"/>
        <w:jc w:val="left"/>
      </w:pPr>
      <w:rPr>
        <w:rFonts w:ascii="Times New Roman" w:eastAsia="Times New Roman" w:hAnsi="Times New Roman" w:cs="Times New Roman" w:hint="default"/>
        <w:w w:val="100"/>
        <w:sz w:val="19"/>
        <w:szCs w:val="19"/>
        <w:lang w:val="sv-SE" w:eastAsia="sv-SE" w:bidi="sv-SE"/>
      </w:rPr>
    </w:lvl>
    <w:lvl w:ilvl="1" w:tplc="0C929874">
      <w:numFmt w:val="bullet"/>
      <w:lvlText w:val="•"/>
      <w:lvlJc w:val="left"/>
      <w:pPr>
        <w:ind w:left="933" w:hanging="199"/>
      </w:pPr>
      <w:rPr>
        <w:rFonts w:hint="default"/>
        <w:lang w:val="sv-SE" w:eastAsia="sv-SE" w:bidi="sv-SE"/>
      </w:rPr>
    </w:lvl>
    <w:lvl w:ilvl="2" w:tplc="1D466E7E">
      <w:numFmt w:val="bullet"/>
      <w:lvlText w:val="•"/>
      <w:lvlJc w:val="left"/>
      <w:pPr>
        <w:ind w:left="1546" w:hanging="199"/>
      </w:pPr>
      <w:rPr>
        <w:rFonts w:hint="default"/>
        <w:lang w:val="sv-SE" w:eastAsia="sv-SE" w:bidi="sv-SE"/>
      </w:rPr>
    </w:lvl>
    <w:lvl w:ilvl="3" w:tplc="7B32C61C">
      <w:numFmt w:val="bullet"/>
      <w:lvlText w:val="•"/>
      <w:lvlJc w:val="left"/>
      <w:pPr>
        <w:ind w:left="2160" w:hanging="199"/>
      </w:pPr>
      <w:rPr>
        <w:rFonts w:hint="default"/>
        <w:lang w:val="sv-SE" w:eastAsia="sv-SE" w:bidi="sv-SE"/>
      </w:rPr>
    </w:lvl>
    <w:lvl w:ilvl="4" w:tplc="CC2A008E">
      <w:numFmt w:val="bullet"/>
      <w:lvlText w:val="•"/>
      <w:lvlJc w:val="left"/>
      <w:pPr>
        <w:ind w:left="2773" w:hanging="199"/>
      </w:pPr>
      <w:rPr>
        <w:rFonts w:hint="default"/>
        <w:lang w:val="sv-SE" w:eastAsia="sv-SE" w:bidi="sv-SE"/>
      </w:rPr>
    </w:lvl>
    <w:lvl w:ilvl="5" w:tplc="BFD03AA2">
      <w:numFmt w:val="bullet"/>
      <w:lvlText w:val="•"/>
      <w:lvlJc w:val="left"/>
      <w:pPr>
        <w:ind w:left="3386" w:hanging="199"/>
      </w:pPr>
      <w:rPr>
        <w:rFonts w:hint="default"/>
        <w:lang w:val="sv-SE" w:eastAsia="sv-SE" w:bidi="sv-SE"/>
      </w:rPr>
    </w:lvl>
    <w:lvl w:ilvl="6" w:tplc="BFA48664">
      <w:numFmt w:val="bullet"/>
      <w:lvlText w:val="•"/>
      <w:lvlJc w:val="left"/>
      <w:pPr>
        <w:ind w:left="4000" w:hanging="199"/>
      </w:pPr>
      <w:rPr>
        <w:rFonts w:hint="default"/>
        <w:lang w:val="sv-SE" w:eastAsia="sv-SE" w:bidi="sv-SE"/>
      </w:rPr>
    </w:lvl>
    <w:lvl w:ilvl="7" w:tplc="4F0CD3C6">
      <w:numFmt w:val="bullet"/>
      <w:lvlText w:val="•"/>
      <w:lvlJc w:val="left"/>
      <w:pPr>
        <w:ind w:left="4613" w:hanging="199"/>
      </w:pPr>
      <w:rPr>
        <w:rFonts w:hint="default"/>
        <w:lang w:val="sv-SE" w:eastAsia="sv-SE" w:bidi="sv-SE"/>
      </w:rPr>
    </w:lvl>
    <w:lvl w:ilvl="8" w:tplc="00F4FAC6">
      <w:numFmt w:val="bullet"/>
      <w:lvlText w:val="•"/>
      <w:lvlJc w:val="left"/>
      <w:pPr>
        <w:ind w:left="5226" w:hanging="199"/>
      </w:pPr>
      <w:rPr>
        <w:rFonts w:hint="default"/>
        <w:lang w:val="sv-SE" w:eastAsia="sv-SE" w:bidi="sv-SE"/>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2416E"/>
    <w:rsid w:val="00066A85"/>
    <w:rsid w:val="00534832"/>
    <w:rsid w:val="00581354"/>
    <w:rsid w:val="005C5D66"/>
    <w:rsid w:val="00A241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2978AA5"/>
  <w15:docId w15:val="{3431FC6E-06A0-4218-8771-913709BB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eastAsia="sv-SE" w:bidi="sv-SE"/>
    </w:rPr>
  </w:style>
  <w:style w:type="paragraph" w:styleId="Rubrik1">
    <w:name w:val="heading 1"/>
    <w:basedOn w:val="Normal"/>
    <w:uiPriority w:val="9"/>
    <w:qFormat/>
    <w:pPr>
      <w:spacing w:before="71"/>
      <w:ind w:right="33"/>
      <w:outlineLvl w:val="0"/>
    </w:pPr>
    <w:rPr>
      <w:b/>
      <w:bCs/>
      <w:sz w:val="26"/>
      <w:szCs w:val="26"/>
    </w:rPr>
  </w:style>
  <w:style w:type="paragraph" w:styleId="Rubrik2">
    <w:name w:val="heading 2"/>
    <w:basedOn w:val="Normal"/>
    <w:uiPriority w:val="9"/>
    <w:unhideWhenUsed/>
    <w:qFormat/>
    <w:pPr>
      <w:spacing w:before="73"/>
      <w:ind w:left="117"/>
      <w:outlineLvl w:val="1"/>
    </w:pPr>
    <w:rPr>
      <w:b/>
      <w:bCs/>
      <w:sz w:val="21"/>
      <w:szCs w:val="21"/>
    </w:rPr>
  </w:style>
  <w:style w:type="paragraph" w:styleId="Rubrik3">
    <w:name w:val="heading 3"/>
    <w:basedOn w:val="Normal"/>
    <w:uiPriority w:val="9"/>
    <w:unhideWhenUsed/>
    <w:qFormat/>
    <w:pPr>
      <w:spacing w:before="1"/>
      <w:ind w:left="117"/>
      <w:outlineLvl w:val="2"/>
    </w:pPr>
    <w:rPr>
      <w:rFonts w:ascii="HelveticaNeueLT Std Cn" w:eastAsia="HelveticaNeueLT Std Cn" w:hAnsi="HelveticaNeueLT Std Cn" w:cs="HelveticaNeueLT Std Cn"/>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19"/>
      <w:szCs w:val="19"/>
    </w:rPr>
  </w:style>
  <w:style w:type="paragraph" w:styleId="Liststycke">
    <w:name w:val="List Paragraph"/>
    <w:basedOn w:val="Normal"/>
    <w:uiPriority w:val="1"/>
    <w:qFormat/>
    <w:pPr>
      <w:spacing w:before="68"/>
      <w:ind w:left="315" w:hanging="199"/>
    </w:pPr>
  </w:style>
  <w:style w:type="paragraph" w:customStyle="1" w:styleId="TableParagraph">
    <w:name w:val="Table Paragraph"/>
    <w:basedOn w:val="Normal"/>
    <w:uiPriority w:val="1"/>
    <w:qFormat/>
    <w:pPr>
      <w:spacing w:before="36"/>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1608</Words>
  <Characters>8524</Characters>
  <Application>Microsoft Office Word</Application>
  <DocSecurity>0</DocSecurity>
  <Lines>71</Lines>
  <Paragraphs>20</Paragraphs>
  <ScaleCrop>false</ScaleCrop>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STEMFS 2021:2 Föreskrifter om ändring av Statens energimyndighets föreskrifter (STEMFS 2017:3) om rapportering och beräkning enligt drivmedelslagen</dc:title>
  <dc:creator>Rikard Janson (chefsjurist)</dc:creator>
  <cp:keywords>STEMFS 2021:2 Föreskrifter om ändring av Statens energimyndighets föreskrifter (STEMFS 2017:3) om rapportering och beräkning enligt drivmedelslagen</cp:keywords>
  <cp:lastModifiedBy>Edison Moises Parraga Chica</cp:lastModifiedBy>
  <cp:revision>5</cp:revision>
  <dcterms:created xsi:type="dcterms:W3CDTF">2021-04-07T09:34:00Z</dcterms:created>
  <dcterms:modified xsi:type="dcterms:W3CDTF">2022-01-17T20:48:00Z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2021-01-29T00:00:00Z</vt:filetime>
  </property>
  <property fmtid="{D5CDD505-2E9C-101B-9397-08002B2CF9AE}" pid="3" name="Creator">
    <vt:lpwstr>Adobe InDesign 16.0 (Windows)</vt:lpwstr>
  </property>
  <property fmtid="{D5CDD505-2E9C-101B-9397-08002B2CF9AE}" pid="4" name="LastSaved">
    <vt:filetime>2021-04-07T00:00:00Z</vt:filetime>
  </property>
</Properties>
</file>