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1D8" w:rsidRPr="00792C38" w:rsidRDefault="008411D8" w:rsidP="008411D8">
      <w:pPr>
        <w:pStyle w:val="PlainText"/>
        <w:rPr>
          <w:rFonts w:ascii="Courier New" w:hAnsi="Courier New" w:cs="Courier New"/>
          <w:sz w:val="20"/>
          <w:szCs w:val="20"/>
        </w:rPr>
      </w:pPr>
      <w:r w:rsidRPr="00792C38">
        <w:rPr>
          <w:rFonts w:ascii="Courier New" w:hAnsi="Courier New"/>
          <w:sz w:val="20"/>
        </w:rPr>
        <w:t>1. ------IND- 2018 0040 DK- PT- ------ 20190410 --- --- FINAL</w:t>
      </w:r>
    </w:p>
    <w:p w:rsidR="008411D8" w:rsidRPr="00792C38" w:rsidRDefault="008411D8" w:rsidP="00E442DC">
      <w:pPr>
        <w:pStyle w:val="Heading1"/>
      </w:pPr>
    </w:p>
    <w:p w:rsidR="000B446C" w:rsidRPr="00792C38" w:rsidRDefault="00E25909" w:rsidP="00E442DC">
      <w:pPr>
        <w:pStyle w:val="Heading1"/>
      </w:pPr>
      <w:r w:rsidRPr="00792C38">
        <w:t>Despacho n.º 592, de 29 de maio de 2018, relativo à utilização de instrumentos de pesagem automáticos</w:t>
      </w:r>
    </w:p>
    <w:p w:rsidR="000B446C" w:rsidRPr="00792C38" w:rsidRDefault="00E25909" w:rsidP="00E442DC">
      <w:r w:rsidRPr="00792C38">
        <w:t>Nos termos do artigo 15.º, n.º 1, e do artigo 22.º, n.º 4, da Lei relativa à promoção empresarial e ao desenvolvimento regional (ver Lei consolidada n.º 820, de 28 de junho de 2016), é estabelecido o seguinte mediante autorização em conformidade com o artigo 2.º, pontos 10 e 17, do Despacho n.º 545, de 29 de maio de 2017, relativo à delegação de poderes à autoridade de supervisão:</w:t>
      </w:r>
    </w:p>
    <w:p w:rsidR="000B446C" w:rsidRPr="00792C38" w:rsidRDefault="00E25909" w:rsidP="00E442DC">
      <w:pPr>
        <w:pStyle w:val="Heading2"/>
      </w:pPr>
      <w:r w:rsidRPr="00792C38">
        <w:t>Capítulo 1 – Âmbito de aplicação</w:t>
      </w:r>
    </w:p>
    <w:p w:rsidR="000B446C" w:rsidRPr="00792C38" w:rsidRDefault="00E25909" w:rsidP="00E442DC">
      <w:pPr>
        <w:pStyle w:val="Heading3"/>
      </w:pPr>
      <w:r w:rsidRPr="00792C38">
        <w:t>Artigo 1.º</w:t>
      </w:r>
    </w:p>
    <w:p w:rsidR="000B446C" w:rsidRPr="00792C38" w:rsidRDefault="00E25909" w:rsidP="00E442DC">
      <w:r w:rsidRPr="00792C38">
        <w:t>O despacho é aplicável a instrumentos de pesagem automáticos utilizados para a medição de massas e quando são efetuados pagamentos com base nas medições.</w:t>
      </w:r>
    </w:p>
    <w:p w:rsidR="000B446C" w:rsidRPr="00792C38" w:rsidRDefault="00E25909" w:rsidP="00E442DC">
      <w:r w:rsidRPr="00792C38">
        <w:t>2. Os produtos legalmente colocados no mercado noutro Estado-Membro da União Europeia ou na Turquia, ou que sejam originários de um Estado da EFTA que seja parte do Acordo EEE, e aí sejam legalmente comercializados, são entendidos como conformes com o presente despacho. A aplicação do presente despacho está sujeita ao Regulamento (CE) n.º 764/2008 do Parlamento Europeu e do Conselho, de 9 de julho de 2008, que estabelece procedimentos para a aplicação de certas regras técnicas nacionais a produtos legalmente comercializados noutro Estado-Membro, com a redação que lhe foi dada.</w:t>
      </w:r>
    </w:p>
    <w:p w:rsidR="000B446C" w:rsidRPr="00792C38" w:rsidRDefault="00E25909" w:rsidP="00E442DC">
      <w:pPr>
        <w:pStyle w:val="Heading2"/>
      </w:pPr>
      <w:r w:rsidRPr="00792C38">
        <w:t>Capítulo 2 – Definições</w:t>
      </w:r>
    </w:p>
    <w:p w:rsidR="000B446C" w:rsidRPr="00792C38" w:rsidRDefault="00E25909" w:rsidP="00E442DC">
      <w:pPr>
        <w:pStyle w:val="Heading3"/>
      </w:pPr>
      <w:r w:rsidRPr="00792C38">
        <w:t>Artigo 2.º</w:t>
      </w:r>
    </w:p>
    <w:p w:rsidR="000B446C" w:rsidRPr="00792C38" w:rsidRDefault="00E25909" w:rsidP="00E442DC">
      <w:pPr>
        <w:keepNext/>
        <w:keepLines/>
      </w:pPr>
      <w:r w:rsidRPr="00792C38">
        <w:t>Para efeitos do presente despacho, entende-se por:</w:t>
      </w:r>
    </w:p>
    <w:p w:rsidR="000B446C" w:rsidRPr="00792C38" w:rsidRDefault="00E25909" w:rsidP="00E442DC">
      <w:pPr>
        <w:numPr>
          <w:ilvl w:val="0"/>
          <w:numId w:val="1"/>
        </w:numPr>
      </w:pPr>
      <w:r w:rsidRPr="00792C38">
        <w:t>«Instrumento de pesagem automático»: instrumento que determina a massa de um produto sem intervenção de um operador e que segue um programa predeterminado de processos automáticos característico do instrumento;</w:t>
      </w:r>
    </w:p>
    <w:p w:rsidR="000B446C" w:rsidRPr="00792C38" w:rsidRDefault="00E25909" w:rsidP="00E442DC">
      <w:pPr>
        <w:numPr>
          <w:ilvl w:val="0"/>
          <w:numId w:val="1"/>
        </w:numPr>
      </w:pPr>
      <w:r w:rsidRPr="00792C38">
        <w:t>«Gama de utilização»: a parte da gama de pesagem que um instrumento de pesagem automático pode pesar na instalação em causa e que está dentro das condições de funcionamento sob as quais o instrumento de pesagem automático foi aprovado quando foi colocado no mercado;</w:t>
      </w:r>
    </w:p>
    <w:p w:rsidR="000B446C" w:rsidRPr="00792C38" w:rsidRDefault="00E25909" w:rsidP="00E442DC">
      <w:pPr>
        <w:numPr>
          <w:ilvl w:val="0"/>
          <w:numId w:val="1"/>
        </w:numPr>
      </w:pPr>
      <w:r w:rsidRPr="00792C38">
        <w:t>«Selagem»: medidas físicas ou eletrónicas para proteger o instrumento contra manipulação.</w:t>
      </w:r>
    </w:p>
    <w:p w:rsidR="000B446C" w:rsidRPr="00792C38" w:rsidRDefault="00E25909" w:rsidP="00E442DC">
      <w:pPr>
        <w:numPr>
          <w:ilvl w:val="0"/>
          <w:numId w:val="1"/>
        </w:numPr>
      </w:pPr>
      <w:r w:rsidRPr="00792C38">
        <w:t xml:space="preserve">«Nova verificação»: as atividades que comprovam e confirmam que um instrumento de pesagem automático em utilização cumpre os requisitos regulamentares e que cumpre os mesmos requisitos de precisão na atual </w:t>
      </w:r>
      <w:r w:rsidRPr="00792C38">
        <w:lastRenderedPageBreak/>
        <w:t>gama de utilização que eram aplicáveis quando o instrumento foi colocado no mercado;</w:t>
      </w:r>
    </w:p>
    <w:p w:rsidR="000B446C" w:rsidRPr="00792C38" w:rsidRDefault="00E25909" w:rsidP="00E442DC">
      <w:pPr>
        <w:numPr>
          <w:ilvl w:val="0"/>
          <w:numId w:val="1"/>
        </w:numPr>
      </w:pPr>
      <w:r w:rsidRPr="00792C38">
        <w:t>«Fornecedor do equipamento»: um fabricante, importador ou distribuidor de instrumentos de pesagem automáticos abrangidos pelo artigo 1.º, n.º 1;</w:t>
      </w:r>
    </w:p>
    <w:p w:rsidR="000B446C" w:rsidRPr="00792C38" w:rsidRDefault="00E25909" w:rsidP="00E442DC">
      <w:pPr>
        <w:numPr>
          <w:ilvl w:val="0"/>
          <w:numId w:val="1"/>
        </w:numPr>
      </w:pPr>
      <w:r w:rsidRPr="00792C38">
        <w:t>«Proprietário do instrumento»: uma empresa que tem à sua disposição um ou mais instrumentos de pesagem automáticos e que o(s) utiliza(m) para os fins previstos no a</w:t>
      </w:r>
      <w:bookmarkStart w:id="0" w:name="_GoBack"/>
      <w:bookmarkEnd w:id="0"/>
      <w:r w:rsidRPr="00792C38">
        <w:t>rtigo 1.º, n.º 1.</w:t>
      </w:r>
    </w:p>
    <w:p w:rsidR="000B446C" w:rsidRPr="00792C38" w:rsidRDefault="00E25909" w:rsidP="00E442DC">
      <w:pPr>
        <w:pStyle w:val="Heading2"/>
      </w:pPr>
      <w:r w:rsidRPr="00792C38">
        <w:t>Capítulo 3 – Requisitos aplicáveis aos fornecedores do equipamento</w:t>
      </w:r>
    </w:p>
    <w:p w:rsidR="000B446C" w:rsidRPr="00792C38" w:rsidRDefault="00E25909" w:rsidP="00E442DC">
      <w:pPr>
        <w:pStyle w:val="Heading3"/>
      </w:pPr>
      <w:r w:rsidRPr="00792C38">
        <w:t>Artigo 3.º</w:t>
      </w:r>
    </w:p>
    <w:p w:rsidR="000B446C" w:rsidRPr="00792C38" w:rsidRDefault="00E25909" w:rsidP="00E442DC">
      <w:r w:rsidRPr="00792C38">
        <w:t>O fornecedor do equipamento de um instrumento de pesagem automático que funciona de acordo com princípios de medição ou tem projetos de engenharia diferentes dos previstos no Anexo 8 do despacho relativo à disponibilização no mercado de instrumentos de medição apenas pode comercializar ou vender um instrumento de pesagem automático abrangido pelo artigo 1.º, n.º 1, se o instrumento de pesagem automático:</w:t>
      </w:r>
    </w:p>
    <w:p w:rsidR="000B446C" w:rsidRPr="00792C38" w:rsidRDefault="00E25909" w:rsidP="00E442DC">
      <w:pPr>
        <w:numPr>
          <w:ilvl w:val="0"/>
          <w:numId w:val="2"/>
        </w:numPr>
      </w:pPr>
      <w:r w:rsidRPr="00792C38">
        <w:t>cumprir requisitos de precisão e funcionalidade equivalentes aos aplicáveis a um instrumento de pesagem automático comparável abrangido pelo despacho relativo à disponibilização no mercado de instrumentos de medição, ou cumprir os requisitos de precisão e funcionalidade especificados nas normas pertinentes ou nas recomendações da Organização Internacional de Metrologia Legal (OIML); e</w:t>
      </w:r>
    </w:p>
    <w:p w:rsidR="000B446C" w:rsidRPr="00792C38" w:rsidRDefault="00E25909" w:rsidP="00E442DC">
      <w:pPr>
        <w:numPr>
          <w:ilvl w:val="0"/>
          <w:numId w:val="2"/>
        </w:numPr>
      </w:pPr>
      <w:r w:rsidRPr="00792C38">
        <w:t>cumprir os requisitos previstos nos anexos 1 e 8 do despacho relativo à disponibilização no mercado de instrumentos de medição, que são também pertinentes no que diz respeito à utilização do instrumento.</w:t>
      </w:r>
    </w:p>
    <w:p w:rsidR="000B446C" w:rsidRPr="00792C38" w:rsidRDefault="00E25909" w:rsidP="00E442DC">
      <w:r w:rsidRPr="00792C38">
        <w:t>2. Um instrumento de pesagem automático (ver n.º 1) que está em conformidade com as normas dinamarquesas publicadas pela Dansk Standard (DS), com as normas europeias publicadas pelo Comité Europeu de Normalização (CEN) ou com as recomendações da OIML, ou partes das mesmas, é considerado como estando em conformidade com os requisitos previstos no n.º 1, pontos 1 e 2.</w:t>
      </w:r>
    </w:p>
    <w:p w:rsidR="000B446C" w:rsidRPr="00792C38" w:rsidRDefault="00E25909" w:rsidP="00E442DC">
      <w:pPr>
        <w:pStyle w:val="Heading3"/>
      </w:pPr>
      <w:r w:rsidRPr="00792C38">
        <w:t>Artigo 4.º</w:t>
      </w:r>
    </w:p>
    <w:p w:rsidR="000B446C" w:rsidRPr="00792C38" w:rsidRDefault="00E25909" w:rsidP="00E442DC">
      <w:r w:rsidRPr="00792C38">
        <w:t>Como prova da conformidade com os requisitos previstos no artigo 3.º, n.º 1, aplicáveis aos instrumentos de pesagem automáticos que são comercializados ou vendidos para utilização e abrangidos pelo artigo 1.º, n.º 1, o fornecedor do equipamento deve assegurar que o que se segue pode ser disponibilizado à Autoridade Dinamarquesa para as Tecnologias de Segurança:</w:t>
      </w:r>
    </w:p>
    <w:p w:rsidR="000B446C" w:rsidRPr="00792C38" w:rsidRDefault="00E25909" w:rsidP="00E442DC">
      <w:pPr>
        <w:numPr>
          <w:ilvl w:val="0"/>
          <w:numId w:val="3"/>
        </w:numPr>
      </w:pPr>
      <w:r w:rsidRPr="00792C38">
        <w:t>Informações sobre a entidade que fabricou o instrumento;</w:t>
      </w:r>
    </w:p>
    <w:p w:rsidR="000B446C" w:rsidRPr="00792C38" w:rsidRDefault="00E25909" w:rsidP="00E442DC">
      <w:pPr>
        <w:numPr>
          <w:ilvl w:val="0"/>
          <w:numId w:val="3"/>
        </w:numPr>
      </w:pPr>
      <w:r w:rsidRPr="00792C38">
        <w:lastRenderedPageBreak/>
        <w:t>Informações sobre o instrumento, que o identifiquem univocamente mediante a indicação de designação de tipo, número de série, número de lote ou elementos análogos;</w:t>
      </w:r>
    </w:p>
    <w:p w:rsidR="000B446C" w:rsidRPr="00792C38" w:rsidRDefault="00E25909" w:rsidP="00E442DC">
      <w:pPr>
        <w:numPr>
          <w:ilvl w:val="0"/>
          <w:numId w:val="3"/>
        </w:numPr>
      </w:pPr>
      <w:r w:rsidRPr="00792C38">
        <w:t>Descrição geral da conceção e funcionalidade do instrumento;</w:t>
      </w:r>
    </w:p>
    <w:p w:rsidR="000B446C" w:rsidRPr="00792C38" w:rsidRDefault="00E25909" w:rsidP="00E442DC">
      <w:pPr>
        <w:numPr>
          <w:ilvl w:val="0"/>
          <w:numId w:val="3"/>
        </w:numPr>
      </w:pPr>
      <w:r w:rsidRPr="00792C38">
        <w:t>Prova dos exames e ensaios efetuados, que demonstre que o instrumento cumpre os requisitos de precisão (ver artigo 3.º, n.º 1, ponto 1);</w:t>
      </w:r>
    </w:p>
    <w:p w:rsidR="000B446C" w:rsidRPr="00792C38" w:rsidRDefault="00E25909" w:rsidP="00E442DC">
      <w:pPr>
        <w:numPr>
          <w:ilvl w:val="0"/>
          <w:numId w:val="3"/>
        </w:numPr>
      </w:pPr>
      <w:r w:rsidRPr="00792C38">
        <w:t>Indicação do sítio onde o selo foi aplicado.</w:t>
      </w:r>
    </w:p>
    <w:p w:rsidR="000B446C" w:rsidRPr="00792C38" w:rsidRDefault="00E25909" w:rsidP="00E442DC">
      <w:r w:rsidRPr="00792C38">
        <w:t>2. Caso não sejam utilizadas nem as normas nem as recomendações da OIML (ver artigo 3.º, n.º 2), ou caso apenas sejam utilizadas parcialmente, o fornecedor do equipamento deve assegurar igualmente que o que se segue pode ser disponibilizado à Autoridade Dinamarquesa para as Tecnologias de Segurança:</w:t>
      </w:r>
    </w:p>
    <w:p w:rsidR="000B446C" w:rsidRPr="00792C38" w:rsidRDefault="00E25909" w:rsidP="00E442DC">
      <w:pPr>
        <w:numPr>
          <w:ilvl w:val="0"/>
          <w:numId w:val="4"/>
        </w:numPr>
      </w:pPr>
      <w:r w:rsidRPr="00792C38">
        <w:t>Desenhos de projeto e de fabrico, bem como descrições e explicações associadas;</w:t>
      </w:r>
    </w:p>
    <w:p w:rsidR="000B446C" w:rsidRPr="00792C38" w:rsidRDefault="00E25909" w:rsidP="00E442DC">
      <w:pPr>
        <w:numPr>
          <w:ilvl w:val="0"/>
          <w:numId w:val="4"/>
        </w:numPr>
      </w:pPr>
      <w:r w:rsidRPr="00792C38">
        <w:t>Descrições que indiquem que o instrumento de pesagem automático cumpre os requisitos do artigo 3.º, n.º 1, ponto 2.</w:t>
      </w:r>
    </w:p>
    <w:p w:rsidR="000B446C" w:rsidRPr="00792C38" w:rsidRDefault="00E25909" w:rsidP="00E442DC">
      <w:r w:rsidRPr="00792C38">
        <w:t>3. O fornecedor do equipamento deve conservar a documentação (ver n.</w:t>
      </w:r>
      <w:r w:rsidRPr="00792C38">
        <w:rPr>
          <w:vertAlign w:val="superscript"/>
        </w:rPr>
        <w:t>os</w:t>
      </w:r>
      <w:r w:rsidRPr="00792C38">
        <w:t> 1 e 2) durante um prazo de 10 anos após a colocação no mercado do instrumento de pesagem automático.</w:t>
      </w:r>
    </w:p>
    <w:p w:rsidR="000B446C" w:rsidRPr="00792C38" w:rsidRDefault="00E25909" w:rsidP="00E442DC">
      <w:pPr>
        <w:pStyle w:val="Heading2"/>
      </w:pPr>
      <w:r w:rsidRPr="00792C38">
        <w:t>Capítulo 4 – Requisitos aplicáveis ao proprietário do instrumento</w:t>
      </w:r>
    </w:p>
    <w:p w:rsidR="000B446C" w:rsidRPr="00792C38" w:rsidRDefault="00E25909" w:rsidP="00E442DC">
      <w:pPr>
        <w:pStyle w:val="Heading3"/>
      </w:pPr>
      <w:r w:rsidRPr="00792C38">
        <w:t>Artigo 5.º</w:t>
      </w:r>
    </w:p>
    <w:p w:rsidR="000B446C" w:rsidRPr="00792C38" w:rsidRDefault="00E25909" w:rsidP="00E442DC">
      <w:r w:rsidRPr="00792C38">
        <w:t>Para os fins abrangidos pelo artigo 1.º, n.º 1, o proprietário do instrumento deve utilizar um instrumento de pesagem automático que cumpra os requisitos previstos no despacho relativo à disponibilização no mercado de instrumentos de medição e que seja marcado de acordo com o referido despacho, ou um instrumento de pesagem automático incluído no artigo 3.º (exceto nos casos previstos no artigo 16.º, n.º 3).</w:t>
      </w:r>
    </w:p>
    <w:p w:rsidR="000B446C" w:rsidRPr="00792C38" w:rsidRDefault="00E25909" w:rsidP="00E442DC">
      <w:r w:rsidRPr="00792C38">
        <w:t>2. O proprietário do instrumento deve assegurar-se de que o instrumento é instalado de acordo com as instruções do fabricante.</w:t>
      </w:r>
    </w:p>
    <w:p w:rsidR="000B446C" w:rsidRPr="00792C38" w:rsidRDefault="00E25909" w:rsidP="00E442DC">
      <w:pPr>
        <w:pStyle w:val="Heading3"/>
      </w:pPr>
      <w:r w:rsidRPr="00792C38">
        <w:t>Artigo 6.º</w:t>
      </w:r>
    </w:p>
    <w:p w:rsidR="000B446C" w:rsidRPr="00792C38" w:rsidRDefault="00E25909" w:rsidP="00E442DC">
      <w:r w:rsidRPr="00792C38">
        <w:t>No caso de um instrumento de pesagem automático abrangido pelo despacho relativo à disponibilização no mercado de instrumentos de medição, o proprietário do instrumento deve utilizar um instrumento que seja adequado para obter medições precisas na utilização prevista ou potencial. Como base para a seleção de um instrumento, o proprietário do instrumento deve utilizar os valores declarados pelo fabricante (ver anexo 1, ponto 1.3, e anexo 8, capítulo 1, ponto 1, do despacho relativo à disponibilização no mercado de instrumentos de medição) para:</w:t>
      </w:r>
    </w:p>
    <w:p w:rsidR="000B446C" w:rsidRPr="00792C38" w:rsidRDefault="00E25909" w:rsidP="00E442DC">
      <w:pPr>
        <w:numPr>
          <w:ilvl w:val="0"/>
          <w:numId w:val="5"/>
        </w:numPr>
      </w:pPr>
      <w:r w:rsidRPr="00792C38">
        <w:lastRenderedPageBreak/>
        <w:t>o ambiente climático, mecânico e eletromagnético em que o instrumento se destina a ser utilizado, bem como para o fornecimento de energia e as grandezas de influência suscetíveis de afetar a precisão do instrumento; e</w:t>
      </w:r>
    </w:p>
    <w:p w:rsidR="000B446C" w:rsidRPr="00792C38" w:rsidRDefault="00E25909" w:rsidP="00E442DC">
      <w:pPr>
        <w:numPr>
          <w:ilvl w:val="0"/>
          <w:numId w:val="5"/>
        </w:numPr>
      </w:pPr>
      <w:r w:rsidRPr="00792C38">
        <w:t>as condições nominais de funcionamento.</w:t>
      </w:r>
    </w:p>
    <w:p w:rsidR="000B446C" w:rsidRPr="00792C38" w:rsidRDefault="00E25909" w:rsidP="00E442DC">
      <w:pPr>
        <w:pStyle w:val="Heading3"/>
      </w:pPr>
      <w:r w:rsidRPr="00792C38">
        <w:t>Classes de precisão</w:t>
      </w:r>
    </w:p>
    <w:p w:rsidR="000B446C" w:rsidRPr="00792C38" w:rsidRDefault="00E25909" w:rsidP="00E442DC">
      <w:pPr>
        <w:pStyle w:val="Heading3"/>
      </w:pPr>
      <w:r w:rsidRPr="00792C38">
        <w:t>Artigo 7.º</w:t>
      </w:r>
    </w:p>
    <w:p w:rsidR="000B446C" w:rsidRPr="00792C38" w:rsidRDefault="00E25909" w:rsidP="00E442DC">
      <w:r w:rsidRPr="00792C38">
        <w:t>O proprietário do instrumento deve utilizar instrumentos de pesagem automáticos das seguintes classes de precisão, tal como estabelecido no Anexo 8 do despacho relativo à disponibilização no mercado de instrumentos de medição, dependendo do domínio de aplicação previsto:</w:t>
      </w:r>
    </w:p>
    <w:p w:rsidR="000B446C" w:rsidRPr="00792C38" w:rsidRDefault="00E25909" w:rsidP="00E442DC">
      <w:pPr>
        <w:keepNext/>
        <w:keepLines/>
        <w:numPr>
          <w:ilvl w:val="0"/>
          <w:numId w:val="6"/>
        </w:numPr>
      </w:pPr>
      <w:r w:rsidRPr="00792C38">
        <w:t>Instrumento de pesagem separador de funcionamento automático na categoria X:</w:t>
      </w:r>
    </w:p>
    <w:p w:rsidR="000B446C" w:rsidRPr="00792C38" w:rsidRDefault="00E25909" w:rsidP="00E442DC">
      <w:pPr>
        <w:numPr>
          <w:ilvl w:val="1"/>
          <w:numId w:val="6"/>
        </w:numPr>
      </w:pPr>
      <w:r w:rsidRPr="00792C38">
        <w:t>Para pesar produtos em pré-embalagens, incluindo produtos marcados eletronicamente, devem ser utilizados instrumentos da classe de precisão XIII ou de uma classe mais elevada [exceto nos casos previstos no ponto 1, alínea b)],</w:t>
      </w:r>
    </w:p>
    <w:p w:rsidR="000B446C" w:rsidRPr="00792C38" w:rsidRDefault="00E25909" w:rsidP="00E442DC">
      <w:pPr>
        <w:numPr>
          <w:ilvl w:val="1"/>
          <w:numId w:val="6"/>
        </w:numPr>
      </w:pPr>
      <w:r w:rsidRPr="00792C38">
        <w:t>Os instrumentos utilizados para pesar produtos em pré-embalagens – não marcados eletronicamente – de baixo valor unitário (tal como areia, gravilha, argamassa e resíduos diferentes de resíduos perigosos) e os instrumentos utilizados para determinar as taxas de transporte, exceto para correio, estão isentos do requisito previsto no ponto 1, alínea a). Para tais aplicações, podem ser utilizados instrumentos da classe de precisão XIV ou de uma classe mais elevada;</w:t>
      </w:r>
    </w:p>
    <w:p w:rsidR="000B446C" w:rsidRPr="00792C38" w:rsidRDefault="00E25909" w:rsidP="00E442DC">
      <w:pPr>
        <w:keepNext/>
        <w:keepLines/>
        <w:numPr>
          <w:ilvl w:val="0"/>
          <w:numId w:val="6"/>
        </w:numPr>
      </w:pPr>
      <w:r w:rsidRPr="00792C38">
        <w:t>Instrumento de pesagem separador de funcionamento automático na categoria Y:</w:t>
      </w:r>
    </w:p>
    <w:p w:rsidR="000B446C" w:rsidRPr="00792C38" w:rsidRDefault="00E25909" w:rsidP="00E442DC">
      <w:pPr>
        <w:numPr>
          <w:ilvl w:val="1"/>
          <w:numId w:val="6"/>
        </w:numPr>
      </w:pPr>
      <w:r w:rsidRPr="00792C38">
        <w:t>Devem ser utilizados instrumentos da classe de precisão Y(a) ou de uma classe mais elevada [exceto nos casos previstos no ponto 2, alínea b)],</w:t>
      </w:r>
    </w:p>
    <w:p w:rsidR="000B446C" w:rsidRPr="00792C38" w:rsidRDefault="00E25909" w:rsidP="00E442DC">
      <w:pPr>
        <w:numPr>
          <w:ilvl w:val="1"/>
          <w:numId w:val="6"/>
        </w:numPr>
      </w:pPr>
      <w:r w:rsidRPr="00792C38">
        <w:t>Os instrumentos utilizados para pesar produtos de baixo valor unitário (tal como areia, gravilha, argamassa e resíduos diferentes de resíduos perigosos) e os instrumentos utilizados para determinar as taxas de transporte, exceto para correio, estão isentos do requisito previsto no ponto 2, alínea a). Para tais aplicações, podem ser utilizados instrumentos da classe de precisão Y(b) ou de uma classe mais elevada;</w:t>
      </w:r>
    </w:p>
    <w:p w:rsidR="000B446C" w:rsidRPr="00792C38" w:rsidRDefault="00E25909" w:rsidP="00E442DC">
      <w:pPr>
        <w:keepNext/>
        <w:keepLines/>
        <w:numPr>
          <w:ilvl w:val="0"/>
          <w:numId w:val="6"/>
        </w:numPr>
      </w:pPr>
      <w:r w:rsidRPr="00792C38">
        <w:t>Doseadoras ponderais de funcionamento automático:</w:t>
      </w:r>
    </w:p>
    <w:p w:rsidR="000B446C" w:rsidRPr="00792C38" w:rsidRDefault="00E25909" w:rsidP="00E442DC">
      <w:pPr>
        <w:numPr>
          <w:ilvl w:val="1"/>
          <w:numId w:val="6"/>
        </w:numPr>
      </w:pPr>
      <w:r w:rsidRPr="00792C38">
        <w:t>Devem ser utilizados instrumentos da classe de precisão X(1) ou de uma classe mais elevada [exceto nos casos previstos no ponto 3, alínea b)],</w:t>
      </w:r>
    </w:p>
    <w:p w:rsidR="000B446C" w:rsidRPr="00792C38" w:rsidRDefault="00E25909" w:rsidP="00E442DC">
      <w:pPr>
        <w:numPr>
          <w:ilvl w:val="1"/>
          <w:numId w:val="6"/>
        </w:numPr>
      </w:pPr>
      <w:r w:rsidRPr="00792C38">
        <w:t>Os instrumentos utilizados para pesar produtos de baixo valor unitário (tal como areia, gravilha, argamassa e resíduos diferentes de resíduos perigosos) e os instrumentos utilizados para determinar as taxas de transporte estão isentos do requisito previsto no ponto 3, alínea a). Para tais aplicações, podem ser utilizados instrumentos da classe de precisão X(2) ou de uma classe mais elevada;</w:t>
      </w:r>
    </w:p>
    <w:p w:rsidR="000B446C" w:rsidRPr="00792C38" w:rsidRDefault="00E25909" w:rsidP="00E442DC">
      <w:pPr>
        <w:keepNext/>
        <w:keepLines/>
        <w:numPr>
          <w:ilvl w:val="0"/>
          <w:numId w:val="6"/>
        </w:numPr>
      </w:pPr>
      <w:r w:rsidRPr="00792C38">
        <w:t>Totalizadores descontínuos:</w:t>
      </w:r>
    </w:p>
    <w:p w:rsidR="000B446C" w:rsidRPr="00792C38" w:rsidRDefault="00E25909" w:rsidP="00E442DC">
      <w:pPr>
        <w:numPr>
          <w:ilvl w:val="1"/>
          <w:numId w:val="6"/>
        </w:numPr>
      </w:pPr>
      <w:r w:rsidRPr="00792C38">
        <w:t>Devem ser utilizados instrumentos da classe de precisão 1 ou de uma classe mais elevada [exceto nos casos previstos no ponto 4, alínea b)],</w:t>
      </w:r>
    </w:p>
    <w:p w:rsidR="000B446C" w:rsidRPr="00792C38" w:rsidRDefault="00E25909" w:rsidP="00E442DC">
      <w:pPr>
        <w:numPr>
          <w:ilvl w:val="1"/>
          <w:numId w:val="6"/>
        </w:numPr>
      </w:pPr>
      <w:r w:rsidRPr="00792C38">
        <w:t>Os instrumentos utilizados para pesar produtos de baixo valor unitário (tal como areia, gravilha, argamassa e resíduos diferentes de resíduos perigosos) e os instrumentos utilizados para determinar as taxas de transporte estão isentos do requisito previsto no ponto 4, alínea a). Para tais aplicações, podem ser utilizados instrumentos da classe de precisão 2 ou de uma classe mais elevada.</w:t>
      </w:r>
    </w:p>
    <w:p w:rsidR="000B446C" w:rsidRPr="00792C38" w:rsidRDefault="00E25909" w:rsidP="00E442DC">
      <w:pPr>
        <w:keepNext/>
        <w:keepLines/>
        <w:numPr>
          <w:ilvl w:val="0"/>
          <w:numId w:val="6"/>
        </w:numPr>
      </w:pPr>
      <w:r w:rsidRPr="00792C38">
        <w:t>Totalizadores contínuos:</w:t>
      </w:r>
    </w:p>
    <w:p w:rsidR="000B446C" w:rsidRPr="00792C38" w:rsidRDefault="00E25909" w:rsidP="00E442DC">
      <w:pPr>
        <w:numPr>
          <w:ilvl w:val="1"/>
          <w:numId w:val="6"/>
        </w:numPr>
      </w:pPr>
      <w:r w:rsidRPr="00792C38">
        <w:t>Devem ser utilizados instrumentos da classe de precisão 1 ou de uma classe mais elevada [exceto nos casos previstos no ponto 5, alínea b)],</w:t>
      </w:r>
    </w:p>
    <w:p w:rsidR="000B446C" w:rsidRPr="00792C38" w:rsidRDefault="00E25909" w:rsidP="00E442DC">
      <w:pPr>
        <w:numPr>
          <w:ilvl w:val="1"/>
          <w:numId w:val="6"/>
        </w:numPr>
      </w:pPr>
      <w:r w:rsidRPr="00792C38">
        <w:t>Os instrumentos utilizados para pesar produtos de baixo valor unitário (tal como areia, gravilha, argamassa e resíduos diferentes de resíduos perigosos) e os instrumentos utilizados para determinar as taxas de transporte, exceto para correio, estão isentos do requisito previsto no ponto 5, alínea a). Para tais aplicações, podem ser utilizados instrumentos da classe de precisão 2 ou de uma classe mais elevada.</w:t>
      </w:r>
    </w:p>
    <w:p w:rsidR="000B446C" w:rsidRPr="00792C38" w:rsidRDefault="00E25909" w:rsidP="00E442DC">
      <w:pPr>
        <w:keepNext/>
        <w:keepLines/>
        <w:numPr>
          <w:ilvl w:val="0"/>
          <w:numId w:val="6"/>
        </w:numPr>
      </w:pPr>
      <w:r w:rsidRPr="00792C38">
        <w:t>Pontes-básculas ferroviárias de funcionamento automático:</w:t>
      </w:r>
    </w:p>
    <w:p w:rsidR="000B446C" w:rsidRPr="00792C38" w:rsidRDefault="00E25909" w:rsidP="00E442DC">
      <w:pPr>
        <w:numPr>
          <w:ilvl w:val="1"/>
          <w:numId w:val="6"/>
        </w:numPr>
      </w:pPr>
      <w:r w:rsidRPr="00792C38">
        <w:t>Devem ser utilizados instrumentos da classe de precisão 1 ou de uma classe mais elevada [exceto nos casos previstos no ponto 6, alínea b)],</w:t>
      </w:r>
    </w:p>
    <w:p w:rsidR="000B446C" w:rsidRPr="00792C38" w:rsidRDefault="00E25909" w:rsidP="00E442DC">
      <w:pPr>
        <w:numPr>
          <w:ilvl w:val="1"/>
          <w:numId w:val="6"/>
        </w:numPr>
      </w:pPr>
      <w:r w:rsidRPr="00792C38">
        <w:t>Os instrumentos utilizados para pesar produtos de baixo valor unitário (tal como areia, gravilha, argamassa e resíduos diferentes de resíduos perigosos) e os instrumentos utilizados para determinar as taxas de transporte estão isentos do requisito previsto no ponto 6, alínea a). Para tais aplicações, podem ser utilizados instrumentos da classe de precisão 2 ou de uma classe mais elevada.</w:t>
      </w:r>
    </w:p>
    <w:p w:rsidR="000B446C" w:rsidRPr="00792C38" w:rsidRDefault="00E25909" w:rsidP="00E442DC">
      <w:pPr>
        <w:pStyle w:val="Heading3"/>
      </w:pPr>
      <w:r w:rsidRPr="00792C38">
        <w:t>Automonitorização</w:t>
      </w:r>
    </w:p>
    <w:p w:rsidR="000B446C" w:rsidRPr="00792C38" w:rsidRDefault="00E25909" w:rsidP="00E442DC">
      <w:pPr>
        <w:pStyle w:val="Heading3"/>
      </w:pPr>
      <w:r w:rsidRPr="00792C38">
        <w:t>Artigo 8.º</w:t>
      </w:r>
    </w:p>
    <w:p w:rsidR="000B446C" w:rsidRPr="00792C38" w:rsidRDefault="00E25909" w:rsidP="00E442DC">
      <w:r w:rsidRPr="00792C38">
        <w:t>No caso de instrumentos de pesagem automáticos utilizados para a medição de massas e quando são efetuados pagamentos diretamente pelo utilizador final com base nas medições, o proprietário do instrumento deve criar um sistema de automonitorização que proporcione garantias suficientes de que a tolerância do serviço (ver n.º 3) não é excedida.</w:t>
      </w:r>
    </w:p>
    <w:p w:rsidR="000B446C" w:rsidRPr="00792C38" w:rsidRDefault="00E25909" w:rsidP="00E442DC">
      <w:r w:rsidRPr="00792C38">
        <w:t>2. A automonitorização (ver n.º 1) deve basear-se em medições metrologicamente rastreáveis.</w:t>
      </w:r>
    </w:p>
    <w:p w:rsidR="000B446C" w:rsidRPr="00792C38" w:rsidRDefault="00E25909" w:rsidP="00E442DC">
      <w:r w:rsidRPr="00792C38">
        <w:t>3. A tolerância do serviço equivale ao dobro da tolerância aplicável quando o instrumento de pesagem automático foi colocado no mercado.</w:t>
      </w:r>
    </w:p>
    <w:p w:rsidR="000B446C" w:rsidRPr="00792C38" w:rsidRDefault="00E25909" w:rsidP="00E442DC">
      <w:r w:rsidRPr="00792C38">
        <w:t>4. O proprietário do instrumento não pode ajustar um instrumento de pesagem automático com vista a explorar os erros máximos admissíveis ou a favorecer sistematicamente uma parte específica.</w:t>
      </w:r>
    </w:p>
    <w:p w:rsidR="000B446C" w:rsidRPr="00792C38" w:rsidRDefault="00E25909" w:rsidP="00E442DC">
      <w:r w:rsidRPr="00792C38">
        <w:t>5. A pedido da Autoridade Dinamarquesa para as Tecnologias de Segurança, o proprietário do instrumento deve ser capaz de comprovar a conformidade com o n.º 1 dos instrumentos de pesagem automáticos utilizados para a medição de massas e quando são efetuados pagamentos diretamente pelo utilizador final com base nas medições.</w:t>
      </w:r>
    </w:p>
    <w:p w:rsidR="000B446C" w:rsidRPr="00792C38" w:rsidRDefault="00E25909" w:rsidP="00E442DC">
      <w:pPr>
        <w:pStyle w:val="Heading3"/>
      </w:pPr>
      <w:r w:rsidRPr="00792C38">
        <w:t>Nova verificação</w:t>
      </w:r>
    </w:p>
    <w:p w:rsidR="000B446C" w:rsidRPr="00792C38" w:rsidRDefault="00E25909" w:rsidP="00E442DC">
      <w:pPr>
        <w:pStyle w:val="Heading3"/>
      </w:pPr>
      <w:r w:rsidRPr="00792C38">
        <w:t>Artigo 9.º</w:t>
      </w:r>
    </w:p>
    <w:p w:rsidR="000B446C" w:rsidRPr="00792C38" w:rsidRDefault="00E25909" w:rsidP="00E442DC">
      <w:r w:rsidRPr="00792C38">
        <w:t>Caso o selo de um instrumento de pesagem automático utilizado em conformidade com o artigo 1.º, n.º 1, tenha sido quebrado ou o instrumento tenha sido submetido a ações que possam afetar a sua capacidade de pesagem, o proprietário do instrumento deve assegurar-se de que o instrumento não é novamente utilizado até nova verificação.</w:t>
      </w:r>
    </w:p>
    <w:p w:rsidR="000B446C" w:rsidRPr="00792C38" w:rsidRDefault="00E25909" w:rsidP="00E442DC">
      <w:r w:rsidRPr="00792C38">
        <w:t>2. O proprietário do instrumento deve assegurar-se de que o instrumento de pesagem automático é, pelo menos, verificado novamente, de modo que a sua tolerância não exceda o erro máximo admissível para a atual gama de utilização.</w:t>
      </w:r>
    </w:p>
    <w:p w:rsidR="000B446C" w:rsidRPr="00792C38" w:rsidRDefault="00E25909" w:rsidP="00E442DC">
      <w:r w:rsidRPr="00792C38">
        <w:t>3. Um instrumento de pesagem automático apenas pode ser utilizado na gama de utilização para a qual foi efetuada uma nova verificação.</w:t>
      </w:r>
    </w:p>
    <w:p w:rsidR="000B446C" w:rsidRPr="00792C38" w:rsidRDefault="00E25909" w:rsidP="00E442DC">
      <w:pPr>
        <w:pStyle w:val="Heading3"/>
      </w:pPr>
      <w:r w:rsidRPr="00792C38">
        <w:t>Artigo 10.º</w:t>
      </w:r>
    </w:p>
    <w:p w:rsidR="000B446C" w:rsidRPr="00792C38" w:rsidRDefault="00E25909" w:rsidP="00E442DC">
      <w:pPr>
        <w:keepNext/>
        <w:keepLines/>
      </w:pPr>
      <w:r w:rsidRPr="00792C38">
        <w:t>Uma nova verificação consiste nas seguintes atividades:</w:t>
      </w:r>
    </w:p>
    <w:p w:rsidR="000B446C" w:rsidRPr="00792C38" w:rsidRDefault="00E25909" w:rsidP="00E442DC">
      <w:pPr>
        <w:numPr>
          <w:ilvl w:val="0"/>
          <w:numId w:val="7"/>
        </w:numPr>
      </w:pPr>
      <w:r w:rsidRPr="00792C38">
        <w:t>Identificação do instrumento, permitindo determinar se o instrumento corresponde às características identificáveis indicadas no atual certificado de exame UE de tipo, na atual homologação nacional, na homologação CEE ou noutra documentação técnica que comprove a conformidade do instrumento com a regulamentação aplicável;</w:t>
      </w:r>
    </w:p>
    <w:p w:rsidR="000B446C" w:rsidRPr="00792C38" w:rsidRDefault="00E25909" w:rsidP="00E442DC">
      <w:pPr>
        <w:numPr>
          <w:ilvl w:val="0"/>
          <w:numId w:val="7"/>
        </w:numPr>
      </w:pPr>
      <w:r w:rsidRPr="00792C38">
        <w:t>Determinação de que a tolerância do instrumento não excede o erro máximo admissível para a atual gama de utilização;</w:t>
      </w:r>
    </w:p>
    <w:p w:rsidR="000B446C" w:rsidRPr="00792C38" w:rsidRDefault="00E25909" w:rsidP="00E442DC">
      <w:pPr>
        <w:numPr>
          <w:ilvl w:val="0"/>
          <w:numId w:val="7"/>
        </w:numPr>
      </w:pPr>
      <w:r w:rsidRPr="00792C38">
        <w:t>Selagem do instrumento, caso cumpra os requisitos previstos nos pontos 1 e 2.</w:t>
      </w:r>
    </w:p>
    <w:p w:rsidR="000B446C" w:rsidRPr="00792C38" w:rsidRDefault="00E25909" w:rsidP="00E442DC">
      <w:r w:rsidRPr="00792C38">
        <w:t>2. A nova verificação deve ser efetuada de acordo com as normas, recomendações da OIML ou guias da Cooperação Europeia em Metrologia Legal (WELMEC) pertinentes, bem como com as especificações previstas no atual certificado de exame UE de tipo, na atual homologação nacional, na homologação CEE ou noutra documentação técnica equivalente que seja pertinente.</w:t>
      </w:r>
    </w:p>
    <w:p w:rsidR="000B446C" w:rsidRPr="00792C38" w:rsidRDefault="00E25909" w:rsidP="00E442DC">
      <w:pPr>
        <w:pStyle w:val="Heading3"/>
      </w:pPr>
      <w:r w:rsidRPr="00792C38">
        <w:t>Artigo 11.º</w:t>
      </w:r>
    </w:p>
    <w:p w:rsidR="000B446C" w:rsidRPr="00792C38" w:rsidRDefault="00E25909" w:rsidP="00E442DC">
      <w:pPr>
        <w:keepNext/>
        <w:keepLines/>
      </w:pPr>
      <w:r w:rsidRPr="00792C38">
        <w:t>Cabe ao proprietário do instrumento solicitar uma nova verificação por uma empresa que:</w:t>
      </w:r>
    </w:p>
    <w:p w:rsidR="000B446C" w:rsidRPr="00792C38" w:rsidRDefault="00E25909" w:rsidP="00E442DC">
      <w:pPr>
        <w:numPr>
          <w:ilvl w:val="0"/>
          <w:numId w:val="8"/>
        </w:numPr>
      </w:pPr>
      <w:r w:rsidRPr="00792C38">
        <w:t>se encontre estabelecida na Dinamarca e, nos termos do presente despacho, esteja habilitada a efetuar novas verificações, mediante acreditação do Fundo Dinamarquês para a Acreditação (DANAK) ou de um organismo de acreditação equivalente que tenha assinado os acordos multilaterais pertinentes de reconhecimento mútuo da Cooperação Europeia para a Acreditação (EA), da Cooperação Internacional de Acreditação de Laboratórios (ILAC) ou do Fórum Internacional de Acreditação (IAF); ou</w:t>
      </w:r>
    </w:p>
    <w:p w:rsidR="000B446C" w:rsidRPr="00792C38" w:rsidRDefault="00E25909" w:rsidP="00E442DC">
      <w:pPr>
        <w:numPr>
          <w:ilvl w:val="0"/>
          <w:numId w:val="8"/>
        </w:numPr>
      </w:pPr>
      <w:r w:rsidRPr="00792C38">
        <w:t>forneça serviços na Dinamarca a título temporário e se encontre legalmente estabelecida noutro país da UE ou do EEE onde a empresa pode efetuar legalmente novas verificações do tipo de instrumento de pesagem automático em causa.</w:t>
      </w:r>
    </w:p>
    <w:p w:rsidR="000B446C" w:rsidRPr="00792C38" w:rsidRDefault="00E25909" w:rsidP="00E442DC">
      <w:r w:rsidRPr="00792C38">
        <w:t>2. A empresa cobra uma taxa pela nova verificação.</w:t>
      </w:r>
    </w:p>
    <w:p w:rsidR="000B446C" w:rsidRPr="00792C38" w:rsidRDefault="00E25909" w:rsidP="00E442DC">
      <w:r w:rsidRPr="00792C38">
        <w:t>3. A pedido da Autoridade Dinamarquesa para as Tecnologias de Segurança, o proprietário do instrumento deve ser capaz de comprovar que a empresa que efetuou a nova verificação do seu instrumento de pesagem automático cumpre os requisitos previstos no n.º 1.</w:t>
      </w:r>
    </w:p>
    <w:p w:rsidR="000B446C" w:rsidRPr="00792C38" w:rsidRDefault="00E25909" w:rsidP="00E442DC">
      <w:pPr>
        <w:pStyle w:val="Heading2"/>
      </w:pPr>
      <w:r w:rsidRPr="00792C38">
        <w:t>Capítulo 5 – Manipulação dos instrumentos</w:t>
      </w:r>
    </w:p>
    <w:p w:rsidR="000B446C" w:rsidRPr="00792C38" w:rsidRDefault="00E25909" w:rsidP="00E442DC">
      <w:pPr>
        <w:pStyle w:val="Heading3"/>
      </w:pPr>
      <w:r w:rsidRPr="00792C38">
        <w:t>Artigo 12.º</w:t>
      </w:r>
    </w:p>
    <w:p w:rsidR="000B446C" w:rsidRPr="00792C38" w:rsidRDefault="00E25909" w:rsidP="00E442DC">
      <w:r w:rsidRPr="00792C38">
        <w:t>As pessoas não autorizadas não podem manipular os instrumentos de pesagem automáticos abrangidos pelo presente despacho nem afetar de outro modo a sua correta funcionalidade e capacidade de pesagem.</w:t>
      </w:r>
    </w:p>
    <w:p w:rsidR="000B446C" w:rsidRPr="00792C38" w:rsidRDefault="00E25909" w:rsidP="00E442DC">
      <w:pPr>
        <w:pStyle w:val="Heading2"/>
      </w:pPr>
      <w:r w:rsidRPr="00792C38">
        <w:t>Capítulo 6 – Controlos</w:t>
      </w:r>
    </w:p>
    <w:p w:rsidR="000B446C" w:rsidRPr="00792C38" w:rsidRDefault="00E25909" w:rsidP="00E442DC">
      <w:pPr>
        <w:pStyle w:val="Heading3"/>
      </w:pPr>
      <w:r w:rsidRPr="00792C38">
        <w:t>Artigo 13.º</w:t>
      </w:r>
    </w:p>
    <w:p w:rsidR="000B446C" w:rsidRPr="00792C38" w:rsidRDefault="00E25909" w:rsidP="00E442DC">
      <w:r w:rsidRPr="00792C38">
        <w:t>A Autoridade Dinamarquesa para as Tecnologias de Segurança controla a conformidade com o presente despacho.</w:t>
      </w:r>
    </w:p>
    <w:p w:rsidR="000B446C" w:rsidRPr="00792C38" w:rsidRDefault="00E25909" w:rsidP="00E442DC">
      <w:r w:rsidRPr="00792C38">
        <w:t>2. A Autoridade Dinamarquesa para as Tecnologias de Segurança pode requerer a divulgação de todas as informações necessárias para a execução dos controlos a que se refere o n.º 1.</w:t>
      </w:r>
    </w:p>
    <w:p w:rsidR="000B446C" w:rsidRPr="00792C38" w:rsidRDefault="00E25909" w:rsidP="00E442DC">
      <w:pPr>
        <w:pStyle w:val="Heading3"/>
      </w:pPr>
      <w:r w:rsidRPr="00792C38">
        <w:t>Artigo 14.º</w:t>
      </w:r>
    </w:p>
    <w:p w:rsidR="000B446C" w:rsidRPr="00792C38" w:rsidRDefault="00E25909" w:rsidP="00E442DC">
      <w:r w:rsidRPr="00792C38">
        <w:t>As empresas que efetuem novas verificações de instrumentos de pesagem automáticos nos termos do artigo 11.º, n.º 1, ponto 1, devem disponibilizar à Autoridade Dinamarquesa para as Tecnologias de Segurança (sempre que esta o solicite) os dados das novas verificações efetuadas, para que sejam utilizados nos controlos da referida autoridade.</w:t>
      </w:r>
    </w:p>
    <w:p w:rsidR="000B446C" w:rsidRPr="00792C38" w:rsidRDefault="00E25909" w:rsidP="00E442DC">
      <w:pPr>
        <w:pStyle w:val="Heading2"/>
      </w:pPr>
      <w:r w:rsidRPr="00792C38">
        <w:t>Capítulo 7 – Sanções</w:t>
      </w:r>
    </w:p>
    <w:p w:rsidR="000B446C" w:rsidRPr="00792C38" w:rsidRDefault="00E25909" w:rsidP="00E442DC">
      <w:pPr>
        <w:pStyle w:val="Heading3"/>
      </w:pPr>
      <w:r w:rsidRPr="00792C38">
        <w:t>Artigo 15.º</w:t>
      </w:r>
    </w:p>
    <w:p w:rsidR="000B446C" w:rsidRPr="00792C38" w:rsidRDefault="00E25909" w:rsidP="00E442DC">
      <w:pPr>
        <w:keepNext/>
        <w:keepLines/>
      </w:pPr>
      <w:r w:rsidRPr="00792C38">
        <w:t>É aplicada uma coima a quem:</w:t>
      </w:r>
    </w:p>
    <w:p w:rsidR="000B446C" w:rsidRPr="00792C38" w:rsidRDefault="00E25909" w:rsidP="00E442DC">
      <w:pPr>
        <w:numPr>
          <w:ilvl w:val="0"/>
          <w:numId w:val="9"/>
        </w:numPr>
      </w:pPr>
      <w:r w:rsidRPr="00792C38">
        <w:t>infrinja o artigo 3.º, n.º 1, os artigos 4.º a 7.º, o artigo 8.º, n.</w:t>
      </w:r>
      <w:r w:rsidRPr="00792C38">
        <w:rPr>
          <w:vertAlign w:val="superscript"/>
        </w:rPr>
        <w:t>os</w:t>
      </w:r>
      <w:r w:rsidRPr="00792C38">
        <w:t> 1, 2, 4 e 5, o artigo 9.º e o artigo 11.º, n.</w:t>
      </w:r>
      <w:r w:rsidRPr="00792C38">
        <w:rPr>
          <w:vertAlign w:val="superscript"/>
        </w:rPr>
        <w:t>os</w:t>
      </w:r>
      <w:r w:rsidRPr="00792C38">
        <w:t> 1 e 3;</w:t>
      </w:r>
    </w:p>
    <w:p w:rsidR="000B446C" w:rsidRPr="00792C38" w:rsidRDefault="00E25909" w:rsidP="00E442DC">
      <w:pPr>
        <w:numPr>
          <w:ilvl w:val="0"/>
          <w:numId w:val="9"/>
        </w:numPr>
      </w:pPr>
      <w:r w:rsidRPr="00792C38">
        <w:t>efetue uma nova verificação de instrumentos de pesagem automáticos abrangidos pelo presente despacho sem cumprir os requisitos do artigo 11.º, n.º 1;</w:t>
      </w:r>
    </w:p>
    <w:p w:rsidR="000B446C" w:rsidRPr="00792C38" w:rsidRDefault="00E25909" w:rsidP="00E442DC">
      <w:pPr>
        <w:numPr>
          <w:ilvl w:val="0"/>
          <w:numId w:val="9"/>
        </w:numPr>
      </w:pPr>
      <w:r w:rsidRPr="00792C38">
        <w:t>sem autorização, manipule um instrumento de pesagem automático (ver artigo 12.º); ou</w:t>
      </w:r>
    </w:p>
    <w:p w:rsidR="000B446C" w:rsidRPr="00792C38" w:rsidRDefault="00E25909" w:rsidP="00E442DC">
      <w:pPr>
        <w:numPr>
          <w:ilvl w:val="0"/>
          <w:numId w:val="9"/>
        </w:numPr>
      </w:pPr>
      <w:r w:rsidRPr="00792C38">
        <w:t>não cumpra a obrigação de divulgação prevista no artigo 13.º, n.º 2.</w:t>
      </w:r>
    </w:p>
    <w:p w:rsidR="000B446C" w:rsidRPr="00792C38" w:rsidRDefault="00E25909" w:rsidP="00E442DC">
      <w:r w:rsidRPr="00792C38">
        <w:t>2. As entidades e outras pessoas coletivas podem ser consideradas penalmente responsáveis, de acordo com as regulamentações previstas no capítulo 5 do Código Penal.</w:t>
      </w:r>
    </w:p>
    <w:p w:rsidR="000B446C" w:rsidRPr="00792C38" w:rsidRDefault="00E25909" w:rsidP="00E442DC">
      <w:pPr>
        <w:pStyle w:val="Heading2"/>
      </w:pPr>
      <w:r w:rsidRPr="00792C38">
        <w:t>Capítulo 8 – Entrada em vigor e disposições transitórias</w:t>
      </w:r>
    </w:p>
    <w:p w:rsidR="000B446C" w:rsidRPr="00792C38" w:rsidRDefault="00E25909" w:rsidP="00E442DC">
      <w:pPr>
        <w:pStyle w:val="Heading3"/>
      </w:pPr>
      <w:r w:rsidRPr="00792C38">
        <w:t>Artigo 16.º</w:t>
      </w:r>
    </w:p>
    <w:p w:rsidR="000B446C" w:rsidRPr="00792C38" w:rsidRDefault="00E25909" w:rsidP="00E442DC">
      <w:r w:rsidRPr="00792C38">
        <w:t>O presente despacho entra em vigor em 1 de julho de 2018.</w:t>
      </w:r>
    </w:p>
    <w:p w:rsidR="000B446C" w:rsidRPr="00792C38" w:rsidRDefault="00E25909" w:rsidP="00E442DC">
      <w:pPr>
        <w:keepNext/>
        <w:keepLines/>
      </w:pPr>
      <w:r w:rsidRPr="00792C38">
        <w:t>2. São revogados os seguintes despachos, diretivas metrológicas e documentos de orientação:</w:t>
      </w:r>
    </w:p>
    <w:p w:rsidR="000B446C" w:rsidRPr="00792C38" w:rsidRDefault="00E25909" w:rsidP="00E442DC">
      <w:pPr>
        <w:numPr>
          <w:ilvl w:val="0"/>
          <w:numId w:val="10"/>
        </w:numPr>
      </w:pPr>
      <w:r w:rsidRPr="00792C38">
        <w:t>Diretiva metrológica, de 11 de maio de 2000, relativa às orientações «Instrumentos de pesagem automáticos. Extensão do ensaio de homologação e verificação no que se refere à MDIR 04.31-03 da OIML»;</w:t>
      </w:r>
    </w:p>
    <w:p w:rsidR="000B446C" w:rsidRPr="00792C38" w:rsidRDefault="00E25909" w:rsidP="00E442DC">
      <w:pPr>
        <w:numPr>
          <w:ilvl w:val="0"/>
          <w:numId w:val="10"/>
        </w:numPr>
      </w:pPr>
      <w:r w:rsidRPr="00792C38">
        <w:t>Diretiva metrológica, de 19 de janeiro de 2004, relativa às orientações relativas aos instrumentos de pesagem automáticos. Pedido de homologação (MDIR 04.31-02, 6.ª edição);</w:t>
      </w:r>
    </w:p>
    <w:p w:rsidR="000B446C" w:rsidRPr="00792C38" w:rsidRDefault="00E25909" w:rsidP="00E442DC">
      <w:pPr>
        <w:numPr>
          <w:ilvl w:val="0"/>
          <w:numId w:val="10"/>
        </w:numPr>
      </w:pPr>
      <w:r w:rsidRPr="00792C38">
        <w:t>Despacho n.º 1033, de 17 de outubro de 2006, relativo a disposições de controlo metrológico para equipamento de pesagem utilizado para determinação de massa («peso»);</w:t>
      </w:r>
    </w:p>
    <w:p w:rsidR="000B446C" w:rsidRPr="00792C38" w:rsidRDefault="00E25909" w:rsidP="00E442DC">
      <w:pPr>
        <w:numPr>
          <w:ilvl w:val="0"/>
          <w:numId w:val="10"/>
        </w:numPr>
      </w:pPr>
      <w:r w:rsidRPr="00792C38">
        <w:t>Documento de orientação metrológica, de 7 de setembro de 2007, relativo a instrumentos de pesagem automáticos, etc. Pedido de homologação, aprovação suplementar, extensão do prazo de vigência da homologação e do certificado OIML (MV 04.31-02, 7.ª edição);</w:t>
      </w:r>
    </w:p>
    <w:p w:rsidR="000B446C" w:rsidRPr="00792C38" w:rsidRDefault="00E25909" w:rsidP="00E442DC">
      <w:pPr>
        <w:numPr>
          <w:ilvl w:val="0"/>
          <w:numId w:val="10"/>
        </w:numPr>
      </w:pPr>
      <w:r w:rsidRPr="00792C38">
        <w:t>Documento de orientação metrológica, de 17 de janeiro de 2008, relativo a instrumentos de pesagem automáticos, etc. Processo, etc. de homologação (MV 04.31-01, 3.ª edição).</w:t>
      </w:r>
    </w:p>
    <w:p w:rsidR="000B446C" w:rsidRPr="00792C38" w:rsidRDefault="00E25909" w:rsidP="00E442DC">
      <w:pPr>
        <w:numPr>
          <w:ilvl w:val="0"/>
          <w:numId w:val="10"/>
        </w:numPr>
      </w:pPr>
      <w:r w:rsidRPr="00792C38">
        <w:t>Documento de orientação metrológica, de 17 de outubro de 2008, sobre o despacho relativo ao controlo metrológico para as medições da massa (MV 04.31-04, 2.ª edição).</w:t>
      </w:r>
    </w:p>
    <w:p w:rsidR="000B446C" w:rsidRPr="00792C38" w:rsidRDefault="00E25909" w:rsidP="00E442DC">
      <w:pPr>
        <w:numPr>
          <w:ilvl w:val="0"/>
          <w:numId w:val="10"/>
        </w:numPr>
      </w:pPr>
      <w:r w:rsidRPr="00792C38">
        <w:t>Documento de orientação metrológica, de 18 de janeiro de 2010, relativo à verificação dos pesos x da OIML R51 (instrumentos de pesagem de verificação) (MV 04.31-11, 1.ª edição).</w:t>
      </w:r>
    </w:p>
    <w:p w:rsidR="000B446C" w:rsidRPr="00792C38" w:rsidRDefault="00E25909" w:rsidP="00E442DC">
      <w:r w:rsidRPr="00792C38">
        <w:t>3. Os instrumentos que tenham sido legalmente colocados em funcionamento em conformidade com o Despacho n.º 1033, de 17 de outubro de 2006, relativo a disposições de controlo metrológico para equipamento de pesagem utilizado para determinação de massa («peso»), sem estarem sujeitos ao despacho relativo à disponibilização no mercado de instrumentos de medição, continuam a ser de uso legal, desde que o proprietário do instrumento assegure a sua conformidade com os artigos 8.º a 11.º do presente despacho.</w:t>
      </w:r>
    </w:p>
    <w:p w:rsidR="000B446C" w:rsidRPr="00792C38" w:rsidRDefault="00E25909" w:rsidP="00E442DC">
      <w:pPr>
        <w:pStyle w:val="Heading3"/>
      </w:pPr>
      <w:r w:rsidRPr="00792C38">
        <w:t>Artigo 17.º</w:t>
      </w:r>
    </w:p>
    <w:p w:rsidR="000B446C" w:rsidRPr="00792C38" w:rsidRDefault="00E25909" w:rsidP="00E442DC">
      <w:r w:rsidRPr="00792C38">
        <w:t>O despacho não é aplicável nas Ilhas Faroé e na Gronelândia.</w:t>
      </w:r>
    </w:p>
    <w:p w:rsidR="000B446C" w:rsidRPr="00792C38" w:rsidRDefault="00E25909" w:rsidP="00E442DC">
      <w:r w:rsidRPr="00792C38">
        <w:t>O presente despacho foi notificado em fase de projeto em conformidade com a Diretiva (UE) 2015/1535 do Parlamento Europeu e do Conselho relativa a um procedimento de informação no domínio das regulamentações técnicas e das regras relativas aos serviços da sociedade da informação (codificação).</w:t>
      </w:r>
    </w:p>
    <w:sectPr w:rsidR="000B446C" w:rsidRPr="00792C38" w:rsidSect="001C5851">
      <w:pgSz w:w="11900" w:h="16840"/>
      <w:pgMar w:top="1440" w:right="1797"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265" w:rsidRDefault="00DD0265" w:rsidP="00EA3A46">
      <w:pPr>
        <w:spacing w:after="0"/>
      </w:pPr>
      <w:r>
        <w:separator/>
      </w:r>
    </w:p>
  </w:endnote>
  <w:endnote w:type="continuationSeparator" w:id="0">
    <w:p w:rsidR="00DD0265" w:rsidRDefault="00DD0265" w:rsidP="00EA3A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265" w:rsidRDefault="00DD0265" w:rsidP="00EA3A46">
      <w:pPr>
        <w:spacing w:after="0"/>
      </w:pPr>
      <w:r>
        <w:separator/>
      </w:r>
    </w:p>
  </w:footnote>
  <w:footnote w:type="continuationSeparator" w:id="0">
    <w:p w:rsidR="00DD0265" w:rsidRDefault="00DD0265" w:rsidP="00EA3A4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71849"/>
    <w:multiLevelType w:val="multilevel"/>
    <w:tmpl w:val="6E8202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848"/>
    <w:rsid w:val="00021848"/>
    <w:rsid w:val="00042D86"/>
    <w:rsid w:val="000629CC"/>
    <w:rsid w:val="000B446C"/>
    <w:rsid w:val="000F5A4E"/>
    <w:rsid w:val="00181FD4"/>
    <w:rsid w:val="00187EAF"/>
    <w:rsid w:val="001C5851"/>
    <w:rsid w:val="001D2524"/>
    <w:rsid w:val="001F2243"/>
    <w:rsid w:val="002E03C9"/>
    <w:rsid w:val="00383D45"/>
    <w:rsid w:val="003A7E12"/>
    <w:rsid w:val="00556BF4"/>
    <w:rsid w:val="005C665D"/>
    <w:rsid w:val="00675931"/>
    <w:rsid w:val="0071008D"/>
    <w:rsid w:val="00735B8C"/>
    <w:rsid w:val="00792C38"/>
    <w:rsid w:val="008411D8"/>
    <w:rsid w:val="009358CF"/>
    <w:rsid w:val="00A07F5D"/>
    <w:rsid w:val="00A543CD"/>
    <w:rsid w:val="00AA70B5"/>
    <w:rsid w:val="00B268BF"/>
    <w:rsid w:val="00C03580"/>
    <w:rsid w:val="00C67135"/>
    <w:rsid w:val="00C70AB2"/>
    <w:rsid w:val="00C76E13"/>
    <w:rsid w:val="00CC0462"/>
    <w:rsid w:val="00D05DC1"/>
    <w:rsid w:val="00D97EA0"/>
    <w:rsid w:val="00DD0265"/>
    <w:rsid w:val="00E25909"/>
    <w:rsid w:val="00E442DC"/>
    <w:rsid w:val="00E82CD0"/>
    <w:rsid w:val="00E87285"/>
    <w:rsid w:val="00E903F8"/>
    <w:rsid w:val="00EA3A46"/>
    <w:rsid w:val="00EB4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PT" w:eastAsia="pt-PT" w:bidi="pt-PT"/>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423B"/>
    <w:pPr>
      <w:spacing w:after="240"/>
    </w:pPr>
    <w:rPr>
      <w:rFonts w:ascii="Arial" w:eastAsiaTheme="minorHAnsi" w:hAnsi="Arial"/>
      <w:szCs w:val="20"/>
    </w:rPr>
  </w:style>
  <w:style w:type="paragraph" w:styleId="Heading1">
    <w:name w:val="heading 1"/>
    <w:basedOn w:val="Normal"/>
    <w:next w:val="Heading2"/>
    <w:link w:val="Heading1Char"/>
    <w:uiPriority w:val="9"/>
    <w:rsid w:val="00EB423B"/>
    <w:pPr>
      <w:keepNext/>
      <w:keepLines/>
      <w:overflowPunct w:val="0"/>
      <w:autoSpaceDE w:val="0"/>
      <w:autoSpaceDN w:val="0"/>
      <w:adjustRightInd w:val="0"/>
      <w:spacing w:before="100" w:after="200"/>
      <w:outlineLvl w:val="0"/>
    </w:pPr>
    <w:rPr>
      <w:rFonts w:eastAsiaTheme="majorEastAsia" w:cstheme="majorBidi"/>
      <w:b/>
      <w:sz w:val="32"/>
      <w:szCs w:val="36"/>
    </w:rPr>
  </w:style>
  <w:style w:type="paragraph" w:styleId="Heading2">
    <w:name w:val="heading 2"/>
    <w:basedOn w:val="Normal"/>
    <w:next w:val="Normal"/>
    <w:link w:val="Heading2Char"/>
    <w:uiPriority w:val="9"/>
    <w:unhideWhenUsed/>
    <w:qFormat/>
    <w:rsid w:val="00021848"/>
    <w:pPr>
      <w:keepNext/>
      <w:keepLines/>
      <w:overflowPunct w:val="0"/>
      <w:autoSpaceDE w:val="0"/>
      <w:autoSpaceDN w:val="0"/>
      <w:adjustRightInd w:val="0"/>
      <w:spacing w:before="200" w:after="100"/>
      <w:outlineLvl w:val="1"/>
    </w:pPr>
    <w:rPr>
      <w:rFonts w:eastAsiaTheme="majorEastAsia" w:cstheme="majorBidi"/>
      <w:sz w:val="32"/>
      <w:szCs w:val="32"/>
    </w:rPr>
  </w:style>
  <w:style w:type="paragraph" w:styleId="Heading3">
    <w:name w:val="heading 3"/>
    <w:basedOn w:val="Normal"/>
    <w:next w:val="Normal"/>
    <w:link w:val="Heading3Char"/>
    <w:uiPriority w:val="9"/>
    <w:unhideWhenUsed/>
    <w:qFormat/>
    <w:rsid w:val="00D05DC1"/>
    <w:pPr>
      <w:keepNext/>
      <w:keepLines/>
      <w:overflowPunct w:val="0"/>
      <w:autoSpaceDE w:val="0"/>
      <w:autoSpaceDN w:val="0"/>
      <w:adjustRightInd w:val="0"/>
      <w:spacing w:before="200" w:after="100" w:line="276" w:lineRule="auto"/>
      <w:outlineLvl w:val="2"/>
    </w:pPr>
    <w:rPr>
      <w:rFonts w:eastAsiaTheme="majorEastAsia" w:cstheme="majorBidi"/>
      <w:sz w:val="30"/>
      <w:szCs w:val="30"/>
    </w:rPr>
  </w:style>
  <w:style w:type="paragraph" w:styleId="Heading4">
    <w:name w:val="heading 4"/>
    <w:basedOn w:val="Normal"/>
    <w:next w:val="Normal"/>
    <w:link w:val="Heading4Char"/>
    <w:uiPriority w:val="9"/>
    <w:unhideWhenUsed/>
    <w:qFormat/>
    <w:rsid w:val="001C5851"/>
    <w:pPr>
      <w:keepNext/>
      <w:keepLines/>
      <w:overflowPunct w:val="0"/>
      <w:autoSpaceDE w:val="0"/>
      <w:autoSpaceDN w:val="0"/>
      <w:adjustRightInd w:val="0"/>
      <w:spacing w:before="200" w:after="0"/>
      <w:outlineLvl w:val="3"/>
    </w:pPr>
    <w:rPr>
      <w:rFonts w:eastAsiaTheme="majorEastAsia" w:cstheme="majorBidi"/>
      <w:sz w:val="28"/>
      <w:szCs w:val="28"/>
    </w:rPr>
  </w:style>
  <w:style w:type="paragraph" w:styleId="Heading5">
    <w:name w:val="heading 5"/>
    <w:basedOn w:val="Normal"/>
    <w:next w:val="Normal"/>
    <w:link w:val="Heading5Char"/>
    <w:uiPriority w:val="9"/>
    <w:unhideWhenUsed/>
    <w:rsid w:val="00EB423B"/>
    <w:pPr>
      <w:spacing w:before="300" w:after="0"/>
      <w:jc w:val="both"/>
      <w:outlineLvl w:val="4"/>
    </w:pPr>
    <w:rPr>
      <w:i/>
      <w:iCs/>
      <w:sz w:val="26"/>
      <w:szCs w:val="24"/>
    </w:rPr>
  </w:style>
  <w:style w:type="paragraph" w:styleId="Heading6">
    <w:name w:val="heading 6"/>
    <w:basedOn w:val="Normal"/>
    <w:next w:val="Normal"/>
    <w:link w:val="Heading6Char"/>
    <w:uiPriority w:val="9"/>
    <w:unhideWhenUsed/>
    <w:rsid w:val="00EB423B"/>
    <w:pPr>
      <w:keepNext/>
      <w:keepLines/>
      <w:spacing w:before="200" w:after="0"/>
      <w:jc w:val="both"/>
      <w:outlineLvl w:val="5"/>
    </w:pPr>
    <w:rPr>
      <w:rFonts w:eastAsiaTheme="majorEastAsia" w:cstheme="majorBidi"/>
      <w:i/>
      <w:iCs/>
      <w:color w:val="000000" w:themeColor="tex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B423B"/>
    <w:rPr>
      <w:rFonts w:ascii="Arial" w:eastAsiaTheme="majorEastAsia" w:hAnsi="Arial" w:cstheme="majorBidi"/>
      <w:b/>
      <w:sz w:val="32"/>
      <w:szCs w:val="36"/>
      <w:lang w:val="pt-PT"/>
    </w:rPr>
  </w:style>
  <w:style w:type="character" w:customStyle="1" w:styleId="Heading6Char">
    <w:name w:val="Heading 6 Char"/>
    <w:basedOn w:val="DefaultParagraphFont"/>
    <w:link w:val="Heading6"/>
    <w:uiPriority w:val="9"/>
    <w:rsid w:val="00EB423B"/>
    <w:rPr>
      <w:rFonts w:ascii="Arial" w:eastAsiaTheme="majorEastAsia" w:hAnsi="Arial" w:cstheme="majorBidi"/>
      <w:i/>
      <w:iCs/>
      <w:color w:val="000000" w:themeColor="text1"/>
      <w:szCs w:val="22"/>
    </w:rPr>
  </w:style>
  <w:style w:type="character" w:customStyle="1" w:styleId="Heading5Char">
    <w:name w:val="Heading 5 Char"/>
    <w:basedOn w:val="DefaultParagraphFont"/>
    <w:link w:val="Heading5"/>
    <w:uiPriority w:val="9"/>
    <w:rsid w:val="00EB423B"/>
    <w:rPr>
      <w:rFonts w:ascii="Arial" w:eastAsiaTheme="minorHAnsi" w:hAnsi="Arial"/>
      <w:i/>
      <w:iCs/>
      <w:sz w:val="26"/>
      <w:lang w:eastAsia="pt-PT"/>
    </w:rPr>
  </w:style>
  <w:style w:type="character" w:customStyle="1" w:styleId="Heading4Char">
    <w:name w:val="Heading 4 Char"/>
    <w:basedOn w:val="DefaultParagraphFont"/>
    <w:link w:val="Heading4"/>
    <w:uiPriority w:val="9"/>
    <w:rsid w:val="001C5851"/>
    <w:rPr>
      <w:rFonts w:ascii="Arial" w:eastAsiaTheme="majorEastAsia" w:hAnsi="Arial" w:cstheme="majorBidi"/>
      <w:sz w:val="28"/>
      <w:szCs w:val="28"/>
      <w:lang w:val="pt-PT"/>
    </w:rPr>
  </w:style>
  <w:style w:type="character" w:customStyle="1" w:styleId="Heading3Char">
    <w:name w:val="Heading 3 Char"/>
    <w:basedOn w:val="DefaultParagraphFont"/>
    <w:link w:val="Heading3"/>
    <w:uiPriority w:val="9"/>
    <w:rsid w:val="00D05DC1"/>
    <w:rPr>
      <w:rFonts w:ascii="Arial" w:eastAsiaTheme="majorEastAsia" w:hAnsi="Arial" w:cstheme="majorBidi"/>
      <w:sz w:val="30"/>
      <w:szCs w:val="30"/>
      <w:lang w:val="pt-PT"/>
    </w:rPr>
  </w:style>
  <w:style w:type="character" w:customStyle="1" w:styleId="Heading2Char">
    <w:name w:val="Heading 2 Char"/>
    <w:basedOn w:val="DefaultParagraphFont"/>
    <w:link w:val="Heading2"/>
    <w:uiPriority w:val="9"/>
    <w:rsid w:val="00021848"/>
    <w:rPr>
      <w:rFonts w:ascii="Arial" w:eastAsiaTheme="majorEastAsia" w:hAnsi="Arial" w:cstheme="majorBidi"/>
      <w:sz w:val="32"/>
      <w:szCs w:val="32"/>
      <w:lang w:val="pt-PT"/>
    </w:rPr>
  </w:style>
  <w:style w:type="paragraph" w:styleId="NormalWeb">
    <w:name w:val="Normal (Web)"/>
    <w:basedOn w:val="Normal"/>
    <w:uiPriority w:val="99"/>
    <w:semiHidden/>
    <w:unhideWhenUsed/>
    <w:rsid w:val="009358CF"/>
    <w:pPr>
      <w:spacing w:before="100" w:beforeAutospacing="1" w:after="100" w:afterAutospacing="1"/>
    </w:pPr>
    <w:rPr>
      <w:rFonts w:ascii="Times" w:eastAsiaTheme="minorEastAsia" w:hAnsi="Times" w:cs="Times New Roman"/>
    </w:rPr>
  </w:style>
  <w:style w:type="paragraph" w:styleId="Header">
    <w:name w:val="header"/>
    <w:basedOn w:val="Normal"/>
    <w:link w:val="HeaderChar"/>
    <w:uiPriority w:val="99"/>
    <w:unhideWhenUsed/>
    <w:rsid w:val="00EA3A46"/>
    <w:pPr>
      <w:tabs>
        <w:tab w:val="center" w:pos="4819"/>
        <w:tab w:val="right" w:pos="9638"/>
      </w:tabs>
      <w:spacing w:after="0"/>
    </w:pPr>
  </w:style>
  <w:style w:type="character" w:customStyle="1" w:styleId="HeaderChar">
    <w:name w:val="Header Char"/>
    <w:basedOn w:val="DefaultParagraphFont"/>
    <w:link w:val="Header"/>
    <w:uiPriority w:val="99"/>
    <w:rsid w:val="00EA3A46"/>
    <w:rPr>
      <w:rFonts w:ascii="Arial" w:eastAsiaTheme="minorHAnsi" w:hAnsi="Arial"/>
      <w:szCs w:val="20"/>
      <w:lang w:eastAsia="pt-PT"/>
    </w:rPr>
  </w:style>
  <w:style w:type="paragraph" w:styleId="Footer">
    <w:name w:val="footer"/>
    <w:basedOn w:val="Normal"/>
    <w:link w:val="FooterChar"/>
    <w:uiPriority w:val="99"/>
    <w:unhideWhenUsed/>
    <w:rsid w:val="00EA3A46"/>
    <w:pPr>
      <w:tabs>
        <w:tab w:val="center" w:pos="4819"/>
        <w:tab w:val="right" w:pos="9638"/>
      </w:tabs>
      <w:spacing w:after="0"/>
    </w:pPr>
  </w:style>
  <w:style w:type="character" w:customStyle="1" w:styleId="FooterChar">
    <w:name w:val="Footer Char"/>
    <w:basedOn w:val="DefaultParagraphFont"/>
    <w:link w:val="Footer"/>
    <w:uiPriority w:val="99"/>
    <w:rsid w:val="00EA3A46"/>
    <w:rPr>
      <w:rFonts w:ascii="Arial" w:eastAsiaTheme="minorHAnsi" w:hAnsi="Arial"/>
      <w:szCs w:val="20"/>
      <w:lang w:eastAsia="pt-PT"/>
    </w:rPr>
  </w:style>
  <w:style w:type="paragraph" w:styleId="PlainText">
    <w:name w:val="Plain Text"/>
    <w:basedOn w:val="Normal"/>
    <w:link w:val="PlainTextChar"/>
    <w:uiPriority w:val="99"/>
    <w:unhideWhenUsed/>
    <w:rsid w:val="008411D8"/>
    <w:pPr>
      <w:spacing w:after="0"/>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8411D8"/>
    <w:rPr>
      <w:rFonts w:ascii="Consolas" w:eastAsia="Times New Roman" w:hAnsi="Consolas" w:cs="Times New Roman"/>
      <w:sz w:val="21"/>
      <w:szCs w:val="21"/>
      <w:lang w:val="pt-PT" w:eastAsia="pt-PT"/>
    </w:rPr>
  </w:style>
  <w:style w:type="paragraph" w:styleId="Revision">
    <w:name w:val="Revision"/>
    <w:hidden/>
    <w:uiPriority w:val="99"/>
    <w:semiHidden/>
    <w:rsid w:val="00792C38"/>
    <w:rPr>
      <w:rFonts w:ascii="Arial" w:eastAsiaTheme="minorHAnsi" w:hAnsi="Arial"/>
      <w:szCs w:val="20"/>
    </w:rPr>
  </w:style>
  <w:style w:type="paragraph" w:styleId="BalloonText">
    <w:name w:val="Balloon Text"/>
    <w:basedOn w:val="Normal"/>
    <w:link w:val="BalloonTextChar"/>
    <w:uiPriority w:val="99"/>
    <w:semiHidden/>
    <w:unhideWhenUsed/>
    <w:rsid w:val="00792C3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C38"/>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PT" w:eastAsia="pt-PT" w:bidi="pt-PT"/>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423B"/>
    <w:pPr>
      <w:spacing w:after="240"/>
    </w:pPr>
    <w:rPr>
      <w:rFonts w:ascii="Arial" w:eastAsiaTheme="minorHAnsi" w:hAnsi="Arial"/>
      <w:szCs w:val="20"/>
    </w:rPr>
  </w:style>
  <w:style w:type="paragraph" w:styleId="Heading1">
    <w:name w:val="heading 1"/>
    <w:basedOn w:val="Normal"/>
    <w:next w:val="Heading2"/>
    <w:link w:val="Heading1Char"/>
    <w:uiPriority w:val="9"/>
    <w:rsid w:val="00EB423B"/>
    <w:pPr>
      <w:keepNext/>
      <w:keepLines/>
      <w:overflowPunct w:val="0"/>
      <w:autoSpaceDE w:val="0"/>
      <w:autoSpaceDN w:val="0"/>
      <w:adjustRightInd w:val="0"/>
      <w:spacing w:before="100" w:after="200"/>
      <w:outlineLvl w:val="0"/>
    </w:pPr>
    <w:rPr>
      <w:rFonts w:eastAsiaTheme="majorEastAsia" w:cstheme="majorBidi"/>
      <w:b/>
      <w:sz w:val="32"/>
      <w:szCs w:val="36"/>
    </w:rPr>
  </w:style>
  <w:style w:type="paragraph" w:styleId="Heading2">
    <w:name w:val="heading 2"/>
    <w:basedOn w:val="Normal"/>
    <w:next w:val="Normal"/>
    <w:link w:val="Heading2Char"/>
    <w:uiPriority w:val="9"/>
    <w:unhideWhenUsed/>
    <w:qFormat/>
    <w:rsid w:val="00021848"/>
    <w:pPr>
      <w:keepNext/>
      <w:keepLines/>
      <w:overflowPunct w:val="0"/>
      <w:autoSpaceDE w:val="0"/>
      <w:autoSpaceDN w:val="0"/>
      <w:adjustRightInd w:val="0"/>
      <w:spacing w:before="200" w:after="100"/>
      <w:outlineLvl w:val="1"/>
    </w:pPr>
    <w:rPr>
      <w:rFonts w:eastAsiaTheme="majorEastAsia" w:cstheme="majorBidi"/>
      <w:sz w:val="32"/>
      <w:szCs w:val="32"/>
    </w:rPr>
  </w:style>
  <w:style w:type="paragraph" w:styleId="Heading3">
    <w:name w:val="heading 3"/>
    <w:basedOn w:val="Normal"/>
    <w:next w:val="Normal"/>
    <w:link w:val="Heading3Char"/>
    <w:uiPriority w:val="9"/>
    <w:unhideWhenUsed/>
    <w:qFormat/>
    <w:rsid w:val="00D05DC1"/>
    <w:pPr>
      <w:keepNext/>
      <w:keepLines/>
      <w:overflowPunct w:val="0"/>
      <w:autoSpaceDE w:val="0"/>
      <w:autoSpaceDN w:val="0"/>
      <w:adjustRightInd w:val="0"/>
      <w:spacing w:before="200" w:after="100" w:line="276" w:lineRule="auto"/>
      <w:outlineLvl w:val="2"/>
    </w:pPr>
    <w:rPr>
      <w:rFonts w:eastAsiaTheme="majorEastAsia" w:cstheme="majorBidi"/>
      <w:sz w:val="30"/>
      <w:szCs w:val="30"/>
    </w:rPr>
  </w:style>
  <w:style w:type="paragraph" w:styleId="Heading4">
    <w:name w:val="heading 4"/>
    <w:basedOn w:val="Normal"/>
    <w:next w:val="Normal"/>
    <w:link w:val="Heading4Char"/>
    <w:uiPriority w:val="9"/>
    <w:unhideWhenUsed/>
    <w:qFormat/>
    <w:rsid w:val="001C5851"/>
    <w:pPr>
      <w:keepNext/>
      <w:keepLines/>
      <w:overflowPunct w:val="0"/>
      <w:autoSpaceDE w:val="0"/>
      <w:autoSpaceDN w:val="0"/>
      <w:adjustRightInd w:val="0"/>
      <w:spacing w:before="200" w:after="0"/>
      <w:outlineLvl w:val="3"/>
    </w:pPr>
    <w:rPr>
      <w:rFonts w:eastAsiaTheme="majorEastAsia" w:cstheme="majorBidi"/>
      <w:sz w:val="28"/>
      <w:szCs w:val="28"/>
    </w:rPr>
  </w:style>
  <w:style w:type="paragraph" w:styleId="Heading5">
    <w:name w:val="heading 5"/>
    <w:basedOn w:val="Normal"/>
    <w:next w:val="Normal"/>
    <w:link w:val="Heading5Char"/>
    <w:uiPriority w:val="9"/>
    <w:unhideWhenUsed/>
    <w:rsid w:val="00EB423B"/>
    <w:pPr>
      <w:spacing w:before="300" w:after="0"/>
      <w:jc w:val="both"/>
      <w:outlineLvl w:val="4"/>
    </w:pPr>
    <w:rPr>
      <w:i/>
      <w:iCs/>
      <w:sz w:val="26"/>
      <w:szCs w:val="24"/>
    </w:rPr>
  </w:style>
  <w:style w:type="paragraph" w:styleId="Heading6">
    <w:name w:val="heading 6"/>
    <w:basedOn w:val="Normal"/>
    <w:next w:val="Normal"/>
    <w:link w:val="Heading6Char"/>
    <w:uiPriority w:val="9"/>
    <w:unhideWhenUsed/>
    <w:rsid w:val="00EB423B"/>
    <w:pPr>
      <w:keepNext/>
      <w:keepLines/>
      <w:spacing w:before="200" w:after="0"/>
      <w:jc w:val="both"/>
      <w:outlineLvl w:val="5"/>
    </w:pPr>
    <w:rPr>
      <w:rFonts w:eastAsiaTheme="majorEastAsia" w:cstheme="majorBidi"/>
      <w:i/>
      <w:iCs/>
      <w:color w:val="000000" w:themeColor="tex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B423B"/>
    <w:rPr>
      <w:rFonts w:ascii="Arial" w:eastAsiaTheme="majorEastAsia" w:hAnsi="Arial" w:cstheme="majorBidi"/>
      <w:b/>
      <w:sz w:val="32"/>
      <w:szCs w:val="36"/>
      <w:lang w:val="pt-PT"/>
    </w:rPr>
  </w:style>
  <w:style w:type="character" w:customStyle="1" w:styleId="Heading6Char">
    <w:name w:val="Heading 6 Char"/>
    <w:basedOn w:val="DefaultParagraphFont"/>
    <w:link w:val="Heading6"/>
    <w:uiPriority w:val="9"/>
    <w:rsid w:val="00EB423B"/>
    <w:rPr>
      <w:rFonts w:ascii="Arial" w:eastAsiaTheme="majorEastAsia" w:hAnsi="Arial" w:cstheme="majorBidi"/>
      <w:i/>
      <w:iCs/>
      <w:color w:val="000000" w:themeColor="text1"/>
      <w:szCs w:val="22"/>
    </w:rPr>
  </w:style>
  <w:style w:type="character" w:customStyle="1" w:styleId="Heading5Char">
    <w:name w:val="Heading 5 Char"/>
    <w:basedOn w:val="DefaultParagraphFont"/>
    <w:link w:val="Heading5"/>
    <w:uiPriority w:val="9"/>
    <w:rsid w:val="00EB423B"/>
    <w:rPr>
      <w:rFonts w:ascii="Arial" w:eastAsiaTheme="minorHAnsi" w:hAnsi="Arial"/>
      <w:i/>
      <w:iCs/>
      <w:sz w:val="26"/>
      <w:lang w:eastAsia="pt-PT"/>
    </w:rPr>
  </w:style>
  <w:style w:type="character" w:customStyle="1" w:styleId="Heading4Char">
    <w:name w:val="Heading 4 Char"/>
    <w:basedOn w:val="DefaultParagraphFont"/>
    <w:link w:val="Heading4"/>
    <w:uiPriority w:val="9"/>
    <w:rsid w:val="001C5851"/>
    <w:rPr>
      <w:rFonts w:ascii="Arial" w:eastAsiaTheme="majorEastAsia" w:hAnsi="Arial" w:cstheme="majorBidi"/>
      <w:sz w:val="28"/>
      <w:szCs w:val="28"/>
      <w:lang w:val="pt-PT"/>
    </w:rPr>
  </w:style>
  <w:style w:type="character" w:customStyle="1" w:styleId="Heading3Char">
    <w:name w:val="Heading 3 Char"/>
    <w:basedOn w:val="DefaultParagraphFont"/>
    <w:link w:val="Heading3"/>
    <w:uiPriority w:val="9"/>
    <w:rsid w:val="00D05DC1"/>
    <w:rPr>
      <w:rFonts w:ascii="Arial" w:eastAsiaTheme="majorEastAsia" w:hAnsi="Arial" w:cstheme="majorBidi"/>
      <w:sz w:val="30"/>
      <w:szCs w:val="30"/>
      <w:lang w:val="pt-PT"/>
    </w:rPr>
  </w:style>
  <w:style w:type="character" w:customStyle="1" w:styleId="Heading2Char">
    <w:name w:val="Heading 2 Char"/>
    <w:basedOn w:val="DefaultParagraphFont"/>
    <w:link w:val="Heading2"/>
    <w:uiPriority w:val="9"/>
    <w:rsid w:val="00021848"/>
    <w:rPr>
      <w:rFonts w:ascii="Arial" w:eastAsiaTheme="majorEastAsia" w:hAnsi="Arial" w:cstheme="majorBidi"/>
      <w:sz w:val="32"/>
      <w:szCs w:val="32"/>
      <w:lang w:val="pt-PT"/>
    </w:rPr>
  </w:style>
  <w:style w:type="paragraph" w:styleId="NormalWeb">
    <w:name w:val="Normal (Web)"/>
    <w:basedOn w:val="Normal"/>
    <w:uiPriority w:val="99"/>
    <w:semiHidden/>
    <w:unhideWhenUsed/>
    <w:rsid w:val="009358CF"/>
    <w:pPr>
      <w:spacing w:before="100" w:beforeAutospacing="1" w:after="100" w:afterAutospacing="1"/>
    </w:pPr>
    <w:rPr>
      <w:rFonts w:ascii="Times" w:eastAsiaTheme="minorEastAsia" w:hAnsi="Times" w:cs="Times New Roman"/>
    </w:rPr>
  </w:style>
  <w:style w:type="paragraph" w:styleId="Header">
    <w:name w:val="header"/>
    <w:basedOn w:val="Normal"/>
    <w:link w:val="HeaderChar"/>
    <w:uiPriority w:val="99"/>
    <w:unhideWhenUsed/>
    <w:rsid w:val="00EA3A46"/>
    <w:pPr>
      <w:tabs>
        <w:tab w:val="center" w:pos="4819"/>
        <w:tab w:val="right" w:pos="9638"/>
      </w:tabs>
      <w:spacing w:after="0"/>
    </w:pPr>
  </w:style>
  <w:style w:type="character" w:customStyle="1" w:styleId="HeaderChar">
    <w:name w:val="Header Char"/>
    <w:basedOn w:val="DefaultParagraphFont"/>
    <w:link w:val="Header"/>
    <w:uiPriority w:val="99"/>
    <w:rsid w:val="00EA3A46"/>
    <w:rPr>
      <w:rFonts w:ascii="Arial" w:eastAsiaTheme="minorHAnsi" w:hAnsi="Arial"/>
      <w:szCs w:val="20"/>
      <w:lang w:eastAsia="pt-PT"/>
    </w:rPr>
  </w:style>
  <w:style w:type="paragraph" w:styleId="Footer">
    <w:name w:val="footer"/>
    <w:basedOn w:val="Normal"/>
    <w:link w:val="FooterChar"/>
    <w:uiPriority w:val="99"/>
    <w:unhideWhenUsed/>
    <w:rsid w:val="00EA3A46"/>
    <w:pPr>
      <w:tabs>
        <w:tab w:val="center" w:pos="4819"/>
        <w:tab w:val="right" w:pos="9638"/>
      </w:tabs>
      <w:spacing w:after="0"/>
    </w:pPr>
  </w:style>
  <w:style w:type="character" w:customStyle="1" w:styleId="FooterChar">
    <w:name w:val="Footer Char"/>
    <w:basedOn w:val="DefaultParagraphFont"/>
    <w:link w:val="Footer"/>
    <w:uiPriority w:val="99"/>
    <w:rsid w:val="00EA3A46"/>
    <w:rPr>
      <w:rFonts w:ascii="Arial" w:eastAsiaTheme="minorHAnsi" w:hAnsi="Arial"/>
      <w:szCs w:val="20"/>
      <w:lang w:eastAsia="pt-PT"/>
    </w:rPr>
  </w:style>
  <w:style w:type="paragraph" w:styleId="PlainText">
    <w:name w:val="Plain Text"/>
    <w:basedOn w:val="Normal"/>
    <w:link w:val="PlainTextChar"/>
    <w:uiPriority w:val="99"/>
    <w:unhideWhenUsed/>
    <w:rsid w:val="008411D8"/>
    <w:pPr>
      <w:spacing w:after="0"/>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8411D8"/>
    <w:rPr>
      <w:rFonts w:ascii="Consolas" w:eastAsia="Times New Roman" w:hAnsi="Consolas" w:cs="Times New Roman"/>
      <w:sz w:val="21"/>
      <w:szCs w:val="21"/>
      <w:lang w:val="pt-PT" w:eastAsia="pt-PT"/>
    </w:rPr>
  </w:style>
  <w:style w:type="paragraph" w:styleId="Revision">
    <w:name w:val="Revision"/>
    <w:hidden/>
    <w:uiPriority w:val="99"/>
    <w:semiHidden/>
    <w:rsid w:val="00792C38"/>
    <w:rPr>
      <w:rFonts w:ascii="Arial" w:eastAsiaTheme="minorHAnsi" w:hAnsi="Arial"/>
      <w:szCs w:val="20"/>
    </w:rPr>
  </w:style>
  <w:style w:type="paragraph" w:styleId="BalloonText">
    <w:name w:val="Balloon Text"/>
    <w:basedOn w:val="Normal"/>
    <w:link w:val="BalloonTextChar"/>
    <w:uiPriority w:val="99"/>
    <w:semiHidden/>
    <w:unhideWhenUsed/>
    <w:rsid w:val="00792C3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C38"/>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4458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2822</Words>
  <Characters>16092</Characters>
  <Application>Microsoft Office Word</Application>
  <DocSecurity>0</DocSecurity>
  <Lines>134</Lines>
  <Paragraphs>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Karnov Group A/S</Company>
  <LinksUpToDate>false</LinksUpToDate>
  <CharactersWithSpaces>18877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Karnov Group A/S</dc:creator>
  <cp:keywords/>
  <dc:description/>
  <cp:lastModifiedBy>SANTOS, Susana</cp:lastModifiedBy>
  <cp:revision>5</cp:revision>
  <dcterms:created xsi:type="dcterms:W3CDTF">2018-06-01T06:35:00Z</dcterms:created>
  <dcterms:modified xsi:type="dcterms:W3CDTF">2019-04-10T09:16:00Z</dcterms:modified>
  <cp:category/>
</cp:coreProperties>
</file>