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AF" w:rsidRPr="00B00403" w:rsidRDefault="003558AF" w:rsidP="003558AF">
      <w:pPr>
        <w:pStyle w:val="PlainText"/>
        <w:rPr>
          <w:rFonts w:ascii="Courier New" w:hAnsi="Courier New" w:cs="Courier New"/>
          <w:sz w:val="20"/>
          <w:szCs w:val="20"/>
        </w:rPr>
      </w:pPr>
      <w:r>
        <w:rPr>
          <w:rFonts w:ascii="Courier New" w:hAnsi="Courier New"/>
          <w:sz w:val="20"/>
          <w:szCs w:val="20"/>
        </w:rPr>
        <w:t>1. ------IND- 2019 0651 A</w:t>
      </w:r>
      <w:r w:rsidR="004742B7">
        <w:rPr>
          <w:rFonts w:ascii="Courier New" w:hAnsi="Courier New"/>
          <w:sz w:val="20"/>
          <w:szCs w:val="20"/>
        </w:rPr>
        <w:t>-</w:t>
      </w:r>
      <w:r>
        <w:rPr>
          <w:rFonts w:ascii="Courier New" w:hAnsi="Courier New"/>
          <w:sz w:val="20"/>
          <w:szCs w:val="20"/>
        </w:rPr>
        <w:t>- LT- ------ 20191231 --- --- PROJET</w:t>
      </w:r>
    </w:p>
    <w:p w:rsidR="003B4FF6" w:rsidRPr="00BD226C" w:rsidRDefault="003B4FF6" w:rsidP="009A6CCA">
      <w:pPr>
        <w:pStyle w:val="11Titel"/>
      </w:pPr>
      <w:r>
        <w:t>………… d. Federacinės žemės vyriausybės nutarimas, kuriuo iš dalies keičiamas 2014 m. Tirolio dujų, šildymo ir oro kondicionavimo įrangos nutarimas</w:t>
      </w:r>
    </w:p>
    <w:p w:rsidR="00390CD2" w:rsidRPr="00BD226C" w:rsidRDefault="00390CD2" w:rsidP="009A6CCA">
      <w:pPr>
        <w:pStyle w:val="12PromKlEinlSatz"/>
      </w:pPr>
      <w:r>
        <w:t>Remiantis 2013 m. Tirolio dujų, šildymo ir oro kondicionavimo įrangos įstatymo (federacinės žemės oficialusis leidinys (toliau – LGBl.) Nr. 111/2013) su paskutiniais pakeitimais, padarytais įstatymu, paskelbtu LGBl. Nr. 144/2018, 3 straipsnio 2 dalimi, nutariama:</w:t>
      </w:r>
    </w:p>
    <w:p w:rsidR="009000A8" w:rsidRPr="00BD226C" w:rsidRDefault="009000A8" w:rsidP="009831A5">
      <w:pPr>
        <w:pStyle w:val="41UeberschrG1"/>
      </w:pPr>
      <w:r>
        <w:t>I straipsnis</w:t>
      </w:r>
    </w:p>
    <w:p w:rsidR="007E62E6" w:rsidRPr="00BD226C" w:rsidRDefault="007E62E6" w:rsidP="009A6CCA">
      <w:pPr>
        <w:pStyle w:val="12PromKlEinlSatz"/>
      </w:pPr>
      <w:r>
        <w:t>2014 m. Tirolio dujų, šildymo ir oro kondicionavimo įrangos nutarimas (LGBl. Nr. 80/2014) su pakeitimais, padarytais nutarimu, paskelbtu LGBl. Nr. 9/2018, iš dalies keičiamas taip:</w:t>
      </w:r>
    </w:p>
    <w:p w:rsidR="003D2AFA" w:rsidRPr="00BD226C" w:rsidRDefault="009A6CCA" w:rsidP="006B308D">
      <w:pPr>
        <w:pStyle w:val="21NovAo1"/>
      </w:pPr>
      <w:r>
        <w:t>1) 2 straipsnyje po 5 dalies įterpiamos ši 6 dalis:</w:t>
      </w:r>
    </w:p>
    <w:p w:rsidR="003D2AFA" w:rsidRPr="00BD226C" w:rsidRDefault="008D4BF2" w:rsidP="009A6CCA">
      <w:pPr>
        <w:pStyle w:val="51Abs"/>
      </w:pPr>
      <w:r>
        <w:t>„6. Naujos statybos pastatuose pagal galiojančios redakcijos 2018 m. Tirolio statybų kodekso (LGBl. Nr. 28/2018) 2 straipsnio 7 dalį ir atliekant didesnius renovacijos darbus pagal 2018 m. Tirolio statybų kodekso 2 straipsnio 27 dalį centrinio šildymo įrenginiuose draudžiama naudoti kietąjį iškastinį kurą pagal 1 priedą ir skystąjį iškastinį kurą pagal 2 priedą.“</w:t>
      </w:r>
    </w:p>
    <w:p w:rsidR="00092EA6" w:rsidRPr="00BD226C" w:rsidRDefault="009A6CCA" w:rsidP="006B308D">
      <w:pPr>
        <w:pStyle w:val="21NovAo1"/>
      </w:pPr>
      <w:r>
        <w:t>2) 3 straipsnio 7 ir 8 dalys išdėstomos taip:</w:t>
      </w:r>
    </w:p>
    <w:p w:rsidR="002B5E92" w:rsidRPr="00BD226C" w:rsidRDefault="00092EA6" w:rsidP="009A6CCA">
      <w:pPr>
        <w:pStyle w:val="51Abs"/>
      </w:pPr>
      <w:r>
        <w:t>„7. Šildymo ir oro kondicionavimo įranga turi būti įrengta ir eksploatuojama taip, kad būtų vengiama perteklinio triukšmo kaimynams. Triukšmas nelaikomas pertekliniu tada, kai ilgalaikių triukšmo šaltinių su gretimais sklypais, kurie nėra eismo paviršiai pagal 2018 m. Tirolio statybų kodekso 2 straipsnio 21 dalį, besiribojančių sklypų pakraščiuose atvirame ore išmatuoto A-svertinio garso slėgio lygio dB vertės, taikomos atitinkamam įrangos eksploatavimo būdui, neviršija šių dydžių:</w:t>
      </w:r>
    </w:p>
    <w:p w:rsidR="00BD226C" w:rsidRPr="00BD226C"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D226C" w:rsidTr="00051812">
        <w:trPr>
          <w:trHeight w:val="450"/>
        </w:trPr>
        <w:tc>
          <w:tcPr>
            <w:tcW w:w="3150" w:type="dxa"/>
            <w:shd w:val="clear" w:color="auto" w:fill="auto"/>
            <w:vAlign w:val="center"/>
          </w:tcPr>
          <w:p w:rsidR="00520582" w:rsidRPr="00BD226C" w:rsidRDefault="00520582" w:rsidP="006B308D">
            <w:pPr>
              <w:pStyle w:val="09Abstand"/>
            </w:pPr>
          </w:p>
        </w:tc>
        <w:tc>
          <w:tcPr>
            <w:tcW w:w="1750" w:type="dxa"/>
            <w:shd w:val="clear" w:color="auto" w:fill="auto"/>
            <w:vAlign w:val="center"/>
          </w:tcPr>
          <w:p w:rsidR="00520582" w:rsidRPr="00BD226C" w:rsidRDefault="00520582" w:rsidP="006B308D">
            <w:pPr>
              <w:pStyle w:val="61bTabTextZentriert"/>
            </w:pPr>
            <w:r>
              <w:t>Dienomis</w:t>
            </w:r>
          </w:p>
          <w:p w:rsidR="00520582" w:rsidRPr="00BD226C" w:rsidRDefault="00520582" w:rsidP="006B308D">
            <w:pPr>
              <w:pStyle w:val="61bTabTextZentriert"/>
            </w:pPr>
            <w:r>
              <w:t>nuo 6.00 iki 19.00 val.</w:t>
            </w:r>
          </w:p>
        </w:tc>
        <w:tc>
          <w:tcPr>
            <w:tcW w:w="1922" w:type="dxa"/>
            <w:shd w:val="clear" w:color="auto" w:fill="auto"/>
            <w:vAlign w:val="center"/>
          </w:tcPr>
          <w:p w:rsidR="00520582" w:rsidRPr="00BD226C" w:rsidRDefault="00520582" w:rsidP="006B308D">
            <w:pPr>
              <w:pStyle w:val="61bTabTextZentriert"/>
            </w:pPr>
            <w:r>
              <w:t>Vakarais</w:t>
            </w:r>
          </w:p>
          <w:p w:rsidR="00520582" w:rsidRPr="00BD226C" w:rsidRDefault="00520582" w:rsidP="006B308D">
            <w:pPr>
              <w:pStyle w:val="61bTabTextZentriert"/>
            </w:pPr>
            <w:r>
              <w:t>nuo 19.00 iki 22.00 val.</w:t>
            </w:r>
          </w:p>
        </w:tc>
        <w:tc>
          <w:tcPr>
            <w:tcW w:w="1801" w:type="dxa"/>
            <w:shd w:val="clear" w:color="auto" w:fill="auto"/>
            <w:vAlign w:val="center"/>
          </w:tcPr>
          <w:p w:rsidR="00520582" w:rsidRPr="00BD226C" w:rsidRDefault="00520582" w:rsidP="006B308D">
            <w:pPr>
              <w:pStyle w:val="61bTabTextZentriert"/>
            </w:pPr>
            <w:r>
              <w:t>Naktimis</w:t>
            </w:r>
          </w:p>
          <w:p w:rsidR="00520582" w:rsidRPr="00BD226C" w:rsidRDefault="00520582" w:rsidP="006B308D">
            <w:pPr>
              <w:pStyle w:val="61bTabTextZentriert"/>
            </w:pPr>
            <w:r>
              <w:t>nuo 22.00 iki 6.00 val.</w:t>
            </w:r>
          </w:p>
        </w:tc>
      </w:tr>
      <w:tr w:rsidR="00922276" w:rsidRPr="00BD226C" w:rsidTr="00051812">
        <w:tc>
          <w:tcPr>
            <w:tcW w:w="3150" w:type="dxa"/>
            <w:shd w:val="clear" w:color="auto" w:fill="auto"/>
            <w:vAlign w:val="center"/>
          </w:tcPr>
          <w:p w:rsidR="00520582" w:rsidRPr="00BD226C" w:rsidRDefault="00520582" w:rsidP="006B308D">
            <w:pPr>
              <w:pStyle w:val="61TabText"/>
            </w:pPr>
            <w:r>
              <w:t>Gyvenamieji rajonai</w:t>
            </w:r>
          </w:p>
        </w:tc>
        <w:tc>
          <w:tcPr>
            <w:tcW w:w="1750" w:type="dxa"/>
            <w:shd w:val="clear" w:color="auto" w:fill="auto"/>
            <w:vAlign w:val="center"/>
          </w:tcPr>
          <w:p w:rsidR="00520582" w:rsidRPr="00BD226C" w:rsidRDefault="00520582" w:rsidP="006B308D">
            <w:pPr>
              <w:pStyle w:val="61bTabTextZentriert"/>
            </w:pPr>
            <w:r>
              <w:t>40 dB</w:t>
            </w:r>
          </w:p>
        </w:tc>
        <w:tc>
          <w:tcPr>
            <w:tcW w:w="1922" w:type="dxa"/>
            <w:shd w:val="clear" w:color="auto" w:fill="auto"/>
            <w:vAlign w:val="center"/>
          </w:tcPr>
          <w:p w:rsidR="00520582" w:rsidRPr="00BD226C" w:rsidRDefault="00520582" w:rsidP="006B308D">
            <w:pPr>
              <w:pStyle w:val="61bTabTextZentriert"/>
            </w:pPr>
            <w:r>
              <w:t>35 dB</w:t>
            </w:r>
          </w:p>
        </w:tc>
        <w:tc>
          <w:tcPr>
            <w:tcW w:w="1801" w:type="dxa"/>
            <w:shd w:val="clear" w:color="auto" w:fill="auto"/>
            <w:vAlign w:val="center"/>
          </w:tcPr>
          <w:p w:rsidR="00520582" w:rsidRPr="00BD226C" w:rsidRDefault="00520582" w:rsidP="006B308D">
            <w:pPr>
              <w:pStyle w:val="61bTabTextZentriert"/>
            </w:pPr>
            <w:r>
              <w:t>30 dB</w:t>
            </w:r>
          </w:p>
        </w:tc>
      </w:tr>
      <w:tr w:rsidR="00922276" w:rsidRPr="00BD226C" w:rsidTr="00051812">
        <w:tc>
          <w:tcPr>
            <w:tcW w:w="3150" w:type="dxa"/>
            <w:shd w:val="clear" w:color="auto" w:fill="auto"/>
            <w:vAlign w:val="center"/>
          </w:tcPr>
          <w:p w:rsidR="00520582" w:rsidRPr="00BD226C" w:rsidRDefault="00520582" w:rsidP="006B308D">
            <w:pPr>
              <w:pStyle w:val="61TabText"/>
            </w:pPr>
            <w:r>
              <w:t>Mišrūs gyvenamieji arba turistiniai rajonai</w:t>
            </w:r>
          </w:p>
        </w:tc>
        <w:tc>
          <w:tcPr>
            <w:tcW w:w="1750" w:type="dxa"/>
            <w:shd w:val="clear" w:color="auto" w:fill="auto"/>
            <w:vAlign w:val="center"/>
          </w:tcPr>
          <w:p w:rsidR="00520582" w:rsidRPr="00BD226C" w:rsidRDefault="00520582" w:rsidP="006B308D">
            <w:pPr>
              <w:pStyle w:val="61bTabTextZentriert"/>
            </w:pPr>
            <w:r>
              <w:t>45 dB</w:t>
            </w:r>
          </w:p>
        </w:tc>
        <w:tc>
          <w:tcPr>
            <w:tcW w:w="1922" w:type="dxa"/>
            <w:shd w:val="clear" w:color="auto" w:fill="auto"/>
            <w:vAlign w:val="center"/>
          </w:tcPr>
          <w:p w:rsidR="00520582" w:rsidRPr="00BD226C" w:rsidRDefault="00520582" w:rsidP="006B308D">
            <w:pPr>
              <w:pStyle w:val="61bTabTextZentriert"/>
            </w:pPr>
            <w:r>
              <w:t>40 dB</w:t>
            </w:r>
          </w:p>
        </w:tc>
        <w:tc>
          <w:tcPr>
            <w:tcW w:w="1801" w:type="dxa"/>
            <w:shd w:val="clear" w:color="auto" w:fill="auto"/>
            <w:vAlign w:val="center"/>
          </w:tcPr>
          <w:p w:rsidR="00520582" w:rsidRPr="00BD226C" w:rsidRDefault="00520582" w:rsidP="006B308D">
            <w:pPr>
              <w:pStyle w:val="61bTabTextZentriert"/>
            </w:pPr>
            <w:r>
              <w:t>35 dB</w:t>
            </w:r>
          </w:p>
        </w:tc>
      </w:tr>
      <w:tr w:rsidR="00922276" w:rsidRPr="00BD226C" w:rsidTr="00051812">
        <w:tc>
          <w:tcPr>
            <w:tcW w:w="3150" w:type="dxa"/>
            <w:shd w:val="clear" w:color="auto" w:fill="auto"/>
            <w:vAlign w:val="center"/>
          </w:tcPr>
          <w:p w:rsidR="00520582" w:rsidRPr="00BD226C" w:rsidRDefault="00520582" w:rsidP="006B308D">
            <w:pPr>
              <w:pStyle w:val="61TabText"/>
            </w:pPr>
            <w:r>
              <w:t>Verslo, žemės ūkio ir bendrojo pobūdžio mišrieji rajonai</w:t>
            </w:r>
          </w:p>
        </w:tc>
        <w:tc>
          <w:tcPr>
            <w:tcW w:w="1750" w:type="dxa"/>
            <w:shd w:val="clear" w:color="auto" w:fill="auto"/>
            <w:vAlign w:val="center"/>
          </w:tcPr>
          <w:p w:rsidR="00520582" w:rsidRPr="00BD226C" w:rsidRDefault="00520582" w:rsidP="006B308D">
            <w:pPr>
              <w:pStyle w:val="61bTabTextZentriert"/>
            </w:pPr>
            <w:r>
              <w:t>50 dB</w:t>
            </w:r>
          </w:p>
        </w:tc>
        <w:tc>
          <w:tcPr>
            <w:tcW w:w="1922" w:type="dxa"/>
            <w:shd w:val="clear" w:color="auto" w:fill="auto"/>
            <w:vAlign w:val="center"/>
          </w:tcPr>
          <w:p w:rsidR="00520582" w:rsidRPr="00BD226C" w:rsidRDefault="00520582" w:rsidP="006B308D">
            <w:pPr>
              <w:pStyle w:val="61bTabTextZentriert"/>
            </w:pPr>
            <w:r>
              <w:t>45 dB</w:t>
            </w:r>
          </w:p>
        </w:tc>
        <w:tc>
          <w:tcPr>
            <w:tcW w:w="1801" w:type="dxa"/>
            <w:shd w:val="clear" w:color="auto" w:fill="auto"/>
            <w:vAlign w:val="center"/>
          </w:tcPr>
          <w:p w:rsidR="00520582" w:rsidRPr="00BD226C" w:rsidRDefault="00520582" w:rsidP="006B308D">
            <w:pPr>
              <w:pStyle w:val="61bTabTextZentriert"/>
            </w:pPr>
            <w:r>
              <w:t>40 dB</w:t>
            </w:r>
          </w:p>
        </w:tc>
      </w:tr>
    </w:tbl>
    <w:p w:rsidR="00BD226C" w:rsidRPr="00BD226C" w:rsidRDefault="00BD226C" w:rsidP="00BD226C">
      <w:pPr>
        <w:pStyle w:val="09Abstand"/>
      </w:pPr>
    </w:p>
    <w:p w:rsidR="002B5E92" w:rsidRPr="00BD226C" w:rsidRDefault="002B5E92" w:rsidP="009A6CCA">
      <w:pPr>
        <w:pStyle w:val="58Schlussteile0Abs"/>
      </w:pPr>
      <w:r>
        <w:t>Specialiesiems sklypams pagal galiojančios redakcijos 2016 m. Tirolio teritorijų planavimo įstatymo (LGBl. Nr. 101/2016) 43 straipsnį ir apstatytiems sklypams atvirose teritorijose pagal 2016 m. Tirolio teritorijų planavimo įstatymo 41 straipsnį dB vertės nustatomos pagal tokią statybų aikštelės paskirtį, kuri yra panašiausia į specialiojo sklypo panaudojimo paskirtį.</w:t>
      </w:r>
    </w:p>
    <w:p w:rsidR="00423184" w:rsidRPr="00BD226C" w:rsidRDefault="00423184" w:rsidP="00423184">
      <w:pPr>
        <w:pStyle w:val="51Abs"/>
      </w:pPr>
      <w:r>
        <w:t>8. 7 dalyje nustatytas ribines vertes galima viršyti, jei sklypo pakraštyje nustatytas garso slėgio lygis, remiantis technikos lygiu, nepadidėja daugiau kaip 3 dB.“</w:t>
      </w:r>
    </w:p>
    <w:p w:rsidR="003A4ED8" w:rsidRPr="00BD226C" w:rsidRDefault="009A6CCA" w:rsidP="006B308D">
      <w:pPr>
        <w:pStyle w:val="21NovAo1"/>
      </w:pPr>
      <w:r>
        <w:t>3) 2 straipsnio 28 dalis išdėst</w:t>
      </w:r>
      <w:bookmarkStart w:id="0" w:name="_GoBack"/>
      <w:bookmarkEnd w:id="0"/>
      <w:r>
        <w:t>oma taip:</w:t>
      </w:r>
    </w:p>
    <w:p w:rsidR="009A6CCA" w:rsidRPr="00BD226C" w:rsidRDefault="009A6CCA" w:rsidP="009A6CCA">
      <w:pPr>
        <w:pStyle w:val="51Abs"/>
      </w:pPr>
      <w:r>
        <w:t>„2. Apie šį nutarimą pranešta:</w:t>
      </w:r>
    </w:p>
    <w:p w:rsidR="009A6CCA" w:rsidRPr="00BD226C" w:rsidRDefault="009A6CCA" w:rsidP="009A6CCA">
      <w:pPr>
        <w:pStyle w:val="52Aufzaehle1Ziffer"/>
      </w:pPr>
      <w:r>
        <w:tab/>
        <w:t>a)</w:t>
      </w:r>
      <w:r>
        <w:tab/>
        <w:t>pagal Europos Parlamento ir Tarybos direktyvą 98/34/EB, nustatančią informacijos apie techninius standartus, reglamentus ir informacinės visuomenės paslaugų taisykles teikimo tvarką (OL L 204, 1998, p. 37), su paskutiniais pakeitimais, padarytais Europos Parlamento ir Tarybos reglamentu (ES) Nr. 1025/2012 (OL L 316, 2012, p. 12) (pranešimo numeris 2013/0703/A), ir</w:t>
      </w:r>
    </w:p>
    <w:p w:rsidR="009A6CCA" w:rsidRPr="00BD226C" w:rsidRDefault="009A6CCA" w:rsidP="009A6CCA">
      <w:pPr>
        <w:pStyle w:val="52Aufzaehle1Ziffer"/>
      </w:pPr>
      <w:r>
        <w:tab/>
        <w:t>b)</w:t>
      </w:r>
      <w:r>
        <w:tab/>
        <w:t>pagal Direktyvos (ES) 2015/1535, kuria nustatoma informacijos apie techninius reglamentus ir informacinės visuomenės paslaugų taisykles teikimo tvarka (OL L 241, 2015, p. 1) (pranešimo Nr. XXXX/XXXX/X), nuostatas.“</w:t>
      </w:r>
    </w:p>
    <w:p w:rsidR="00423184" w:rsidRPr="00BD226C" w:rsidRDefault="00423184" w:rsidP="00BD226C">
      <w:pPr>
        <w:pStyle w:val="41UeberschrG1"/>
      </w:pPr>
      <w:r>
        <w:t>II straipsnis</w:t>
      </w:r>
    </w:p>
    <w:p w:rsidR="00423184" w:rsidRPr="00BD226C" w:rsidRDefault="00423184" w:rsidP="00BD226C">
      <w:pPr>
        <w:pStyle w:val="51Abs"/>
      </w:pPr>
      <w:r>
        <w:t>Šis nutarimas įsigalioja paskelbimo dienos pabaigoje.</w:t>
      </w:r>
    </w:p>
    <w:sectPr w:rsidR="00423184" w:rsidRPr="00BD226C" w:rsidSect="00BD226C">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E6" w:rsidRDefault="00CD02E6">
      <w:r>
        <w:separator/>
      </w:r>
    </w:p>
  </w:endnote>
  <w:endnote w:type="continuationSeparator" w:id="0">
    <w:p w:rsidR="00CD02E6" w:rsidRDefault="00CD02E6">
      <w:r>
        <w:continuationSeparator/>
      </w:r>
    </w:p>
  </w:endnote>
  <w:endnote w:type="continuationNotice" w:id="1">
    <w:p w:rsidR="00CD02E6" w:rsidRDefault="00CD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E6" w:rsidRDefault="00CD02E6">
      <w:r>
        <w:separator/>
      </w:r>
    </w:p>
  </w:footnote>
  <w:footnote w:type="continuationSeparator" w:id="0">
    <w:p w:rsidR="00CD02E6" w:rsidRDefault="00CD02E6">
      <w:r>
        <w:continuationSeparator/>
      </w:r>
    </w:p>
  </w:footnote>
  <w:footnote w:type="continuationNotice" w:id="1">
    <w:p w:rsidR="00CD02E6" w:rsidRDefault="00CD02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Default="00BD226C" w:rsidP="00BD226C">
    <w:pPr>
      <w:pStyle w:val="62Kopfzeile"/>
    </w:pPr>
    <w:r>
      <w:tab/>
    </w:r>
    <w:r>
      <w:tab/>
      <w:t xml:space="preserve">p. </w:t>
    </w:r>
    <w:r w:rsidR="00857733">
      <w:fldChar w:fldCharType="begin"/>
    </w:r>
    <w:r>
      <w:instrText xml:space="preserve"> PAGE  \* Arabic  \* MERGEFORMAT </w:instrText>
    </w:r>
    <w:r w:rsidR="00857733">
      <w:fldChar w:fldCharType="separate"/>
    </w:r>
    <w:r>
      <w:t>1</w:t>
    </w:r>
    <w:r w:rsidR="00857733">
      <w:fldChar w:fldCharType="end"/>
    </w:r>
    <w:r>
      <w:t xml:space="preserve"> iš </w:t>
    </w:r>
    <w:r w:rsidR="004742B7">
      <w:fldChar w:fldCharType="begin"/>
    </w:r>
    <w:r w:rsidR="004742B7">
      <w:instrText xml:space="preserve"> NUMPAGES  \* Arabic  \* MER</w:instrText>
    </w:r>
    <w:r w:rsidR="004742B7">
      <w:instrText xml:space="preserve">GEFORMAT </w:instrText>
    </w:r>
    <w:r w:rsidR="004742B7">
      <w:fldChar w:fldCharType="separate"/>
    </w:r>
    <w:r>
      <w:t>1</w:t>
    </w:r>
    <w:r w:rsidR="004742B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79" w:rsidRPr="00BD226C" w:rsidRDefault="00BD226C" w:rsidP="00BD226C">
    <w:pPr>
      <w:pStyle w:val="62Kopfzeile"/>
    </w:pPr>
    <w:r>
      <w:tab/>
    </w:r>
    <w:r>
      <w:tab/>
      <w:t xml:space="preserve">p. </w:t>
    </w:r>
    <w:r w:rsidR="00857733">
      <w:fldChar w:fldCharType="begin"/>
    </w:r>
    <w:r>
      <w:instrText xml:space="preserve"> PAGE  \* Arabic  \* MERGEFORMAT </w:instrText>
    </w:r>
    <w:r w:rsidR="00857733">
      <w:fldChar w:fldCharType="separate"/>
    </w:r>
    <w:r w:rsidR="004742B7">
      <w:rPr>
        <w:noProof/>
      </w:rPr>
      <w:t>1</w:t>
    </w:r>
    <w:r w:rsidR="00857733">
      <w:fldChar w:fldCharType="end"/>
    </w:r>
    <w:r>
      <w:t xml:space="preserve"> iš </w:t>
    </w:r>
    <w:r w:rsidR="004742B7">
      <w:fldChar w:fldCharType="begin"/>
    </w:r>
    <w:r w:rsidR="004742B7">
      <w:instrText xml:space="preserve"> NUMPAGES  \* Arabic  \* MERGEFORMAT </w:instrText>
    </w:r>
    <w:r w:rsidR="004742B7">
      <w:fldChar w:fldCharType="separate"/>
    </w:r>
    <w:r w:rsidR="004742B7">
      <w:rPr>
        <w:noProof/>
      </w:rPr>
      <w:t>1</w:t>
    </w:r>
    <w:r w:rsidR="004742B7">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44FC1"/>
    <w:rsid w:val="00452B92"/>
    <w:rsid w:val="00456646"/>
    <w:rsid w:val="004619C0"/>
    <w:rsid w:val="00470BF9"/>
    <w:rsid w:val="004719C7"/>
    <w:rsid w:val="004742B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57733"/>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02E6"/>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t-LT" w:eastAsia="de-AT"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qFormat="1"/>
    <w:lsdException w:name="heading 3" w:locked="0"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locked="0" w:uiPriority="99"/>
    <w:lsdException w:name="header" w:locked="0" w:uiPriority="99"/>
    <w:lsdException w:name="footer" w:locked="0" w:uiPriority="99"/>
    <w:lsdException w:name="caption" w:qFormat="1"/>
    <w:lsdException w:name="footnote reference" w:locked="0"/>
    <w:lsdException w:name="annotation reference" w:locked="0"/>
    <w:lsdException w:name="endnote reference" w:lock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uiPriority="1"/>
    <w:lsdException w:name="Subtitle" w:locked="0" w:semiHidden="0" w:unhideWhenUsed="0" w:qFormat="1"/>
    <w:lsdException w:name="Salutation" w:semiHidden="0" w:unhideWhenUsed="0"/>
    <w:lsdException w:name="Date" w:semiHidden="0" w:unhideWhenUsed="0"/>
    <w:lsdException w:name="Body Text First Indent" w:semiHidden="0" w:unhideWhenUsed="0"/>
    <w:lsdException w:name="Hyperlink" w:locked="0"/>
    <w:lsdException w:name="Strong" w:semiHidden="0" w:unhideWhenUsed="0" w:qFormat="1"/>
    <w:lsdException w:name="Emphasis" w:semiHidden="0" w:unhideWhenUsed="0" w:qFormat="1"/>
    <w:lsdException w:name="Plain Text" w:uiPriority="99"/>
    <w:lsdException w:name="HTML Top of Form" w:locked="0"/>
    <w:lsdException w:name="HTML Bottom of Form" w:locked="0"/>
    <w:lsdException w:name="Normal Table" w:locked="0"/>
    <w:lsdException w:name="annotation subject" w:locked="0"/>
    <w:lsdException w:name="No List" w:locked="0" w:uiPriority="99"/>
    <w:lsdException w:name="Balloon Text" w:locked="0"/>
    <w:lsdException w:name="Table Grid" w:locked="0"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rsid w:val="00857733"/>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rPr>
      <w:lang w:eastAsia="de-DE"/>
    </w:r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lang w:eastAsia="en-US"/>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lang w:eastAsia="de-DE"/>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lang w:eastAsia="en-US"/>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lang w:eastAsia="en-US"/>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lang w:eastAsia="de-DE"/>
    </w:rPr>
  </w:style>
  <w:style w:type="paragraph" w:customStyle="1" w:styleId="PDU1">
    <w:name w:val="PD_U1"/>
    <w:basedOn w:val="00LegStandard"/>
    <w:next w:val="Normal"/>
    <w:rsid w:val="0095105E"/>
    <w:pPr>
      <w:tabs>
        <w:tab w:val="center" w:pos="2126"/>
        <w:tab w:val="center" w:pos="6379"/>
      </w:tabs>
      <w:spacing w:before="440"/>
    </w:pPr>
    <w:rPr>
      <w:b/>
      <w:lang w:eastAsia="de-DE"/>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rPr>
      <w:lang w:eastAsia="en-US"/>
    </w:rPr>
  </w:style>
  <w:style w:type="paragraph" w:customStyle="1" w:styleId="57Schlussteile1">
    <w:name w:val="57_Schlussteil_e1"/>
    <w:basedOn w:val="00LegStandard"/>
    <w:next w:val="51Abs"/>
    <w:rsid w:val="0095105E"/>
    <w:pPr>
      <w:spacing w:before="40"/>
      <w:ind w:left="454"/>
    </w:pPr>
    <w:rPr>
      <w:lang w:eastAsia="de-DE"/>
    </w:rPr>
  </w:style>
  <w:style w:type="paragraph" w:customStyle="1" w:styleId="57Schlussteile4">
    <w:name w:val="57_Schlussteil_e4"/>
    <w:basedOn w:val="00LegStandard"/>
    <w:next w:val="51Abs"/>
    <w:rsid w:val="0095105E"/>
    <w:pPr>
      <w:spacing w:before="40"/>
      <w:ind w:left="1247"/>
    </w:pPr>
    <w:rPr>
      <w:snapToGrid/>
      <w:lang w:eastAsia="de-DE"/>
    </w:rPr>
  </w:style>
  <w:style w:type="paragraph" w:customStyle="1" w:styleId="57Schlussteile5">
    <w:name w:val="57_Schlussteil_e5"/>
    <w:basedOn w:val="00LegStandard"/>
    <w:next w:val="51Abs"/>
    <w:rsid w:val="0095105E"/>
    <w:pPr>
      <w:spacing w:before="40"/>
      <w:ind w:left="1644"/>
    </w:pPr>
    <w:rPr>
      <w:snapToGrid/>
      <w:lang w:eastAsia="de-DE"/>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sid w:val="00857733"/>
    <w:rPr>
      <w:rFonts w:cs="Times New Roman"/>
      <w:color w:val="0000FF"/>
      <w:u w:val="single"/>
    </w:rPr>
  </w:style>
  <w:style w:type="character" w:customStyle="1" w:styleId="PlaceholderText1">
    <w:name w:val="Placeholder Text1"/>
    <w:semiHidden/>
    <w:locked/>
    <w:rsid w:val="00857733"/>
    <w:rPr>
      <w:rFonts w:cs="Times New Roman"/>
      <w:color w:val="808080"/>
    </w:rPr>
  </w:style>
  <w:style w:type="paragraph" w:styleId="BalloonText">
    <w:name w:val="Balloon Text"/>
    <w:basedOn w:val="Normal"/>
    <w:link w:val="BalloonTextChar"/>
    <w:semiHidden/>
    <w:locked/>
    <w:rsid w:val="00857733"/>
    <w:rPr>
      <w:rFonts w:ascii="Tahoma" w:hAnsi="Tahoma" w:cs="Tahoma"/>
      <w:sz w:val="16"/>
      <w:szCs w:val="16"/>
    </w:rPr>
  </w:style>
  <w:style w:type="character" w:customStyle="1" w:styleId="BalloonTextChar">
    <w:name w:val="Balloon Text Char"/>
    <w:link w:val="BalloonText"/>
    <w:semiHidden/>
    <w:rsid w:val="00857733"/>
    <w:rPr>
      <w:rFonts w:ascii="Tahoma" w:eastAsia="Times New Roman" w:hAnsi="Tahoma" w:cs="Tahoma"/>
      <w:sz w:val="16"/>
      <w:szCs w:val="16"/>
      <w:lang w:val="lt-LT" w:eastAsia="de-DE"/>
    </w:rPr>
  </w:style>
  <w:style w:type="table" w:styleId="TableGrid">
    <w:name w:val="Table Grid"/>
    <w:basedOn w:val="TableNormal"/>
    <w:locked/>
    <w:rsid w:val="00857733"/>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lt-LT" w:eastAsia="de-DE"/>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eastAsia="de-DE"/>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lt-LT"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lt-LT"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lt-LT"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rPr>
      <w:lang w:eastAsia="de-DE"/>
    </w:r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rPr>
      <w:lang w:eastAsia="de-DE"/>
    </w:r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rPr>
      <w:lang w:eastAsia="de-DE"/>
    </w:r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rPr>
      <w:lang w:eastAsia="de-DE"/>
    </w:r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rPr>
      <w:lang w:eastAsia="de-DE"/>
    </w:r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rPr>
      <w:lang w:eastAsia="de-DE"/>
    </w:r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lang w:eastAsia="de-DE"/>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lang w:eastAsia="en-US"/>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7356-1E5F-4006-B497-8BDF9BC8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1</TotalTime>
  <Pages>1</Pages>
  <Words>443</Words>
  <Characters>2723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Diana STOICA</cp:lastModifiedBy>
  <cp:revision>3</cp:revision>
  <cp:lastPrinted>2019-11-29T06:42:00Z</cp:lastPrinted>
  <dcterms:created xsi:type="dcterms:W3CDTF">2019-12-30T08:47:00Z</dcterms:created>
  <dcterms:modified xsi:type="dcterms:W3CDTF">2019-12-31T09:58:00Z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