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CA739A" w:rsidP="00CA739A">
      <w:pPr>
        <w:spacing w:line="360" w:lineRule="auto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0017 A-- PL- ------ 20200123 --- --- PROJET</w:t>
      </w:r>
    </w:p>
    <w:bookmarkEnd w:id="0"/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b/>
          <w:bCs/>
          <w:rFonts w:ascii="Arial" w:hAnsi="Arial"/>
        </w:rPr>
        <w:t xml:space="preserve">Rozporządzenie Rady Gminy Miejskiej Wiedeń ustanawiające plan zagospodarowania energetycznego dla 2. dzielnicy</w:t>
      </w:r>
      <w:r>
        <w:rPr>
          <w:b/>
          <w:bCs/>
          <w:rFonts w:ascii="Arial" w:hAnsi="Arial"/>
        </w:rPr>
        <w:t xml:space="preserve">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 xml:space="preserve">Zgodnie z § 2b ustawy budowlanej kraju związkowego Wiedeń, Krajowy Dz.U. Wiednia nr 11/1930, zmienionej ostatnio ustawą opublikowaną w Krajowym Dz.U. Wiednia nr 71/2018, wydaje się następujące rozporządzenie: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b/>
          <w:rFonts w:ascii="Arial" w:hAnsi="Arial"/>
        </w:rPr>
        <w:t xml:space="preserve">§ 1.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Dla przedstawionych w załączniku obszarów zakreskowanych na pomarańczowo i otoczonych pomarańczową obwódką ustanawia się plan zagospodarowania energetycznego zgodnie z § 2b ustawy budowlanej kraju związkowego Wiedeń.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Powierzchnie komunikacyjne są wyłączone z zakresu obowiązywania rozporządzenia.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b/>
          <w:rFonts w:ascii="Arial" w:hAnsi="Arial"/>
        </w:rPr>
        <w:t xml:space="preserve">§ 2.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Załącznik (załączony plan) tworzy część składową niniejszego rozporządzenia.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b/>
          <w:rFonts w:ascii="Arial" w:hAnsi="Arial"/>
        </w:rPr>
        <w:t xml:space="preserve">§ 3.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Dla instalacji grzewczych i instalacji do przygotowania ciepłej wody w położonych na obszarach objętych planem zagospodarowania energetycznego nowych budynkach w rozumieniu § 60 ust. 1 lit. a) ustawy budowlanej kraju związkowego Wiedeń dozwolone są tylko wysokosprawne systemy alternatywne określone w § 118 ust. 3 wymienionej ustawy.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b/>
          <w:rFonts w:ascii="Arial" w:hAnsi="Arial"/>
        </w:rPr>
        <w:t xml:space="preserve">§ 4.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Niniejsze rozporządzenie zostało notyfikowane (numer notyfikacji 2020/xx/A) zgodnie z przepisami dyrektywy (UE) 2015/1535 Parlamentu Europejskiego i Rady z dnia 9 września 2015 r. ustanawiającej procedurę udzielania informacji w dziedzinie przepisów technicznych oraz zasad dotyczących usług społeczeństwa informacyjnego, Dz.U. L 241 z 17.9.2015.</w:t>
      </w:r>
    </w:p>
    <w:p w:rsidR="00D66204" w:rsidRPr="00394400" w:rsidRDefault="00031570" w:rsidP="00031570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§ 5.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Niniejsze rozporządzenie wchodzi w życie trzy miesiące po jego ogłoszeniu.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b/>
          <w:rFonts w:ascii="Arial" w:hAnsi="Arial"/>
        </w:rPr>
        <w:t xml:space="preserve">§ 6.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Niniejsze rozporządzenie nie znajduje zastosowania do żadnej procedury wydania pozwolenia na budowę trwającej w momencie wejścia w życie rozporządzenia.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 xml:space="preserve">Przewodniczący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Załącznik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Załączony plan Nr.Bez02_E_Plan1_v1.0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2E" w:rsidRDefault="0040032E" w:rsidP="00F76E71">
      <w:pPr>
        <w:spacing w:after="0" w:line="240" w:lineRule="auto"/>
      </w:pPr>
      <w:r>
        <w:separator/>
      </w:r>
    </w:p>
  </w:endnote>
  <w:endnote w:type="continuationSeparator" w:id="0">
    <w:p w:rsidR="0040032E" w:rsidRDefault="0040032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2E" w:rsidRDefault="0040032E" w:rsidP="00F76E71">
      <w:pPr>
        <w:spacing w:after="0" w:line="240" w:lineRule="auto"/>
      </w:pPr>
      <w:r>
        <w:separator/>
      </w:r>
    </w:p>
  </w:footnote>
  <w:footnote w:type="continuationSeparator" w:id="0">
    <w:p w:rsidR="0040032E" w:rsidRDefault="0040032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C4C288A7-B9FF-45DB-9240-6D45F5E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Liu, Lei</cp:lastModifiedBy>
  <cp:revision>3</cp:revision>
  <cp:lastPrinted>2019-07-25T07:15:00Z</cp:lastPrinted>
  <dcterms:created xsi:type="dcterms:W3CDTF">2020-01-13T13:29:00Z</dcterms:created>
  <dcterms:modified xsi:type="dcterms:W3CDTF">2020-01-17T06:48:00Z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