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3A326C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CA739A">
        <w:rPr>
          <w:rFonts w:ascii="Courier New" w:hAnsi="Courier New"/>
          <w:sz w:val="20"/>
          <w:szCs w:val="20"/>
        </w:rPr>
        <w:t xml:space="preserve"> A-- PL- ------ </w:t>
      </w:r>
      <w:r w:rsidR="00A246F7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1903A6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Rozporządzenie Rady Gminy Miejskiej Wiedeń ustanawiające plan zagos</w:t>
      </w:r>
      <w:r w:rsidR="003A326C">
        <w:rPr>
          <w:rFonts w:ascii="Arial" w:hAnsi="Arial"/>
          <w:b/>
          <w:bCs/>
        </w:rPr>
        <w:t>podarowania energetycznego dla 16</w:t>
      </w:r>
      <w:r>
        <w:rPr>
          <w:rFonts w:ascii="Arial" w:hAnsi="Arial"/>
          <w:b/>
          <w:bCs/>
        </w:rPr>
        <w:t xml:space="preserve">. dzielnicy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Zgodnie z § 2b ustawy budowlanej kraju związkowego Wiedeń, Krajowy Dz.U. Wiednia nr 11/1930, zmienionej ostatnio ustawą opublikowaną w Krajowym Dz.U. Wiednia nr 71/2018, wydaje się następujące rozporządzenie: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Dla przedstawionych w załączniku obszarów zakreskowanych na pomarańczowo i otoczonych pomarańczową obwódką ustanawia się plan zagospodarowania energetycznego zgodnie z § 2b ustawy budowlanej kraju związkowego Wiedeń. Powierzchnie komunikacyjne są wyłączone z zakresu obowiązywania rozporządzenia.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Załącznik (załączony plan) tworzy część składową niniejszego rozporządzenia.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Dla instalacji grzewczych i instalacji do przygotowania ciepłej wody w położonych na obszarach objętych planem zagospodarowania energetycznego nowych budynkach w rozumieniu § 60 ust. 1 lit. a) ustawy budowlanej kraju związkowego Wiedeń dozwolone są tylko wysokosprawne systemy alternatywne określone w § 118 ust. 3 wymienionej ustawy.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Niniejsze rozporządzenie zostało notyfikowane (numer notyfikacji </w:t>
      </w:r>
      <w:r w:rsidR="004A5C4C">
        <w:rPr>
          <w:rFonts w:ascii="Arial" w:hAnsi="Arial"/>
        </w:rPr>
        <w:t>2020/19</w:t>
      </w:r>
      <w:r>
        <w:rPr>
          <w:rFonts w:ascii="Arial" w:hAnsi="Arial"/>
        </w:rPr>
        <w:t>/A) zgodnie z przepisami dyrektywy (UE) 2015/1535 Parlamentu Europejskiego i Rady z dnia 9 września 2015 r. ustanawiającej procedurę udzielania informacji w dziedzinie przepisów technicznych oraz zasad dotyczących usług społeczeństwa informacyjnego, Dz.U. L 241 z 17.9.2015.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Niniejsze rozporządzenie wchodzi w życie trzy miesiące po jego ogłoszeniu.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Niniejsze rozporządzenie nie znajduje zastosowania do żadnej procedury wydania pozwolenia na budowę trwającej w momencie wejścia w życie rozporządzenia.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Przewodniczący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Załącznik</w:t>
      </w:r>
    </w:p>
    <w:p w:rsidR="0040032E" w:rsidRPr="0040032E" w:rsidRDefault="003A326C" w:rsidP="0040032E">
      <w:pPr>
        <w:rPr>
          <w:rFonts w:ascii="Arial" w:hAnsi="Arial" w:cs="Arial"/>
        </w:rPr>
      </w:pPr>
      <w:r>
        <w:rPr>
          <w:rFonts w:ascii="Arial" w:hAnsi="Arial"/>
        </w:rPr>
        <w:t>Załączony plan Nr.</w:t>
      </w:r>
      <w:r w:rsidR="00FA1B38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32E" w:rsidRDefault="0040032E" w:rsidP="00F76E71">
      <w:pPr>
        <w:spacing w:after="0" w:line="240" w:lineRule="auto"/>
      </w:pPr>
      <w:r>
        <w:separator/>
      </w:r>
    </w:p>
  </w:endnote>
  <w:end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32E" w:rsidRDefault="0040032E" w:rsidP="00F76E71">
      <w:pPr>
        <w:spacing w:after="0" w:line="240" w:lineRule="auto"/>
      </w:pPr>
      <w:r>
        <w:separator/>
      </w:r>
    </w:p>
  </w:footnote>
  <w:foot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01983"/>
    <w:rsid w:val="00031570"/>
    <w:rsid w:val="00066807"/>
    <w:rsid w:val="000A4945"/>
    <w:rsid w:val="000B31EB"/>
    <w:rsid w:val="000F50B5"/>
    <w:rsid w:val="00153E41"/>
    <w:rsid w:val="00160200"/>
    <w:rsid w:val="001903A6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A326C"/>
    <w:rsid w:val="003B529D"/>
    <w:rsid w:val="0040032E"/>
    <w:rsid w:val="0049021F"/>
    <w:rsid w:val="004A4537"/>
    <w:rsid w:val="004A5C4C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246F7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A1B38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4C288A7-B9FF-45DB-9240-6D45F5E6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9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