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0A0A" w14:textId="373FA948" w:rsidR="00310D57" w:rsidRPr="00805BDE" w:rsidRDefault="00310D57" w:rsidP="00310D57">
      <w:pPr>
        <w:rPr>
          <w:sz w:val="20"/>
        </w:rPr>
      </w:pPr>
      <w:r w:rsidRPr="00805BDE">
        <w:rPr>
          <w:rFonts w:ascii="Courier New" w:hAnsi="Courier New"/>
          <w:sz w:val="20"/>
        </w:rPr>
        <w:t>1. --</w:t>
      </w:r>
      <w:r w:rsidR="00805BDE">
        <w:rPr>
          <w:rFonts w:ascii="Courier New" w:hAnsi="Courier New"/>
          <w:sz w:val="20"/>
        </w:rPr>
        <w:t>-</w:t>
      </w:r>
      <w:bookmarkStart w:id="0" w:name="_GoBack"/>
      <w:bookmarkEnd w:id="0"/>
      <w:r w:rsidRPr="00805BDE">
        <w:rPr>
          <w:rFonts w:ascii="Courier New" w:hAnsi="Courier New"/>
          <w:sz w:val="20"/>
        </w:rPr>
        <w:t>---IND- 2020 0035 LT- DA- ------ 20200930</w:t>
      </w:r>
      <w:r w:rsidRPr="00805BDE">
        <w:rPr>
          <w:rFonts w:ascii="Calibri" w:hAnsi="Calibri"/>
          <w:sz w:val="20"/>
        </w:rPr>
        <w:t xml:space="preserve"> </w:t>
      </w:r>
      <w:r w:rsidRPr="00805BDE">
        <w:rPr>
          <w:rFonts w:ascii="Courier New" w:hAnsi="Courier New"/>
          <w:sz w:val="20"/>
        </w:rPr>
        <w:t>--- --- FINAL</w:t>
      </w:r>
    </w:p>
    <w:p w14:paraId="3752A1EF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0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1" w14:textId="77777777" w:rsidR="00872A61" w:rsidRDefault="00C03CD5" w:rsidP="000039C9">
      <w:pPr>
        <w:ind w:left="4406" w:right="4435"/>
        <w:jc w:val="center"/>
        <w:rPr>
          <w:szCs w:val="24"/>
        </w:rPr>
      </w:pPr>
      <w:r>
        <w:rPr>
          <w:noProof/>
          <w:lang w:val="en-US"/>
        </w:rPr>
        <w:drawing>
          <wp:inline distT="0" distB="0" distL="0" distR="0" wp14:anchorId="3752A21B" wp14:editId="3752A21C">
            <wp:extent cx="523875" cy="590550"/>
            <wp:effectExtent l="0" t="0" r="9525" b="0"/>
            <wp:docPr id="3" name="Picture 1" descr="herbas 13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1303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A1F3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4" w14:textId="77777777" w:rsidR="00872A61" w:rsidRDefault="00C03CD5" w:rsidP="000039C9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BEKENDTGØRELSE</w:t>
      </w:r>
    </w:p>
    <w:p w14:paraId="3752A1F6" w14:textId="482C1D14" w:rsidR="00872A61" w:rsidRPr="00435D11" w:rsidRDefault="00C03CD5" w:rsidP="00435D11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FRA SPILKONTROLMYNDIGHEDENS DIREKTØR</w:t>
      </w:r>
    </w:p>
    <w:p w14:paraId="3752A1F7" w14:textId="77777777" w:rsidR="00872A61" w:rsidRDefault="00C03CD5" w:rsidP="000039C9">
      <w:pPr>
        <w:shd w:val="clear" w:color="auto" w:fill="FFFFFF"/>
        <w:spacing w:line="266" w:lineRule="exact"/>
        <w:ind w:right="36"/>
        <w:jc w:val="center"/>
        <w:rPr>
          <w:szCs w:val="24"/>
        </w:rPr>
      </w:pPr>
      <w:r>
        <w:rPr>
          <w:b/>
          <w:bCs/>
          <w:szCs w:val="24"/>
        </w:rPr>
        <w:t>UNDER REPUBLIKKEN LITAUENS FINANSMINISTERIUM</w:t>
      </w:r>
    </w:p>
    <w:p w14:paraId="3752A1FA" w14:textId="0D934D80" w:rsidR="00872A61" w:rsidRPr="00D922E2" w:rsidRDefault="00C03CD5" w:rsidP="000039C9">
      <w:pPr>
        <w:shd w:val="clear" w:color="auto" w:fill="FFFFFF"/>
        <w:spacing w:line="266" w:lineRule="exact"/>
        <w:ind w:right="22"/>
        <w:jc w:val="center"/>
        <w:rPr>
          <w:b/>
          <w:bCs/>
          <w:szCs w:val="24"/>
        </w:rPr>
      </w:pPr>
      <w:r>
        <w:rPr>
          <w:b/>
          <w:bCs/>
          <w:szCs w:val="24"/>
        </w:rPr>
        <w:t>OM ÆNDRING AF BEKENDTGØRELSE NR. DI-678 AF 16. NOVEMBER 2015 FRA SPILKONTROLMYNDIGHEDENS DIREKTØR UNDER REPUBLIKKEN LITAUENS FINANSMINISTERIUM OM GODKENDELSE AF KRAVENE TIL ONLINESPILANORDNINGER</w:t>
      </w:r>
    </w:p>
    <w:p w14:paraId="3752A1FB" w14:textId="77777777" w:rsidR="00872A61" w:rsidRDefault="00872A61" w:rsidP="000039C9">
      <w:pPr>
        <w:shd w:val="clear" w:color="auto" w:fill="FFFFFF"/>
        <w:spacing w:line="266" w:lineRule="exact"/>
        <w:ind w:right="14"/>
        <w:jc w:val="center"/>
        <w:rPr>
          <w:b/>
          <w:bCs/>
          <w:szCs w:val="24"/>
        </w:rPr>
      </w:pPr>
    </w:p>
    <w:p w14:paraId="3752A1FC" w14:textId="77777777" w:rsidR="00872A61" w:rsidRDefault="00872A61" w:rsidP="000039C9">
      <w:pPr>
        <w:shd w:val="clear" w:color="auto" w:fill="FFFFFF"/>
        <w:spacing w:line="266" w:lineRule="exact"/>
        <w:ind w:right="14"/>
        <w:jc w:val="center"/>
        <w:rPr>
          <w:b/>
          <w:bCs/>
          <w:szCs w:val="24"/>
        </w:rPr>
      </w:pPr>
    </w:p>
    <w:p w14:paraId="3752A1FD" w14:textId="5FD4C585" w:rsidR="00872A61" w:rsidRDefault="00C03CD5" w:rsidP="000039C9">
      <w:pPr>
        <w:shd w:val="clear" w:color="auto" w:fill="FFFFFF"/>
        <w:spacing w:line="266" w:lineRule="exact"/>
        <w:ind w:right="14"/>
        <w:jc w:val="center"/>
        <w:rPr>
          <w:bCs/>
          <w:szCs w:val="24"/>
        </w:rPr>
      </w:pPr>
      <w:r>
        <w:t>Nr. DIE-496 af 2. juli 2020</w:t>
      </w:r>
    </w:p>
    <w:p w14:paraId="3752A1FE" w14:textId="77777777" w:rsidR="00872A61" w:rsidRDefault="00C03CD5" w:rsidP="000039C9">
      <w:pPr>
        <w:shd w:val="clear" w:color="auto" w:fill="FFFFFF"/>
        <w:spacing w:line="266" w:lineRule="exact"/>
        <w:ind w:right="14"/>
        <w:jc w:val="center"/>
        <w:rPr>
          <w:bCs/>
          <w:szCs w:val="24"/>
        </w:rPr>
      </w:pPr>
      <w:r>
        <w:t>Vilnius</w:t>
      </w:r>
    </w:p>
    <w:p w14:paraId="3752A200" w14:textId="77777777" w:rsidR="00872A61" w:rsidRDefault="00872A61" w:rsidP="000039C9">
      <w:pPr>
        <w:shd w:val="clear" w:color="auto" w:fill="FFFFFF"/>
        <w:ind w:firstLine="709"/>
        <w:jc w:val="both"/>
        <w:rPr>
          <w:sz w:val="20"/>
        </w:rPr>
      </w:pPr>
    </w:p>
    <w:p w14:paraId="6536C9C6" w14:textId="77777777" w:rsidR="000039C9" w:rsidRDefault="000039C9" w:rsidP="000039C9">
      <w:pPr>
        <w:shd w:val="clear" w:color="auto" w:fill="FFFFFF"/>
        <w:ind w:firstLine="709"/>
        <w:jc w:val="both"/>
        <w:rPr>
          <w:sz w:val="20"/>
        </w:rPr>
      </w:pPr>
    </w:p>
    <w:p w14:paraId="3752A201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Jeg ændrer hermed kravene til onlinespilanordninger, der blev godkendt med bekendtgørelse nr. DI-678 af 16. november 2015 fra spilkontrolmyndighedens direktør under republikken Litauens finansministerium om godkendelse af kravene til onlinespilanordninger: </w:t>
      </w:r>
    </w:p>
    <w:p w14:paraId="3752A202" w14:textId="2B3468FC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1.1. Punkt 5.6 tilføjes med følgende ordlyd: </w:t>
      </w:r>
    </w:p>
    <w:p w14:paraId="3752A203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"5.6. Direkte onlinebordspil – spil med en onlinespilanordning, hvor begivenheden, der fører til et resultat for spillet, arrangeres i realtid af en croupier og transmitteres direkte til spillere, der anvender onlinespilkommunikationsmidler.".</w:t>
      </w:r>
    </w:p>
    <w:p w14:paraId="3752A204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1.2. Artikel 8 ændres til følgende ordlyd: </w:t>
      </w:r>
    </w:p>
    <w:p w14:paraId="3752A205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"8. En onlinespilanordning, der registrerer uoverensstemmelser i dens komponenters autenticitet (fejl), skal afbryde driften for alle onlinespil, der indeholder uoverensstemmelser (fejl), og de komponenter, der muligvis er påvirket af disse uoverensstemmelser (fejl).".</w:t>
      </w:r>
    </w:p>
    <w:p w14:paraId="3752A206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1.3. Punkt 13.2 ophæves.</w:t>
      </w:r>
    </w:p>
    <w:p w14:paraId="3752A207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1.4. Punkt 16.4 ændres til følgende ordlyd:</w:t>
      </w:r>
    </w:p>
    <w:p w14:paraId="3752A208" w14:textId="77777777" w:rsidR="00872A61" w:rsidRDefault="00C03CD5" w:rsidP="000039C9">
      <w:pPr>
        <w:ind w:firstLine="709"/>
        <w:jc w:val="both"/>
        <w:rPr>
          <w:szCs w:val="24"/>
        </w:rPr>
      </w:pPr>
      <w:r>
        <w:t>"16.4. det opnåede gevinstbeløb eller tilskrivninger".</w:t>
      </w:r>
    </w:p>
    <w:p w14:paraId="3752A209" w14:textId="65DB23B2" w:rsidR="00872A61" w:rsidRPr="00D922E2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1.5. Punkt 16.5 ophæves. </w:t>
      </w:r>
    </w:p>
    <w:p w14:paraId="3752A20A" w14:textId="3A3EB63F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1.6. Punkt 16.6 ændres til følgende ordlyd:</w:t>
      </w:r>
    </w:p>
    <w:p w14:paraId="3752A20B" w14:textId="77777777" w:rsidR="00872A61" w:rsidRPr="00D922E2" w:rsidRDefault="00C03CD5" w:rsidP="000039C9">
      <w:pPr>
        <w:ind w:firstLine="709"/>
        <w:jc w:val="both"/>
        <w:rPr>
          <w:szCs w:val="24"/>
        </w:rPr>
      </w:pPr>
      <w:r>
        <w:t>"16.6. det samlede opnåede gevinstbeløb eller tilskrivninger".</w:t>
      </w:r>
    </w:p>
    <w:p w14:paraId="3752A20C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1.7. Punkt 26.2 ændres til følgende ordlyd:</w:t>
      </w:r>
    </w:p>
    <w:p w14:paraId="3752A20D" w14:textId="77777777" w:rsidR="00872A61" w:rsidRPr="00D922E2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"26.2. angiver den teoretiske procentdel af gevinstpuljen og forklarer detaljeret, hvilken måde den er sat op på, og hvordan en spiller kan vinde denne (f.eks. ved brug af en optimal strategi)".</w:t>
      </w:r>
    </w:p>
    <w:p w14:paraId="3752A20E" w14:textId="0F6600F3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1.8. Artikel 43 ændres til følgende ordlyd:</w:t>
      </w:r>
    </w:p>
    <w:p w14:paraId="3752A20F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"43. Når den optimale spilstrategi er baseret på informationer, der er angivet i spilreglerne, må procentdelen af gevinstpuljen ikke være mindre end det, der fremgår af spilreglerne.".</w:t>
      </w:r>
    </w:p>
    <w:p w14:paraId="3752A210" w14:textId="7DDC368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1.9. Kapitel VI tilføjes med følgende ordlyd: </w:t>
      </w:r>
    </w:p>
    <w:p w14:paraId="3752A211" w14:textId="77777777" w:rsidR="00872A61" w:rsidRPr="00D922E2" w:rsidRDefault="00C03CD5" w:rsidP="000039C9">
      <w:pPr>
        <w:keepNext/>
        <w:keepLines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"KAPITEL VI</w:t>
      </w:r>
    </w:p>
    <w:p w14:paraId="3752A213" w14:textId="2E075373" w:rsidR="00872A61" w:rsidRPr="00D922E2" w:rsidRDefault="00C03CD5" w:rsidP="000039C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SÆRLIGE KRAV TIL DIREKTE ONLINEBORDSPIL</w:t>
      </w:r>
    </w:p>
    <w:p w14:paraId="3752A215" w14:textId="77777777" w:rsidR="00872A61" w:rsidRPr="00D922E2" w:rsidRDefault="00C03CD5" w:rsidP="000039C9">
      <w:pPr>
        <w:ind w:firstLine="709"/>
        <w:jc w:val="both"/>
        <w:rPr>
          <w:szCs w:val="24"/>
        </w:rPr>
      </w:pPr>
      <w:r>
        <w:t>55. Direkte onlinebordspil skal filmes kontinuerligt, således at videoen tydeligt viser croupierens handlinger, og at det sikres, at spillet finder sted i overensstemmelse med de godkendte regler.</w:t>
      </w:r>
    </w:p>
    <w:p w14:paraId="3752A218" w14:textId="630B01DB" w:rsidR="00872A61" w:rsidRDefault="00C03CD5" w:rsidP="000039C9">
      <w:pPr>
        <w:ind w:firstLine="709"/>
        <w:jc w:val="both"/>
        <w:rPr>
          <w:szCs w:val="24"/>
        </w:rPr>
      </w:pPr>
      <w:r>
        <w:t>56. Videooptagelserne, der er omhandlet i artikel 55 i kravene, skal have et tidsstempel og gemmes i 90 dage.".</w:t>
      </w:r>
    </w:p>
    <w:p w14:paraId="3A482335" w14:textId="77777777" w:rsidR="00C03CD5" w:rsidRDefault="00C03CD5" w:rsidP="000039C9">
      <w:pPr>
        <w:tabs>
          <w:tab w:val="left" w:pos="3330"/>
        </w:tabs>
      </w:pPr>
    </w:p>
    <w:p w14:paraId="28C1E9D3" w14:textId="77777777" w:rsidR="00C03CD5" w:rsidRDefault="00C03CD5" w:rsidP="000039C9">
      <w:pPr>
        <w:tabs>
          <w:tab w:val="left" w:pos="3330"/>
        </w:tabs>
      </w:pPr>
    </w:p>
    <w:p w14:paraId="32340A50" w14:textId="77777777" w:rsidR="00C03CD5" w:rsidRDefault="00C03CD5" w:rsidP="000039C9">
      <w:pPr>
        <w:tabs>
          <w:tab w:val="left" w:pos="3330"/>
        </w:tabs>
      </w:pPr>
    </w:p>
    <w:p w14:paraId="41EFCBB7" w14:textId="29F78D44" w:rsidR="00872A61" w:rsidRDefault="00435D11" w:rsidP="000039C9">
      <w:pPr>
        <w:keepNext/>
        <w:keepLines/>
        <w:tabs>
          <w:tab w:val="left" w:pos="3330"/>
        </w:tabs>
        <w:rPr>
          <w:szCs w:val="24"/>
        </w:rPr>
      </w:pPr>
      <w:r>
        <w:t>Formand</w:t>
      </w:r>
      <w:r w:rsidR="00C03CD5">
        <w:t xml:space="preserve"> for afdelingen for lovgivning, personale og almindelige anliggender,</w:t>
      </w:r>
    </w:p>
    <w:p w14:paraId="3752A21A" w14:textId="110512D0" w:rsidR="00872A61" w:rsidRDefault="00C03CD5" w:rsidP="000039C9">
      <w:pPr>
        <w:tabs>
          <w:tab w:val="right" w:pos="9630"/>
        </w:tabs>
        <w:rPr>
          <w:szCs w:val="24"/>
        </w:rPr>
      </w:pPr>
      <w:proofErr w:type="gramStart"/>
      <w:r>
        <w:t>fungerende</w:t>
      </w:r>
      <w:proofErr w:type="gramEnd"/>
      <w:r>
        <w:t xml:space="preserve"> direktør</w:t>
      </w:r>
      <w:r>
        <w:tab/>
      </w:r>
      <w:proofErr w:type="spellStart"/>
      <w:r>
        <w:t>Arnoldas</w:t>
      </w:r>
      <w:proofErr w:type="spellEnd"/>
      <w:r>
        <w:t xml:space="preserve"> </w:t>
      </w:r>
      <w:proofErr w:type="spellStart"/>
      <w:r>
        <w:t>Dilba</w:t>
      </w:r>
      <w:proofErr w:type="spellEnd"/>
    </w:p>
    <w:sectPr w:rsidR="00872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F51BE" w14:textId="77777777" w:rsidR="007D0F95" w:rsidRDefault="007D0F95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661CFAF5" w14:textId="77777777" w:rsidR="007D0F95" w:rsidRDefault="007D0F95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04B5" w14:textId="77777777" w:rsidR="00872A61" w:rsidRDefault="00872A61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F3E4E" w14:textId="77777777" w:rsidR="00872A61" w:rsidRDefault="00872A61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DF3C7" w14:textId="77777777" w:rsidR="00872A61" w:rsidRDefault="00872A61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2202B" w14:textId="77777777" w:rsidR="007D0F95" w:rsidRDefault="007D0F95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0788A082" w14:textId="77777777" w:rsidR="007D0F95" w:rsidRDefault="007D0F95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99EE" w14:textId="77777777" w:rsidR="00872A61" w:rsidRDefault="00872A61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2A221" w14:textId="118BD1DD" w:rsidR="00872A61" w:rsidRDefault="00C03CD5">
    <w:pPr>
      <w:tabs>
        <w:tab w:val="center" w:pos="4680"/>
        <w:tab w:val="right" w:pos="936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5BDE">
      <w:rPr>
        <w:noProof/>
      </w:rPr>
      <w:t>2</w:t>
    </w:r>
    <w:r>
      <w:fldChar w:fldCharType="end"/>
    </w:r>
  </w:p>
  <w:p w14:paraId="3752A222" w14:textId="77777777" w:rsidR="00872A61" w:rsidRDefault="00872A61">
    <w:pPr>
      <w:widowControl w:val="0"/>
      <w:tabs>
        <w:tab w:val="center" w:pos="4819"/>
        <w:tab w:val="right" w:pos="9638"/>
      </w:tabs>
      <w:jc w:val="right"/>
      <w:rPr>
        <w:b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0C1A" w14:textId="77777777" w:rsidR="00872A61" w:rsidRDefault="00872A61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Tc2NDUysDAwtTRQ0lEKTi0uzszPAykwrgUAA8OM/ywAAAA="/>
  </w:docVars>
  <w:rsids>
    <w:rsidRoot w:val="00054517"/>
    <w:rsid w:val="000039C9"/>
    <w:rsid w:val="00054517"/>
    <w:rsid w:val="00310D57"/>
    <w:rsid w:val="00350340"/>
    <w:rsid w:val="00435D11"/>
    <w:rsid w:val="006765A7"/>
    <w:rsid w:val="007D0F95"/>
    <w:rsid w:val="00805BDE"/>
    <w:rsid w:val="00872A61"/>
    <w:rsid w:val="00BD616E"/>
    <w:rsid w:val="00C03CD5"/>
    <w:rsid w:val="00D922E2"/>
    <w:rsid w:val="00E807E9"/>
    <w:rsid w:val="00EE051B"/>
    <w:rsid w:val="00F2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2A1EF"/>
  <w15:docId w15:val="{49CE09DC-7430-4972-ABBC-320150B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0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9B2E-FE3D-46FE-9E4D-37980F9D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AB514-20DA-4F0B-B806-419AC8984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23ED31-9D69-4D54-8E2B-C71165E0B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BA80A-022E-4C93-976E-D454731D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Kaluina</dc:creator>
  <cp:lastModifiedBy>Ke, Tingting</cp:lastModifiedBy>
  <cp:revision>4</cp:revision>
  <cp:lastPrinted>2018-09-28T09:56:00Z</cp:lastPrinted>
  <dcterms:created xsi:type="dcterms:W3CDTF">2020-09-22T11:21:00Z</dcterms:created>
  <dcterms:modified xsi:type="dcterms:W3CDTF">2020-09-22T13:43:00Z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