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0A0A" w14:textId="10B6DD55" w:rsidR="00310D57" w:rsidRPr="00312D28" w:rsidRDefault="00310D57" w:rsidP="00310D57">
      <w:pPr>
        <w:rPr>
          <w:sz w:val="20"/>
        </w:rPr>
      </w:pPr>
      <w:r w:rsidRPr="00312D28">
        <w:rPr>
          <w:rFonts w:ascii="Courier New" w:hAnsi="Courier New"/>
          <w:sz w:val="20"/>
        </w:rPr>
        <w:t>1. ---</w:t>
      </w:r>
      <w:r w:rsidR="00312D28">
        <w:rPr>
          <w:rFonts w:ascii="Courier New" w:hAnsi="Courier New"/>
          <w:sz w:val="20"/>
        </w:rPr>
        <w:t>-</w:t>
      </w:r>
      <w:bookmarkStart w:id="0" w:name="_GoBack"/>
      <w:bookmarkEnd w:id="0"/>
      <w:r w:rsidRPr="00312D28">
        <w:rPr>
          <w:rFonts w:ascii="Courier New" w:hAnsi="Courier New"/>
          <w:sz w:val="20"/>
        </w:rPr>
        <w:t>--IND- 2020 0035 LT- LV- ------ 20200930</w:t>
      </w:r>
      <w:r w:rsidRPr="00312D28">
        <w:rPr>
          <w:rFonts w:ascii="Calibri" w:hAnsi="Calibri"/>
          <w:sz w:val="20"/>
        </w:rPr>
        <w:t xml:space="preserve"> </w:t>
      </w:r>
      <w:r w:rsidRPr="00312D28">
        <w:rPr>
          <w:rFonts w:ascii="Courier New" w:hAnsi="Courier New"/>
          <w:sz w:val="20"/>
        </w:rPr>
        <w:t>--- --- FINAL</w:t>
      </w:r>
    </w:p>
    <w:p w14:paraId="3752A1EF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0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1" w14:textId="77777777" w:rsidR="00872A61" w:rsidRDefault="00C03CD5" w:rsidP="000039C9">
      <w:pPr>
        <w:ind w:left="4406" w:right="4435"/>
        <w:jc w:val="center"/>
        <w:rPr>
          <w:szCs w:val="24"/>
        </w:rPr>
      </w:pPr>
      <w:r>
        <w:rPr>
          <w:noProof/>
          <w:lang w:val="en-US" w:eastAsia="zh-CN"/>
        </w:rPr>
        <w:drawing>
          <wp:inline distT="0" distB="0" distL="0" distR="0" wp14:anchorId="3752A21B" wp14:editId="3752A21C">
            <wp:extent cx="523875" cy="590550"/>
            <wp:effectExtent l="0" t="0" r="9525" b="0"/>
            <wp:docPr id="3" name="Picture 1" descr="herbas 13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1303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A1F3" w14:textId="77777777" w:rsidR="00872A61" w:rsidRDefault="00872A61" w:rsidP="000039C9">
      <w:pPr>
        <w:ind w:left="4406" w:right="4435"/>
        <w:jc w:val="center"/>
        <w:rPr>
          <w:szCs w:val="24"/>
        </w:rPr>
      </w:pPr>
    </w:p>
    <w:p w14:paraId="3752A1F4" w14:textId="77777777" w:rsidR="00872A61" w:rsidRDefault="00C03CD5" w:rsidP="000039C9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LIETUVAS REPUBLIKAS FINANŠU MINISTRIJAS</w:t>
      </w:r>
    </w:p>
    <w:p w14:paraId="3752A1F5" w14:textId="77777777" w:rsidR="00872A61" w:rsidRDefault="00C03CD5" w:rsidP="000039C9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SPĒĻU KONTROLES IESTĀDES DIREKTORA</w:t>
      </w:r>
    </w:p>
    <w:p w14:paraId="3752A1F6" w14:textId="77777777" w:rsidR="00872A61" w:rsidRDefault="00872A61" w:rsidP="000039C9">
      <w:pPr>
        <w:rPr>
          <w:szCs w:val="24"/>
        </w:rPr>
      </w:pPr>
    </w:p>
    <w:p w14:paraId="3752A1F7" w14:textId="77777777" w:rsidR="00872A61" w:rsidRDefault="00C03CD5" w:rsidP="000039C9">
      <w:pPr>
        <w:shd w:val="clear" w:color="auto" w:fill="FFFFFF"/>
        <w:spacing w:line="266" w:lineRule="exact"/>
        <w:ind w:right="36"/>
        <w:jc w:val="center"/>
        <w:rPr>
          <w:szCs w:val="24"/>
        </w:rPr>
      </w:pPr>
      <w:r>
        <w:rPr>
          <w:b/>
          <w:bCs/>
          <w:szCs w:val="24"/>
        </w:rPr>
        <w:t>RĪKOJUMS,</w:t>
      </w:r>
    </w:p>
    <w:p w14:paraId="3752A1FA" w14:textId="0D934D80" w:rsidR="00872A61" w:rsidRPr="00D922E2" w:rsidRDefault="00C03CD5" w:rsidP="000039C9">
      <w:pPr>
        <w:shd w:val="clear" w:color="auto" w:fill="FFFFFF"/>
        <w:spacing w:line="266" w:lineRule="exact"/>
        <w:ind w:right="22"/>
        <w:jc w:val="center"/>
        <w:rPr>
          <w:b/>
          <w:bCs/>
          <w:szCs w:val="24"/>
        </w:rPr>
      </w:pPr>
      <w:r>
        <w:rPr>
          <w:b/>
          <w:bCs/>
          <w:szCs w:val="24"/>
        </w:rPr>
        <w:t>AR KO GROZA LIETUVAS REPUBLIKAS FINANŠU MINISTRIJAS SPĒĻU KONTROLES IESTĀDES DIREKTORA 2015. GADA 16. NOVEMBRA RĪKOJUMU NR. DI-678, AR KO APSTIPRINA PRASĪBAS TIEŠSAISTES AZARTSPĒĻU IERĪCĒM</w:t>
      </w:r>
    </w:p>
    <w:p w14:paraId="3752A1FB" w14:textId="77777777" w:rsidR="00872A61" w:rsidRDefault="00872A61" w:rsidP="000039C9">
      <w:pPr>
        <w:shd w:val="clear" w:color="auto" w:fill="FFFFFF"/>
        <w:spacing w:line="266" w:lineRule="exact"/>
        <w:ind w:right="14"/>
        <w:jc w:val="center"/>
        <w:rPr>
          <w:b/>
          <w:bCs/>
          <w:szCs w:val="24"/>
        </w:rPr>
      </w:pPr>
    </w:p>
    <w:p w14:paraId="3752A1FC" w14:textId="77777777" w:rsidR="00872A61" w:rsidRDefault="00872A61" w:rsidP="000039C9">
      <w:pPr>
        <w:shd w:val="clear" w:color="auto" w:fill="FFFFFF"/>
        <w:spacing w:line="266" w:lineRule="exact"/>
        <w:ind w:right="14"/>
        <w:jc w:val="center"/>
        <w:rPr>
          <w:b/>
          <w:bCs/>
          <w:szCs w:val="24"/>
        </w:rPr>
      </w:pPr>
    </w:p>
    <w:p w14:paraId="3752A1FD" w14:textId="5FD4C585" w:rsidR="00872A61" w:rsidRDefault="00C03CD5" w:rsidP="000039C9">
      <w:pPr>
        <w:shd w:val="clear" w:color="auto" w:fill="FFFFFF"/>
        <w:spacing w:line="266" w:lineRule="exact"/>
        <w:ind w:right="14"/>
        <w:jc w:val="center"/>
        <w:rPr>
          <w:bCs/>
          <w:szCs w:val="24"/>
        </w:rPr>
      </w:pPr>
      <w:r>
        <w:t>Nr. DIE-496, 2020. gada 2. jūlijs</w:t>
      </w:r>
    </w:p>
    <w:p w14:paraId="3752A1FE" w14:textId="77777777" w:rsidR="00872A61" w:rsidRDefault="00C03CD5" w:rsidP="000039C9">
      <w:pPr>
        <w:shd w:val="clear" w:color="auto" w:fill="FFFFFF"/>
        <w:spacing w:line="266" w:lineRule="exact"/>
        <w:ind w:right="14"/>
        <w:jc w:val="center"/>
        <w:rPr>
          <w:bCs/>
          <w:szCs w:val="24"/>
        </w:rPr>
      </w:pPr>
      <w:r>
        <w:t>Viļņā</w:t>
      </w:r>
    </w:p>
    <w:p w14:paraId="3752A200" w14:textId="77777777" w:rsidR="00872A61" w:rsidRDefault="00872A61" w:rsidP="000039C9">
      <w:pPr>
        <w:shd w:val="clear" w:color="auto" w:fill="FFFFFF"/>
        <w:ind w:firstLine="709"/>
        <w:jc w:val="both"/>
        <w:rPr>
          <w:sz w:val="20"/>
        </w:rPr>
      </w:pPr>
    </w:p>
    <w:p w14:paraId="6536C9C6" w14:textId="77777777" w:rsidR="000039C9" w:rsidRDefault="000039C9" w:rsidP="000039C9">
      <w:pPr>
        <w:shd w:val="clear" w:color="auto" w:fill="FFFFFF"/>
        <w:ind w:firstLine="709"/>
        <w:jc w:val="both"/>
        <w:rPr>
          <w:sz w:val="20"/>
        </w:rPr>
      </w:pPr>
    </w:p>
    <w:p w14:paraId="3752A201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Ar šo es grozu prasības tiešsaistes azartspēļu ierīcēm, kas apstiprinātas ar Lietuvas Republikas Finanšu ministrijas Spēļu kontroles iestādes direktora 2015. gada 16. novembra Rīkojumu Nr. DI-678, ar ko apstiprina prasības tiešsaistes azartspēļu ierīcēm: </w:t>
      </w:r>
    </w:p>
    <w:p w14:paraId="3752A202" w14:textId="2B3468FC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1,1. Likumā iekļauj 5.6. punktu, ko izsaka šādi: </w:t>
      </w:r>
    </w:p>
    <w:p w14:paraId="3752A203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“5.6. “Reāllaika tiešsaistes galda spēles” ir azartspēles, izmantojot tiešsaistes azartspēļu ierīci, kurā notikumu, kas veido spēles rezultātu, reāllaikā nosaka krupjē un ko pārraida tieši spēlētājiem, izmantojot tiešsaistes azartspēļu sakarus.”;</w:t>
      </w:r>
    </w:p>
    <w:p w14:paraId="3752A204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1.2. Likuma 8. pantu groza un izsaka šādi: </w:t>
      </w:r>
    </w:p>
    <w:p w14:paraId="3752A205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“8. Tiešsaistes azartspēļu ierīce, kas atklāj savu komponentu autentificēšanas neatbilstības (kļūdas), aptur visu to tiešsaistes azartspēļu darbību, kas ietver neatbilstības (kļūdas), un to komponentu darbību, kuras šīs neatbilstības (kļūdas) var skart.”;</w:t>
      </w:r>
    </w:p>
    <w:p w14:paraId="3752A206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1.3. Atceļ likuma 13.2. punktu.</w:t>
      </w:r>
    </w:p>
    <w:p w14:paraId="3752A207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1.4. Likuma 16.4. punktu groza un izsaka šādi:</w:t>
      </w:r>
    </w:p>
    <w:p w14:paraId="3752A208" w14:textId="77777777" w:rsidR="00872A61" w:rsidRDefault="00C03CD5" w:rsidP="000039C9">
      <w:pPr>
        <w:ind w:firstLine="709"/>
        <w:jc w:val="both"/>
        <w:rPr>
          <w:szCs w:val="24"/>
        </w:rPr>
      </w:pPr>
      <w:r>
        <w:t>“16.4. laimētās naudas daudzums vai kredītpunktu skaits;”</w:t>
      </w:r>
    </w:p>
    <w:p w14:paraId="3752A209" w14:textId="65DB23B2" w:rsidR="00872A61" w:rsidRPr="00D922E2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1,5. Atceļ likuma 16.5. punktu. </w:t>
      </w:r>
    </w:p>
    <w:p w14:paraId="3752A20A" w14:textId="3A3EB63F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1.6. Likuma 16.6. punktu groza un izsaka šādi:</w:t>
      </w:r>
    </w:p>
    <w:p w14:paraId="3752A20B" w14:textId="77777777" w:rsidR="00872A61" w:rsidRPr="00D922E2" w:rsidRDefault="00C03CD5" w:rsidP="000039C9">
      <w:pPr>
        <w:ind w:firstLine="709"/>
        <w:jc w:val="both"/>
        <w:rPr>
          <w:szCs w:val="24"/>
        </w:rPr>
      </w:pPr>
      <w:r>
        <w:t>“16.6. laimētās naudas kopējais daudzums vai kredītpunktu skaits;”</w:t>
      </w:r>
    </w:p>
    <w:p w14:paraId="3752A20C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1.7. Likuma 26.2. punktu groza un izsaka šādi:</w:t>
      </w:r>
    </w:p>
    <w:p w14:paraId="3752A20D" w14:textId="77777777" w:rsidR="00872A61" w:rsidRPr="00D922E2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“26.2. norāda laimestu fonda teorētisko īpatsvaru un detalizēti izskaidro veidu, kā tas ir izveidots un kā spēlētājs var to sasniegt (piemēram, izmantojot optimālu stratēģiju);”</w:t>
      </w:r>
    </w:p>
    <w:p w14:paraId="3752A20E" w14:textId="0F6600F3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1.8. Likuma 43. pantu groza un izsaka šādi:</w:t>
      </w:r>
    </w:p>
    <w:p w14:paraId="3752A20F" w14:textId="7777777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>“43. Ja optimāla azartspēles stratēģija ir balstīta uz informāciju, kas sniegta azartspēles noteikumos, laimestu fonda īpatsvaram jābūt ne mazākam par to, kāds noteikts azartspēles noteikumos.”;</w:t>
      </w:r>
    </w:p>
    <w:p w14:paraId="3752A210" w14:textId="7DDC3687" w:rsidR="00872A61" w:rsidRDefault="00C03CD5" w:rsidP="000039C9">
      <w:pPr>
        <w:shd w:val="clear" w:color="auto" w:fill="FFFFFF"/>
        <w:ind w:firstLine="709"/>
        <w:jc w:val="both"/>
        <w:rPr>
          <w:szCs w:val="24"/>
        </w:rPr>
      </w:pPr>
      <w:r>
        <w:t xml:space="preserve">1.9. Likumā iekļauj VI nodaļu, ko izsaka šādi: </w:t>
      </w:r>
    </w:p>
    <w:p w14:paraId="3752A211" w14:textId="77777777" w:rsidR="00872A61" w:rsidRPr="00D922E2" w:rsidRDefault="00C03CD5" w:rsidP="000039C9">
      <w:pPr>
        <w:keepNext/>
        <w:keepLines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“VI NODAĻA</w:t>
      </w:r>
    </w:p>
    <w:p w14:paraId="3752A213" w14:textId="2E075373" w:rsidR="00872A61" w:rsidRPr="00D922E2" w:rsidRDefault="00C03CD5" w:rsidP="000039C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ĪPAŠAS PRASĪBAS REĀLLAIKA TIEŠSAISTES GALDA SPĒLĒM</w:t>
      </w:r>
    </w:p>
    <w:p w14:paraId="3752A215" w14:textId="77777777" w:rsidR="00872A61" w:rsidRPr="00D922E2" w:rsidRDefault="00C03CD5" w:rsidP="000039C9">
      <w:pPr>
        <w:ind w:firstLine="709"/>
        <w:jc w:val="both"/>
        <w:rPr>
          <w:szCs w:val="24"/>
        </w:rPr>
      </w:pPr>
      <w:r>
        <w:t>55. Reāllaika tiešsaistes galda spēles nepārtraukti filmē, lai video materiālā būtu skaidri redzamas krupjē darbības un lai nodrošinātu to, ka azartspēles tiek īstenotas saskaņā ar apstiprinātajiem noteikumiem.</w:t>
      </w:r>
    </w:p>
    <w:p w14:paraId="3752A218" w14:textId="630B01DB" w:rsidR="00872A61" w:rsidRDefault="00C03CD5" w:rsidP="000039C9">
      <w:pPr>
        <w:ind w:firstLine="709"/>
        <w:jc w:val="both"/>
        <w:rPr>
          <w:szCs w:val="24"/>
        </w:rPr>
      </w:pPr>
      <w:r>
        <w:t>56. Video ierakstiem, kas minēti prasību 55. pantā, ir laika zīmogs un tos glabā 90 dienas.”.</w:t>
      </w:r>
    </w:p>
    <w:p w14:paraId="3A482335" w14:textId="77777777" w:rsidR="00C03CD5" w:rsidRDefault="00C03CD5" w:rsidP="000039C9">
      <w:pPr>
        <w:tabs>
          <w:tab w:val="left" w:pos="3330"/>
        </w:tabs>
      </w:pPr>
    </w:p>
    <w:p w14:paraId="28C1E9D3" w14:textId="77777777" w:rsidR="00C03CD5" w:rsidRDefault="00C03CD5" w:rsidP="000039C9">
      <w:pPr>
        <w:tabs>
          <w:tab w:val="left" w:pos="3330"/>
        </w:tabs>
      </w:pPr>
    </w:p>
    <w:p w14:paraId="32340A50" w14:textId="77777777" w:rsidR="00C03CD5" w:rsidRDefault="00C03CD5" w:rsidP="000039C9">
      <w:pPr>
        <w:tabs>
          <w:tab w:val="left" w:pos="3330"/>
        </w:tabs>
      </w:pPr>
    </w:p>
    <w:p w14:paraId="41EFCBB7" w14:textId="7C7B7EF1" w:rsidR="00872A61" w:rsidRDefault="00C03CD5" w:rsidP="000039C9">
      <w:pPr>
        <w:keepNext/>
        <w:keepLines/>
        <w:tabs>
          <w:tab w:val="left" w:pos="3330"/>
        </w:tabs>
        <w:rPr>
          <w:szCs w:val="24"/>
        </w:rPr>
      </w:pPr>
      <w:r>
        <w:t>Likumdošanas, personāla un vispārējo lietu daļas vadītājs,</w:t>
      </w:r>
    </w:p>
    <w:p w14:paraId="3752A21A" w14:textId="110512D0" w:rsidR="00872A61" w:rsidRDefault="00C03CD5" w:rsidP="000039C9">
      <w:pPr>
        <w:tabs>
          <w:tab w:val="right" w:pos="9630"/>
        </w:tabs>
        <w:rPr>
          <w:szCs w:val="24"/>
        </w:rPr>
      </w:pPr>
      <w:r>
        <w:t>izpilddirektors</w:t>
      </w:r>
      <w:r>
        <w:tab/>
      </w:r>
      <w:r>
        <w:rPr>
          <w:i/>
          <w:iCs/>
        </w:rPr>
        <w:t>Arnoldas Dilba</w:t>
      </w:r>
    </w:p>
    <w:sectPr w:rsidR="00872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4B573" w14:textId="77777777" w:rsidR="00B40594" w:rsidRDefault="00B40594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21462759" w14:textId="77777777" w:rsidR="00B40594" w:rsidRDefault="00B40594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04B5" w14:textId="77777777" w:rsidR="00872A61" w:rsidRDefault="00872A61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F3E4E" w14:textId="77777777" w:rsidR="00872A61" w:rsidRDefault="00872A61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DF3C7" w14:textId="77777777" w:rsidR="00872A61" w:rsidRDefault="00872A61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8B292" w14:textId="77777777" w:rsidR="00B40594" w:rsidRDefault="00B40594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7C30A032" w14:textId="77777777" w:rsidR="00B40594" w:rsidRDefault="00B40594">
      <w:pPr>
        <w:widowControl w:val="0"/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99EE" w14:textId="77777777" w:rsidR="00872A61" w:rsidRDefault="00872A61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2A221" w14:textId="118BD1DD" w:rsidR="00872A61" w:rsidRDefault="00C03CD5">
    <w:pPr>
      <w:tabs>
        <w:tab w:val="center" w:pos="4680"/>
        <w:tab w:val="right" w:pos="936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D28">
      <w:rPr>
        <w:noProof/>
      </w:rPr>
      <w:t>2</w:t>
    </w:r>
    <w:r>
      <w:fldChar w:fldCharType="end"/>
    </w:r>
  </w:p>
  <w:p w14:paraId="3752A222" w14:textId="77777777" w:rsidR="00872A61" w:rsidRDefault="00872A61">
    <w:pPr>
      <w:widowControl w:val="0"/>
      <w:tabs>
        <w:tab w:val="center" w:pos="4819"/>
        <w:tab w:val="right" w:pos="9638"/>
      </w:tabs>
      <w:jc w:val="right"/>
      <w:rPr>
        <w:b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0C1A" w14:textId="77777777" w:rsidR="00872A61" w:rsidRDefault="00872A61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Tc2NDUysDAwtTRQ0lEKTi0uzszPAykwrgUAA8OM/ywAAAA="/>
  </w:docVars>
  <w:rsids>
    <w:rsidRoot w:val="00054517"/>
    <w:rsid w:val="000039C9"/>
    <w:rsid w:val="00054517"/>
    <w:rsid w:val="00126D67"/>
    <w:rsid w:val="00310D57"/>
    <w:rsid w:val="00312D28"/>
    <w:rsid w:val="00350340"/>
    <w:rsid w:val="006765A7"/>
    <w:rsid w:val="00847877"/>
    <w:rsid w:val="00872A61"/>
    <w:rsid w:val="00B40594"/>
    <w:rsid w:val="00BD616E"/>
    <w:rsid w:val="00C03CD5"/>
    <w:rsid w:val="00D922E2"/>
    <w:rsid w:val="00E807E9"/>
    <w:rsid w:val="00EE051B"/>
    <w:rsid w:val="00F2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2A1EF"/>
  <w15:docId w15:val="{8483EC17-A654-4947-B7EC-8FF5CE16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v-LV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0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9B2E-FE3D-46FE-9E4D-37980F9D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AB514-20DA-4F0B-B806-419AC8984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23ED31-9D69-4D54-8E2B-C71165E0B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23791-6BB9-4A00-8313-BEF3A3D0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Kaluina</dc:creator>
  <cp:lastModifiedBy>Liu, Lei</cp:lastModifiedBy>
  <cp:revision>3</cp:revision>
  <cp:lastPrinted>2018-09-28T09:56:00Z</cp:lastPrinted>
  <dcterms:created xsi:type="dcterms:W3CDTF">2020-09-21T06:06:00Z</dcterms:created>
  <dcterms:modified xsi:type="dcterms:W3CDTF">2020-09-22T05:49:00Z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