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ΝΟΜΟΣΧΕΔΙΟ</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για την </w:t>
      </w:r>
      <w:r>
        <w:rPr>
          <w:sz w:val="28"/>
          <w:b/>
          <w:rFonts w:ascii="Times New Roman" w:hAnsi="Times New Roman"/>
        </w:rPr>
        <w:t xml:space="preserve">ενίσχυση</w:t>
      </w:r>
      <w:r>
        <w:rPr>
          <w:sz w:val="28"/>
          <w:i/>
          <w:rFonts w:ascii="Times New Roman" w:hAnsi="Times New Roman"/>
        </w:rPr>
        <w:t xml:space="preserve"> </w:t>
      </w:r>
      <w:r>
        <w:rPr>
          <w:sz w:val="28"/>
          <w:b/>
          <w:rFonts w:ascii="Times New Roman" w:hAnsi="Times New Roman"/>
        </w:rPr>
        <w:t xml:space="preserve">του γονικού ελέγχου </w:t>
      </w:r>
      <w:r>
        <w:rPr>
          <w:sz w:val="28"/>
          <w:i/>
          <w:rFonts w:ascii="Times New Roman" w:hAnsi="Times New Roman"/>
        </w:rPr>
        <w:t xml:space="preserve">σχετικά με τα </w:t>
      </w:r>
      <w:r>
        <w:rPr>
          <w:sz w:val="28"/>
          <w:b/>
          <w:rFonts w:ascii="Times New Roman" w:hAnsi="Times New Roman"/>
        </w:rPr>
        <w:t xml:space="preserve">μέσα </w:t>
      </w:r>
      <w:r>
        <w:rPr>
          <w:sz w:val="28"/>
          <w:b/>
          <w:rFonts w:ascii="Times New Roman" w:hAnsi="Times New Roman"/>
        </w:rPr>
        <w:t xml:space="preserve">πρόσβασης στο διαδίκτυο</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Άρθρο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Το τμήμα 5 του κεφαλαίου II του τίτλου I του βιβλίου II του κώδικα ταχυδρομικών και ηλεκτρονικών επικοινωνιών συμπληρώνεται με το άρθρο L. 34-9-3 ως εξής:</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Άρθρο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Ο τερματικός εξοπλισμός που προορίζεται για τη χρήση διαδικτυακών υπηρεσιών δημόσιας επικοινωνίας που παρέχουν πρόσβαση σε υπηρεσίες και περιεχόμενο που ενδέχεται να βλάψουν τη σωματική, πνευματική ή ηθική ανάπτυξη των ανηλίκων, πρέπει να είναι εξοπλισμένος με ένα εύκολα προσβάσιμο και κατανοητό σύστημα που επιτρέπει στους χρήστες του να περιορίζουν ή να ελέγχουν την πρόσβαση των εν λόγω προσώπων σε αυτές τις υπηρεσίες και στο περιεχόμενο.</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Η ενεργοποίηση του συστήματος που προβλέπεται στην πρώτη υποπαράγραφο του παρόντος κεφαλαίου Ι, θα προσφέρεται στον χρήστη κατά την πρώτη θέση σε λειτουργία του εξοπλισμού.</w:t>
      </w:r>
      <w:r>
        <w:rPr>
          <w:sz w:val="28"/>
          <w:rFonts w:ascii="Times New Roman" w:hAnsi="Times New Roman"/>
        </w:rPr>
        <w:t xml:space="preserve"> </w:t>
      </w:r>
      <w:r>
        <w:rPr>
          <w:sz w:val="28"/>
          <w:rFonts w:ascii="Times New Roman" w:hAnsi="Times New Roman"/>
        </w:rPr>
        <w:t xml:space="preserve">Τα δεδομένα προσωπικού χαρακτήρα των ανηλίκων που συλλέγονται ή παράγονται κατά την ενεργοποίηση του εν λόγω συστήματος δεν θα χρησιμοποιούνται, ακόμη και μετά την ενηλικίωση των ενδιαφερόμενων μερών, για εμπορικούς σκοπούς, όπως άμεση εμπορική προώθηση, δημιουργία προφίλ και διαφήμιση προσανατολισμένη στη συμπεριφορά.</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Οι κατασκευαστές εξασφαλίζουν, κατά τη διάθεση του τερματικού εξοπλισμού τους στην αγορά, ότι τα λειτουργικά συστήματα που είναι εγκατεστημένα στον εν λόγω εξοπλισμό ενσωματώνουν το σύστημα που προβλέπεται στην πρώτη υποπαράγραφο.</w:t>
      </w:r>
      <w:r>
        <w:rPr>
          <w:sz w:val="28"/>
          <w:rFonts w:ascii="Times New Roman" w:hAnsi="Times New Roman"/>
        </w:rPr>
        <w:t xml:space="preserve"> </w:t>
      </w:r>
      <w:r>
        <w:rPr>
          <w:sz w:val="28"/>
          <w:rFonts w:ascii="Times New Roman" w:hAnsi="Times New Roman"/>
        </w:rPr>
        <w:t xml:space="preserve">Η ενεργοποίηση, η χρήση και κατά περίπτωση, η απεγκατάσταση του συστήματος αυτού επιτρέπονται χωρίς πρόσθετο κόστος για τον χρήστη.</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Κατά περίπτωση, ο πάροχος του λειτουργικού συστήματος εγγυάται και πιστοποιεί στον κατασκευαστή, εφόσον το ζητήσει ο τελευταίος, ότι το λειτουργικό σύστημα που προορίζεται να εγκατασταθεί στον τερματικό εξοπλισμό ενσωματώνει το σύστημα που προβλέπεται στην πρώτη υποπαράγραφο.</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Οι κατασκευαστές εγγυώνται στους εισαγωγείς, τους διανομείς και τους παρόχους υπηρεσιών διεκπεραίωσης ότι ο τερματικός εξοπλισμός που διατίθεται στην αγορά ενσωματώνει το σύστημα που προβλέπεται στην πρώτη υποπαράγραφο.</w:t>
      </w:r>
      <w:r>
        <w:rPr>
          <w:sz w:val="28"/>
          <w:rFonts w:ascii="Times New Roman" w:hAnsi="Times New Roman"/>
        </w:rPr>
        <w:t xml:space="preserve"> </w:t>
      </w:r>
      <w:r>
        <w:rPr>
          <w:sz w:val="28"/>
          <w:rFonts w:ascii="Times New Roman" w:hAnsi="Times New Roman"/>
        </w:rPr>
        <w:t xml:space="preserve">Στην περίπτωση που αναφέρεται στην τέταρτη υποπαράγραφο του παρόντος κεφαλαίου Ι, ο κατασκευαστής διαβιβάζει στα πρόσωπα αυτά το πιστοποιητικό του προμηθευτή του λειτουργικού συστήματος.</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Οι εισαγωγείς, οι διανομείς και οι πάροχοι υπηρεσιών διεκπεραίωσης επαληθεύουν ότι ο τερματικός εξοπλισμός έχει πιστοποιηθεί από τους κατασκευαστές ή κατά περίπτωση, από τον προμηθευτή του λειτουργικού συστήματος υπό τους όρους που καθορίζονται στην πέμπτη υποπαράγραφο του παρόντος κεφαλαίου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Το σύστημα που προβλέπεται στην πρώτη υποπαράγραφο του παρόντος κεφαλαίου I, δεν ισχύει για εξοπλισμό που διατίθεται στην αγορά χωρίς λειτουργικό σύστημα.</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Οι υποχρεώσεις που προβλέπονται στην τρίτη και πέμπτη υποπαράγραφο του παρόντος κεφαλαίου Ι εφαρμόζονται, κατά περίπτωση, στον εξουσιοδοτημένο αντιπρόσωπο του κατασκευαστή.</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Τα πρόσωπα που διαθέτουν στην αγορά τον τερματικό εξοπλισμό που αναφέρεται στην πρώτη υποπαράγραφο του παρόντος κεφαλαίου Ι, όταν πρόκειται για εξοπλισμό κατά την έννοια του άρθρου L. 321-1, τρίτη υποπαράγραφο, του εμπορικού κώδικα, εξασφαλίζουν ότι ο εξοπλισμός αυτός ενσωματώνει το σύστημα που προβλέπεται στην πρώτη υποπαράγραφο του παρόντος κεφαλαίου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Απόφαση του Συμβουλίου της Επικρατείας, η οποία εκδίδεται κατόπιν γνωμοδότησης της Εθνικής Επιτροπής Τεχνολογίας της Πληροφορίας και Ελευθεριών, καθορίζει:</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Τις μεθόδους εφαρμογής του κεφαλαίου I, συμπεριλαμβανομένων των ελάχιστων λειτουργιών και τεχνικών χαρακτηριστικών του συστήματος που προβλέπονται στην πρώτη υποπαράγραφο του ίδιου κεφαλαίου I, καθώς και τα μέσα που χρησιμοποιεί ο κατασκευαστής για να διευκολύνει τη χρήση του εν λόγω συστήματος·</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Τον τρόπο με τον οποίο οι κατασκευαστές και κατά περίπτωση, ο πάροχος του λειτουργικού συστήματος πιστοποιούν ότι τα λειτουργικά συστήματα που είναι εγκατεστημένα στον τερματικό εξοπλισμό ενσωματώνουν το σύστημα που προβλέπεται στην πρώτη υποπαράγραφο·</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Τους όρους υπό τους οποίους η αρμόδια αρχή μπορεί να περιορίσει ή να απαγορεύσει τη διάθεση στην αγορά του τερματικού εξοπλισμού που αναφέρεται στην πρώτη υποπαράγραφο, ο οποίος παρουσιάζει κίνδυνο ή μη συμμόρφωση, καθώς και τους όρους υπό τους οποίους η αρμόδια αρχή μπορεί να ζητήσει την ανάκληση ή την απόσυρσή του·</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Τον τρόπο με τον οποίο οι κατασκευαστές συμβάλλουν στη διάδοση των διαθέσιμων πληροφοριών σχετικά με τους κινδύνους που συνδέονται με τη χρήση διαδικτυακών υπηρεσιών δημόσιας επικοινωνίας από ανηλίκους, την πρώιμη έκθεση των παιδιών σε οθόνες και τα μέσα για την πρόληψη των κινδύνων αυτών.»</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Η τελευταία παράγραφος του κεφαλαίου Ι του άρθρου L. 34-9-3 του κώδικα ταχυδρομικών και ηλεκτρονικών επικοινωνιών, ισχύει για τερματικό εξοπλισμό που διατέθηκε για πρώτη φορά στην αγορά μετά τη δημοσίευση του διατάγματος του Συμβουλίου της Επικρατείας που προβλέπεται στο άρθρο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Με διάταγμα του Συμβουλίου της Επικρατείας καθορίζονται οι προϋποθέσεις υπό τις οποίες τα πρόσωπα που αναφέρονται στην τελευταία παράγραφο του κεφαλαίου Ι του προαναφερθέντος άρθρου L. 34-9-3, όσον αφορά τον εξοπλισμό που διατέθηκε για πρώτη φορά στην αγορά πριν από τη δημοσίευση του διατάγματος του Συμβουλίου της Επικρατείας που προβλέπεται στο άρθρο L. 34-9-3, ενημερώνεται ο χρήστης για την ύπαρξη συστημάτων που του επιτρέπουν να περιορίζει ή να ελέγχει την πρόσβαση των ανηλίκων σε υπηρεσίες και περιεχόμενο που μπορεί να βλάψει τη σωματική, πνευματική ή ηθική ανάπτυξη των ανηλίκων.</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Άρθρο 3</w:t>
      </w:r>
      <w:r>
        <w:rPr>
          <w:b/>
          <w:sz w:val="28"/>
          <w:i/>
          <w:rFonts w:ascii="Times New Roman" w:hAnsi="Times New Roman"/>
        </w:rPr>
        <w:t xml:space="preserve">(α)</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Ο παρών νόμος τίθεται σε ισχύ την ημερομηνία που ορίζεται με διάταγμα, η οποία δεν μπορεί να υπερβαίνει τους τρεις μήνες μετά την ημερομηνία παραλαβής από την κυβέρνηση της απάντησης της Ευρωπαϊκής Επιτροπής, η οποία της επιτρέπει να θεωρήσει ότι οι νομοθετικές διατάξεις που της έχουν κοινοποιηθεί είναι σύμφωνες με το δίκαιο της Ευρωπαϊκής Ένωσης.</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