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PROIECT DE LEGE</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de </w:t>
      </w:r>
      <w:r>
        <w:rPr>
          <w:sz w:val="28"/>
          <w:b/>
          <w:rFonts w:ascii="Times New Roman" w:hAnsi="Times New Roman"/>
        </w:rPr>
        <w:t xml:space="preserve">consolidare a</w:t>
      </w:r>
      <w:r>
        <w:rPr>
          <w:sz w:val="28"/>
          <w:i/>
          <w:rFonts w:ascii="Times New Roman" w:hAnsi="Times New Roman"/>
        </w:rPr>
        <w:t xml:space="preserve"> </w:t>
      </w:r>
      <w:r>
        <w:rPr>
          <w:sz w:val="28"/>
          <w:b/>
          <w:rFonts w:ascii="Times New Roman" w:hAnsi="Times New Roman"/>
        </w:rPr>
        <w:t xml:space="preserve">controlului parental </w:t>
      </w:r>
      <w:r>
        <w:rPr>
          <w:sz w:val="28"/>
          <w:i/>
          <w:rFonts w:ascii="Times New Roman" w:hAnsi="Times New Roman"/>
        </w:rPr>
        <w:t xml:space="preserve">asupra </w:t>
      </w:r>
      <w:r>
        <w:rPr>
          <w:sz w:val="28"/>
          <w:b/>
          <w:rFonts w:ascii="Times New Roman" w:hAnsi="Times New Roman"/>
        </w:rPr>
        <w:t xml:space="preserve">mijloacelor </w:t>
      </w:r>
      <w:r>
        <w:rPr>
          <w:sz w:val="28"/>
          <w:i/>
          <w:rFonts w:ascii="Times New Roman" w:hAnsi="Times New Roman"/>
        </w:rPr>
        <w:t xml:space="preserve">de </w:t>
      </w:r>
      <w:r>
        <w:rPr>
          <w:sz w:val="28"/>
          <w:b/>
          <w:rFonts w:ascii="Times New Roman" w:hAnsi="Times New Roman"/>
        </w:rPr>
        <w:t xml:space="preserve">acces la Internet</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Articolul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Secțiunea 5 a capitolului II din titlul I al cărții II din Codul poștal și al comunicațiilor electronice se completează cu articolul L. 34-9-3 după cum urmează:</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Articolul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Echipamentele terminale destinate utilizării serviciilor de comunicații publice online care oferă acces la servicii și conținut care ar putea afecta dezvoltarea fizică, mentală sau morală a minorilor sunt echipate cu un sistem ușor accesibil și ușor de înțeles care să permită utilizatorilor săi să restricționeze sau să controleze accesul acestor persoane la serviciile și conținutul în cauză.</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Activarea sistemului prevăzut la primul paragraf din prezentul document va fi oferită utilizatorului la prima punere în funcțiune a echipamentului.</w:t>
      </w:r>
      <w:r>
        <w:rPr>
          <w:sz w:val="28"/>
          <w:rFonts w:ascii="Times New Roman" w:hAnsi="Times New Roman"/>
        </w:rPr>
        <w:t xml:space="preserve"> </w:t>
      </w:r>
      <w:r>
        <w:rPr>
          <w:sz w:val="28"/>
          <w:rFonts w:ascii="Times New Roman" w:hAnsi="Times New Roman"/>
        </w:rPr>
        <w:t xml:space="preserve">Datele cu caracter personal ale minorilor, colectate sau generate în timpul activării acestui sistem, nu sunt utilizate, inclusiv după ce părțile interesate devin majore, în scopuri comerciale, cum ar fi marketingul direct, crearea de profiluri și publicitatea orientată în funcție de comportament.</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Atunci când introduc pe piață echipamentele lor terminale, producătorii se asigură că sistemele de operare instalate pe echipamentele respective încorporează sistemul prevăzut la primul paragraf.</w:t>
      </w:r>
      <w:r>
        <w:rPr>
          <w:sz w:val="28"/>
          <w:rFonts w:ascii="Times New Roman" w:hAnsi="Times New Roman"/>
        </w:rPr>
        <w:t xml:space="preserve"> </w:t>
      </w:r>
      <w:r>
        <w:rPr>
          <w:sz w:val="28"/>
          <w:rFonts w:ascii="Times New Roman" w:hAnsi="Times New Roman"/>
        </w:rPr>
        <w:t xml:space="preserve">Activarea, utilizarea și, după caz, dezinstalarea acestui sistem sunt permise fără costuri suplimentare pentru utilizator.</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După caz, furnizorul sistemului de operare garantează și certifică producătorului, la cererea acestuia din urmă, că sistemul de operare care urmează să fie instalat pe echipamentul terminal încorporează sistemul prevăzut la primul paragraf.</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Producătorii garantează importatorilor, distribuitorilor și furnizorilor de servicii de onorare a comenzilor că echipamentele terminale introduse pe piață încorporează sistemul prevăzut la primul paragraf.</w:t>
      </w:r>
      <w:r>
        <w:rPr>
          <w:sz w:val="28"/>
          <w:rFonts w:ascii="Times New Roman" w:hAnsi="Times New Roman"/>
        </w:rPr>
        <w:t xml:space="preserve"> </w:t>
      </w:r>
      <w:r>
        <w:rPr>
          <w:sz w:val="28"/>
          <w:rFonts w:ascii="Times New Roman" w:hAnsi="Times New Roman"/>
        </w:rPr>
        <w:t xml:space="preserve">În cazul menționat la al patrulea paragraf din prezentul punct I, producătorul transmite acestor persoane certificatul furnizorului sistemului de operare.</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Importatorii, distribuitorii și furnizorii de servicii de onorare a comenzilor verifică dacă echipamentul terminal este certificat de producători sau, după caz, de furnizorul sistemului de operare, în condițiile prevăzute la al cincilea paragraf din prezentul punct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Sistemul prevăzut la primul paragraf din prezentul punct I nu se aplică echipamentelor introduse pe piață fără un sistem de operare.</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Obligațiile prevăzute la al treilea și al cincilea paragraf din prezentul punct I se aplică, dacă este cazul, reprezentantului autorizat al producătorului.</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Persoanele care introduc pe piață echipamentele terminale menționate la primul paragraf din prezentul punct I, atunci când sunt utilizate, astfel cum sunt definite la articolul L. 321-1 al treilea paragraf din Codul comercial, se asigură că aceste echipamente încorporează sistemul prevăzut la primul paragraf din prezentul punct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Un decret al Consiliului de Stat, emis după avizul Comisiei Naționale pentru Tehnologia Informației și Libertăți, stabilește:</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Metodele de punere în aplicare a punctului I, inclusiv funcțiile minime și caracteristicile tehnice ale sistemului prevăzute la primul paragraf din același punct I, precum și mijloacele utilizate de producător pentru a facilita utilizarea sistemului respectiv;</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Modul în care producătorii și, după caz, furnizorul sistemului de operare certifică faptul că sistemele de operare instalate pe echipamentele terminale încorporează sistemul prevăzut la primul paragraf;</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Condițiile în care autoritatea competentă poate restricționa sau interzice introducerea pe piață a echipamentelor terminale menționate la primul paragraf, care prezintă un risc sau nu sunt conforme, precum și condițiile în care autoritatea competentă poate solicita rechemarea sau retragerea acestuia;</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Modul în care producătorii contribuie la diseminarea informațiilor disponibile privind riscurile asociate utilizării serviciilor de comunicare publică online de către minori, expunerea timpurie a copiilor la ecrane și mijloacele de prevenire a unor astfel de riscuri.”</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Articolul L. 34-9-3 ultimul paragraf din Codul poștal și al comunicațiilor electronice se aplică echipamentelor terminale introduse pentru prima dată pe piață după publicarea decretului Consiliului de Stat prevăzut la articolul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Un decret al Consiliului de Stat stabilește condițiile în care persoanele menționate la articolul L. 34-9-3 ultimul paragraf de la punctul I din articolul L. 34-9-3 menționat anterior, în ceea ce privește echipamentele introduse pentru prima dată pe piață înainte de publicarea decretului Consiliului de Stat prevăzut la articolul L. 34-9-3, informează utilizatorul cu privire la existența unor sisteme care îi permit să restrângă sau să controleze accesul minorilor la servicii și la conținut care ar putea afecta dezvoltarea fizică, mentală sau morală a minorilor.</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Articolul 3 litera </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Prezenta lege intră în vigoare la o dată stabilită prin decret care nu poate depăși trei luni de la data primirii de către guvern a răspunsului Comisiei Europene care îi permite să considere dispozițiile legislative care i-au fost notificate ca fiind conforme cu dreptul Uniunii Europene.</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