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SLÁINTE PHOIBLÍ NA SEIRBHÍSE POIBLÍ FEIDEARÁLAÍ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Bille maidir le hinnéacs fad saoil agus indeisitheachta a thabhairt isteach agus maidir le faisnéis a scaipeadh maidir le ré chomhoiriúnacht bogearraí táirgí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PHILIPPE,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RÍ NA MBEILGEACH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Do cách i láthair agus iad siúd atá le teacht,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BEANNACHTAÍ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 an togra ón Aire Aeráide, Comhshaoil, Forbartha Inbhuanaithe agus an Chomhaontaithe Ghlais,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ACHOIMRE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Is é cuspóir an bhille seo ná deisiú agus leathnú shaol seirbhíse táirgí a chur chun cinn chun a dtionchar ar an gcomhshaol a theorannú.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Soláthraítear leis an mbille freisin an bunús dlí chun scór indeisitheachta a chruthú a fhorlíonfar le scór fad saoil, an oibleagáid faisnéis a chur ar fáil maidir le fad na comhoiriúnachta bogearraí agus na horduithe cur chun feidhme atá le hachtú sa chomhthéacs sin.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RÁITEAS MÍNIÚCHÁIN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dhaoine uaisle,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sé mar aidhm ag an tionscadal seo deisiú agus leathnú shaol seirbhíse táirgí a chur chun cinn chun a dtionchar ar an gcomhshaol a theorannú.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Chuige sin, bunaíonn sé, ar thaobh amháin, scór indeisitheachta agus scór fad saoil.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éard atá sna scóir sin scór arna ríomh ar bhonn critéar oibiachtúil lenar féidir measúnú a dhéanamh ar indeisitheacht nó ar fhad saoil táirge.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Ar an láimh eile, déantar foráil sa tionscadal maidir leis an oibleagáid faisnéis a thabhairt faoi fhad na comhoiriúnachta bogearraí.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éard atá i gceist leis an oibleagáid sin an t-úsáideoir deiridh a chur ar an eolas faoin tréimhse a bheidh an táirge in ann nuashonruithe comhleanúnacha a sheasamh lena linn, atá riachtanach dá fheidhmiú ceart.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cruthú scór indeisitheachta, a fhorlíonfar sa deireadh le scór fad saoil agus tabhairt isteach oibleagáide chun faisnéis a sholáthar maidir le fad comhoiriúnacht bogearraí, dírithe ar shaol seirbhíse na dtáirgí a mhéadú, rud atá fíor-riachtanach anois ar chúiseanna comhshaoil.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Gach bliain, téann tuairim is 160 milliún gléas leictreach agus leictreonach isteach i margadh na Beilge, arb ionann é agus meáchan 245,000 tona.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Meastar go bhfuil 420 milliún aonad fós i gcúrsaíocht, agus tá 87% díobh fós in úsáid.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Bíonn tionchar suntasach ar an gcomhshaol ag na fearais tí seo, idir tháirgí bána agus táirgí donn go gléasanna beaga leictreonacha amhail fóin chliste agus ríomhairí glúine.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Ina theannta sin, gintear thart ar 120 000 tona de dhramhaíl leictreach agus leictreonach gach bliain.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Déantar gannmheastachán ar an bhfigiúr sin i ndáiríre toisc go n-imíonn cuid mhór den dramhaíl sin ar bhealaí nach bhfuil aon mhodh clárúcháin beartaithe ina leith.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Déantar cuid den dramhaíl sin a chóireáil trí bhealaí neamhdhleathacha.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Onnmhairítear roinnt gléasanna a bhfuil a ré caite fiú go tíortha nach bhfuil aon bhealach athchúrsála iontu agus ina ndéantar diúscairt dramhaíola gan aon smacht agus ina ndéantar dochar don chomhshaol agus don tsláinte.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Dá bhrí sin, laghdóidh saol seirbhíse níos faide an méid dramhaíola.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Ina theannta sin, tá caillteanas suntasach amhábhar mar thoradh ar dhiúscairt thapa na dtáirgí seo.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 ndáiríre, is ó fhearais leictreacha a thagann thart ar 14% den lorg ábhartha a úsáideann teaghlaigh na Beilge mar earraí tomhaltais.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Mar thoradh ar eastóscadh amhábhar, bíonn brú mór ar an gcomhshaol ar an leibhéal áitiúil mar thoradh ar ghníomhaíochtaí mianadóireachta.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Mar thoradh air sin, bíonn mórshuaitheadh san éiceachóras agus éilliú áitiúil uisce agus ithreach.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Mar gheall ar an méadú atá ag teacht ar an éileamh ar amhábhair, tá pleananna ann chun mianaigh nua a oscailt san Eoraip.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Tá méadú ag teacht freisin ar an éileamh ar mhianadóireacht dhomhainfharraige ar mhórscála.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Chuirfeadh mianadóireacht den sórt sin isteach ar an muirthimpeallacht.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Meastar go bhfuil cuid de na hamhábhair sin ríthábhachtach, i.e. tá siad tábhachtach ó thaobh an gheilleagair de ach ní sholáthraítear iad ar chúiseanna eacnamaíocha nó geopholaitiúla.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liosta na n-amhábhar a mheastar a bheith criticiúil, a dhréachtaigh an Coimisiún Eorpach den chéad uair in 2011 ag dul i méid de réir mar a thugtar cothrom le dáta é.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Dá bhrí sin, is bagairt é sin don aistriú fuinnimh agus don digitiú, rud a éilíonn go leor amhábhar a mheastar a bheith ríthábhachtach, go háirithe i réimse chruthú an bhonneagair chun fuinneamh glas a ghiniúint agus a stóráil (painéil ghréine, tuirbíní gaoithe agus ceallraí).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táirgeadh fearas leictreacha ina chúis le hastaíochtaí suntasacha CO2.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ó fhearais leictreacha a thagann thart ar 16% den lorg carbóin a bhaineann le tomhaltas earraí tomhaltais ag teaghlaigh na Beilge.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ionann táirgeadh fearas leictreach agus thart ar 3,000,000 tona CO2 in aghaidh na bliana.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Dá bhrí sin, bíonn laghdú ar astaíochtaí CO2 ar fud an tslabhra táirgthe mar thoradh ar shaol seirbhíse níos faide na bhfearas.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sé suimiúil freisin, ar chúiseanna socheacnamaíocha, go mbeadh feistí níos indeisithe ar an margadh.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Cé go dtáirgtear trealamh nua lasmuigh den Bheilg den chuid is mó, cruthaíonn deisiú poist ar an leibhéal áitiúil.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Tá ról tábhachtach ag an tionscal deisiúcháin cheana féin sa lá atá inniu ann.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Ar an meán, caitheann Beilgeach EUR 10 in aghaidh na bliana ar fhearais tí a dheisiú.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Ní chuirtear san áireamh leis seo ach cuid de na deisiúcháin a bhfuil figiúirí oifigiúla ann dóibh.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Léiríonn meastacháin, sa chleachtas, go dtarlaíonn tuairim is leath de na gníomhaíochtaí deisiúcháin i suíomh neamhfhoirmiúil.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Laghdaíonn saol seirbhíse níos faide costas saolré gléas.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é seo an costas a chuireann san áireamh an praghas ceannaigh agus an saol seirbhíse, chomh maith le costas cothabhála agus deisiúcháin.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Léiríonn cás-staidéir ar fholúsghlantóirí agus ar mheaisíní níocháin go minic go bhfuil deisiú fearas níos eacnamaíche ná ceann nua a chur ina ionad.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Cruthaíonn fearais a bhfuil saol seirbhíse níos faide acu margadh díolacháin athláimhe níos mó freisin.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le beagnach 40% de theaghlaigh fearas athláimhe amháin nó níos mó.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Tá 10% de na fearais athláimhe.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Tagann 21% d’fhearais leictreacha úsáidte in áit ceann nua.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Ní hamháin go laghdaíonn sé seo damáiste don chomhshaol ach cuireann sé fearais ar phraghas níos ísle ar fáil freisin, rud a fhágann go bhfuil rochtain ag níos mó daoine ar fhearais ar ardchaighdeán.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an tionscnamh reachtach seo ina chuid den Phlean Gníomhaíochta Cónaidhme don Gheilleagar Ciorclach, a ghlac Comhairle na nAirí an 17 Nollaig 2021.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í an Fhrainc a spreag é den chuid is mó, a bhfuil scór indeisitheachta curtha chun feidhme aici agus oibleagáid faisnéis a sholáthar maidir le comhoiriúnacht bogearraí an 1</w:t>
            </w:r>
            <w:r>
              <w:rPr>
                <w:sz w:val="24"/>
                <w:rFonts w:ascii="Times New Roman" w:hAnsi="Times New Roman"/>
              </w:rPr>
              <w:t xml:space="preserve"> Eanáir 2021 mar chuid den dlí frithdhramhaíola agus don gheilleagar ciorclach a fógraíodh an 10 Feabhra 2020.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Dá bhrí sin, cuireann an tionscnamh reachtach seo le cosaint an chomhshaoil trí bhéim a leagan ar dtús ar shaintréithe indeisitheachta agus marthanachta táirgí.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Ar an mbealach seo, beidh sé níos éasca don úsáideoir deiridh a bheith ar an eolas faoi nádúr indeisithe agus marthanach an táirge is mian leo a fháil.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Ar an dara dul síos, foráiltear leis go mbeidh cur ar an margadh na dtáirgí lena mbaineann ag brath ar scór íosta a fháil.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Dá bhrí sin, is uirlis é an bille seo chun dul i ngleic le dífheidhmeacht roimh am chun aischur táirgí luath a sheachaint agus chun na hacmhainní nádúrtha is gá chun iad a tháirgeadh a chaomhnú.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Cuirfear raon feidhme na mbeart sin chun feidhme i gcéimeanna.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Saineofar catagóirí na dtáirgí lena mbaineann agus féadfar iad a leathnú le Foraitheanta Ríoga a phléifear i gComhairle na nAirí.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Déanfar cumarsáid scóir agus faisnéise maidir le comhoiriúnacht bogearraí a chinneadh freisin trí Fhoraithne Ríoga.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Tá údar leis sin ó thaobh eagrúcháin de.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Trí oibriú i gcéimeanna, áirithítear indéantacht phraiticiúil na mbeart sin, lena n-éilítear tréimhse áirithe chun dul siar agus chun oiriúnuithe a dhéanamh.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TUAIRIMÍ AR NA HAILT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Airteagal 1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Sonraítear san Airteagal seo an bonn bunreachtúil le haghaidh inniúlachtaí.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San Airteagal seo tá sainmhínithe ar théarmaí sonracha a úsáidtear sa Dlí agus ina Fhoraitheanta.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3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cuspóir an dlí san Airteagal seo.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4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Leagtar amach san Airteagal seo na critéir atá le cur san áireamh agus an scór indeisitheachta á chinneadh.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Cinneann an Rí trí Fhoraithne Ríoga, a phléitear i gComhairle na nAirí, liosta na dtáirgí atá clúdaithe ag an scór indeisitheachta, na caighdeáin theicniúla de réir catagóire táirge a chumasaíonn na scóir do gach ceann de chritéir an innéacs a bhunú, an modh chun an scór indeisitheachta foriomlán a ríomh.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trí Fhoraithne Ríoga modhanna cumarsáide agus formáid an innéacs chomh maith le hinrochtaineacht ar chaighdeáin theicniúla.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le Foraithne Ríoga a phléifear i gComhairle na nAirí an scór íosta indeisitheachta atá le baint amach do gach catagóir táirgí dá dtagraítear mar choinníoll lena gcur ar an margadh.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Tá baint ag na Réigiúin leis an dréacht-Fhoraithne Ríoga seo tríd an gComhdháil Idir-Aireachta ar an gComhshaol.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Iarradh ar an bPríomh-Chomhairle Eacnamaíoch, ar an gComhairle Tomhaltóirí agus ar an gComhairle Chónaidhme um Fhorbairt Inbhuanaithe tuairim a thabhairt maidir leis an dréacht-Fhoraithne Ríoga seo.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Déantar foráil san Airteagal seo maidir le hoibleagáid faisnéis a sholáthar maidir le fad comhoiriúnacht bogearraí na dtáirgí sin a chur ar an duine atá freagrach as táirgí a chur ar an margadh.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le Foraithne Ríoga a phléifear i gComhairle na nAirí, liosta na dtáirgí a cumhdófar.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le Foraithne Ríoga téarmaí cumarsáide na faisnéise maidir le fad comhoiriúnachta bogearraí mar aon leis an bhformáid ina gcaithfear an fhaisnéis a chur in iúl.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Ina theannta sin, sainmhíníonn sé inrochtaineacht ar na paraiméadair a d’fhág gur féidir fad na comhoiriúnachta bogearraí a chinneadh.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Cinneann an Rí trí Fhoraithne Ríoga, a phléifear i gComhairle na nAirí, liosta na dtáirgí atá clúdaithe ag an scór fad saoil, na caighdeáin theicniúla de réir catagóire táirge a chumasaíonn na scóir do gach ceann de chritéir an innéacs agus an modh chun an scór fad saoil foriomlán a ríomh.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le Foraithne Ríoga modhanna cumarsáide an innéacs agus a fhormáid agus a inrochtaineacht ar chaighdeáin theicniúla.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le Foraithne Ríoga a phléifear i gComhairle na nAirí an scór fad saoil íosta atá le baint amach do gach catagóir táirgí ar a ndírítear mar choinníoll lena gcur ar an margadh.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Tá baint ag na Réigiúin leis an dréacht-Fhoraithne Ríoga seo tríd an gComhdháil Idir-aireachta ar an gComhshaol.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Iarradh ar an bPríomh-Chomhairle Eacnamaíoch, ar an gComhairle Tomhaltóirí agus ar an gComhairle Chónaidhme um Fhorbairt Inbhuanaithe tuairim a thabhairt maidir leis an dréacht-Fhoraithne Ríoga seo.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Bunaítear leis an Airteagal seo an critéar maidir leis an scór fad saoil a fhorlíonfaidh, sa dara céim, an scór indeisitheachta.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7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Déantar foráil san Airteagal seo maidir le sonraí pearsanta a phróiseáil in Airteagail 8, 9, 10 agus 11.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8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Bunaítear leis an Airteagal seo freagracht na monaróirí, na n-allmhaireoirí, na ndáileoirí agus na ndíoltóirí táirgí trí idirdhealú a dhéanamh idir soláthar faisnéise agus scaipeadh faisnéise.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Cinntear leis an Airteagal seo na cigirí atá inniúil chun an bille seo a rialú.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 iad sin seirbhísí cigireachta Ard-Stiúrthóireacht Comhshaoil na Seirbhíse Cónaidhme Sláinte Poiblí, Sábháilteachta an tSlabhra Bia agus an Chomhshaoil.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Cinnfidh an Rí trí Fhoraithne Ríoga na forálacha teicniúla a bhaineann le rialú, lena n-áirítear i gcomhthéacs iniúchadh táirgí a dhíoltar ar líne.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San Airteagal seo tá córas na smachtbhannaí coiriúla atá in Airteagal 4(4) agus in Airteagal 6(4).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San Airteagal seo tá na rialacha nós imeachta is infheidhme maidir le pionóis choiriúla.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córas smachtbhannaí riaracháin an bhille san Airteagal seo.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Airteagal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Baineann an tAirteagal seo le teacht i bhfeidhm an Dlí, go sonrach sé mhí tar éis a fhoilsithe in Iris Oifigiúil na Beilge.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D’FHORÓGRAÍOMAR AGUS FORÓGRAÍMID LE SEO: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Tá an tAire Aeráide, Comhshaoil, Forbartha Inbhuanaithe agus an Chomhaontaithe Ghlais freagrach as an mbille seo a leanas a thabhairt isteach i dTeach na nIonadaithe thar ár gceann: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Caibidil I — Forálacha tosaigh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Rialaíonn an dlí seo ábhar dá dtagraítear in Airteagal 74 den Bhunreacht.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Chun an Dlí seo a chur i bhfeidhm, beidh feidhm ag na sainmhínithe seo a leanas: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‘scór indeisitheachta’: scór a dhéanann measúnú ar indéantacht díchóimeáil agus deisiú táirge.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‘comhoiriúnacht bogearraí’: faisnéis maidir leis an bhfad ama a thugann an monaróir nó an soláthróir agus an córas oibriúcháin nó na bogearraí a thabhairt cothrom le dáta chun gnáthúsáid an táirge ag úsáideoir stuama agus réasúnta a áirithiú.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‘scór fad saoil’: scór a dhéanann meastóireacht ar stóinseacht agus iontaofacht táirge.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‘caighdeán teicniúil’: caighdeán le haghaidh saintréithe teicniúla táirge chun an scór do gach critéar a ríomh.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‘lámhleabhar cothabhála’: doiciméad oideachais, a bhfuil sé mar aidhm leis cothabháil an táirge a mhíniú agus a éascú.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‘lámhleabhar deisiúcháin’: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doiciméad oideachais, a bhfuil sé mar aidhm leis deisiú an táirge a mhíniú agus a éascú.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(7) ‘iontaofacht an táirge’: léirú na dóchúlachta go gcomhlíonfaidh táirge na feidhmeanna atá beartaithe aige thar thréimhse áirithe ama.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‘stóinseacht an táirge’: léiríonn sé daingne agus neart táirge.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‘cur ar an margadh’: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thabhairt isteach, allmhairiú, chur ar fáil do thríú páirtithe, tairiscint le díol, díolachán, lig ar cíos, léasú, nó sannadh ar chomaoin nó saor in aisce, lena n-áirítear díolachán ar líne.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‘freagrach as cur ar an margadh’: monaróirí, allmhaireoirí, dáileoirí agus díoltóirí táirgí a chumhdaítear leis an scór indeisitheachta agus fad saoil agus leis an oibleagáid faisnéis a sholáthar maidir le fad comhoiriúnachta bogearraí.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Caibidil II — Forálacha ginearálta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Is é cuspóir an dlí seo an comhshaol a chosaint trí scór indeisitheachta a thabhairt isteach a fhorlíonfar le scór fad saoil é, chomh maith le faisnéis a thabhairt faoi chomhoiriúnacht bogearraí na dtáirgí chun a ndeisiú a chur chun cinn agus a dtréimhse úsáide a mhéadú.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Ní thagraíonn táirgí a chumhdaítear leis an Dlí seo ach do tháirgí nua a dhíoltar, gan táirgí athláimhe a áireamh.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Caibidil III — Scór indeisitheachta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4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Cruthófar scór indeisitheachta do na táirgí dá dtagraítear in Airteagal 4(2), arna ríomh ar bhonn na gcritéar seo a leanas: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Infhaighteacht faisnéise teicniúla agus lámhleabhair chothabhála agus deisiúcháin.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éasca is féidir an táirge lena mbaineann a dhíchóimeáil.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Infhaighteacht páirteanna spártha ar an margadh agus a n-am seachadta.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An praghas na páirteanna breise.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Critéir eile a bhaineann go sonrach leis an táirge.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trí Fhoraithne Ríoga a phléifear i gComhairle na nAirí, liosta na dtáirgí a chumhdaítear leis an scór indeisitheachta, agus, de réir catagóir táirgí, na caighdeáin theicniúla chun na scóir a bhunú do gach ceann de na critéir thuasluaite.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Cinneann sé freisin an modh chun an scór foriomlán indeisitheachta a ríomh.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trí Fhoraithne Ríoga modhanna cumarsáide an scór indeisitheachta chomh maith leis an bhformáid ina bhfuil sé le cur in iúl.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Sainmhíníonn sé freisin inrochtaineacht ar chaighdeáin theicniúla agus ríomh an scór.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Rí, le Foraithne Ríoga a phléifear i gComhairle na nAirí, an scór íosta indeisitheachta atá le baint amach i gcás gach catagóire táirgí a shonraítear in Airteagal 4(2) den Dlí seo mar choinníoll lena gcur ar an margadh.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Tá baint ag na Réigiúin leis an dréacht-Fhoraithne Ríoga seo tríd an gComhdháil Idir-Aireachta ar an gComhshaol.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Iarradh ar an bPríomh-Chomhairle Eacnamaíoch, ar an gComhairle Tomhaltóirí agus ar an gComhairle Chónaidhme um Fhorbairt Inbhuanaithe tuairim a thabhairt maidir leis an dréacht-Fhoraithne Ríoga seo.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Caibidil IV — Faisnéis maidir le comhoiriúnacht bogearraí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 gcás na dtáirgí dá dtagraítear in Airteagal 5(2), déanfaidh an duine atá freagrach as an gcur ar an margadh</w:t>
            </w:r>
            <w:r>
              <w:rPr>
                <w:sz w:val="24"/>
                <w:rFonts w:ascii="Times New Roman" w:hAnsi="Times New Roman"/>
              </w:rPr>
              <w:t xml:space="preserve"> faisnéis a sholáthar don úsáideoir deiridh maidir le fad comhoiriúnachta bogearraí.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Sa mheasúnú ar chothabháil na ngnéithe atá ann cheana agus an táirge á cheannach, cuirtear san áireamh caitheamh mar gheall ar an am a úsáideann an t-úsáideoir an táirge go stuama agus go dícheallach.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trí Fhoraithne Ríoga a phléifear i gComhairle na nAirí, liosta na dtáirgí a chumhdaítear leis an oibleagáid faisnéis a thabhairt faoi fhad comhoiriúnachta bogearraí.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trí Fhoraithne Ríoga na modhanna chun faisnéis a chur in iúl maidir le comhoiriúnacht bogearraí chomh maith leis an bhformáid ina bhfuil an fhaisnéis le cur in iúl.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Sainmhíníonn sé freisin inrochtaineacht ar na paraiméadair a chumasaigh fad na comhoiriúnachta bogearraí a chinneadh.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Caibidil V — Scór fad saoil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Scór fad saoil, lena bhforlíontar an scór indeisitheachta dá dtagraítear in Airteagal 4 i gcás na dtáirgí dá dtagraítear in Airteagal 6(2), arna ríomh ar bhonn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na hiontaofachta agus stóinseacht shonrach gach catagóire táirge.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trí Fhoraithne Ríoga a phléifear i gComhairle na nAirí, liosta na dtáirgí a chumhdaítear leis an scór fad saoil agus na caighdeáin theicniúla chun an scór a bhunú agus an modh chun an scór a ríomh.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le Foraithne Ríoga modhanna cumarsáide an scór fad saoil agus an fhormáid ina bhfuil sé le cur in iúl.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Sainmhíníonn sé freisin inrochtaineacht na faisnéise a chumasaigh an scór fad saoil a chinneadh.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le Foraithne Ríoga a phléifear i gComhairle na nAirí an scór fad saoil íosta atá le baint amach do gach catagóir táirgí a shonraítear in Airteagal 6(2) den Dlí seo mar choinníoll lena gcur ar an margadh.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Tá baint ag na Réigiúin leis an dréacht-Fhoraithne Ríoga seo tríd an gComhdháil Idir-Aireachta ar an gComhshaol.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Iarradh ar an bPríomh-Chomhairle Eacnamaíoch, ar an gComhairle Tomhaltóirí agus ar an gComhairle Chónaidhme um Fhorbairt Inbhuanaithe tuairim a thabhairt maidir leis an dréacht-Fhoraithne Ríoga seo.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Caibidil VI — Próiseáil sonraí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Airteagal 7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Is í an tSeirbhís Chónaidhme Sláinte Phoiblí an t-aon seirbhís phoiblí atá inniúil agus freagrach as próiseáil sonraí pearsanta faoi chuimsiú Airteagail 8, 9, 10 agus 11 den Dlí seo.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Is é cúig bliana an uastréimhse stórála le haghaidh sonraí pearsanta atá le próiseáil.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Caibidil VII — Freagracht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Airteagal 8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Tá monaróirí agus allmhaireoirí na dtáirgí dá dtagraítear in Airteagal 4(2), 5(2) agus 6(2) den Dlí seo freagrach as scór indeisitheachta a sholáthar, an</w:t>
            </w:r>
            <w:r>
              <w:rPr>
                <w:sz w:val="24"/>
                <w:rFonts w:ascii="Times New Roman" w:hAnsi="Times New Roman"/>
              </w:rPr>
              <w:t xml:space="preserve"> scór fad saoil agus faisnéis maidir le fad comhoiriúnacht bogearraí táirgí.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Tá díoltóirí agus dáileoirí na dtáirgí dá dtagraítear in Airteagal 4(2), 5(2) agus 6(2) den Dlí seo freagrach as scór indeisitheachta, scór fad saoil</w:t>
            </w:r>
            <w:r>
              <w:rPr>
                <w:sz w:val="24"/>
                <w:rFonts w:ascii="Times New Roman" w:hAnsi="Times New Roman"/>
              </w:rPr>
              <w:t xml:space="preserve"> agus faisnéis faoi chomhoiriúnacht bogearraí na dtáirgí a chur in iúl.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Tá siad freagrach freisin as rochtain ar fhaisnéis theicniúil.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Caibidil VIII — Rialú agus smachtbhannaí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Déanann roinn iniúchta Ard-Stiúrthóireacht Comhshaoil na Seirbhíse Cónaidhme Sláinte Poiblí, Sábháilteachta an tSlabhra Bia agus an Chomhshaoil monatóireacht ar chur i bhfeidhm an Dlí seo.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Rí le foraithne aireachta na forálacha teicniúla a bhaineann le rialú, lena n-áirítear i gcomhthéacs na cigireachta ar tháirgí a dhíoltar ar líne, na téarmaí le haghaidh fíneálacha riaracháin.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Tá sé inphionóis le fíneáil choiriúil EUR 100 go EUR 100 000 aon duine a sháraíonn Airteagal 4(4) agus Airteagal 6(4) den Dlí seo.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Ní mór na fíneálacha coiriúla dá bhforáiltear in § 1 a mhéadú i gcomhréir le Dlí an 5 Márta 1952 maidir le formhuirir ar fhíneálacha coiriúla.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D’fhonn an comhshaol a chosaint, féadfaidh an breitheamh coiriúil na bearta seo a leanas a ordú: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toirmeasc ar an táirge is ábhar don chion a allmhairiú;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(2) an táirge is ábhar don chion a tharraingt siar ón margadh;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(3) foilsiú an bhreithiúnais ar an modh a chinnfidh sé nó sí agus ar chostas an duine chiontaithe.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Seolfaidh comhaltaí na foirne reachtúla nó conarthacha a cheapfaidh an Rí i gcomhréir le hAirteagal 9(2) den Dlí seo na miontuairiscí chun an cion a fhionnadh.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Cinnfidh an t-ionchúisitheoir poiblí cibé acu a dhéanfaidh nó nach ndéanfaidh sé nó sí agra go coiriúil.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Ní chuirtear fíneáil riaracháin san áireamh in imeachtaí coiriúla, fiú má dhúnann éigiontú iad.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§ 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Beidh tréimhse trí mhí ag an ionchúisitheoir poiblí ón lá a fhaightear na miontuairiscí chun a chinneadh a chur in iúl don oifigeach rialtais arna ainmniú ag an Rí i gcomhréir le hAirteagal 9(2) den Dlí seo.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 gcás ina dtarscaoilfidh an t-ionchúisitheoir poiblí imeachtaí coiriúla nó ina mainneoidh sé no sí a chinneadh nó a cinneadh chur in iúl laistigh den teorainn ama fhorordaithe, cinnfidh an t-oifigeach rialtais arna ainmniú ag an Rí i gcomhréir le hAirteagal 9(2) den Dlí seo, i gcomhréir leis na téarmaí agus na coinníollacha arna leagan síos aige, tar éis dó a bheith in ann an duine lena mbaineann a chosaint a chur i láthair, más iomchuí fíneáil riaracháin a mholadh ar bhonn an chiona.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Féadfaidh an t-oifigeach fíneáil riaracháin a mholadh don chiontóir, tar éis deis a thabhairt don duine lena mbaineann a acmhainn chosanta a chur i láthair.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Mura molfar fíneáil riaracháin, cuirfear na miontuairiscí ar aghaidh chuig an ionchúisitheoir poiblí.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Má tá togra déanta le haghaidh fíneáil riaracháin, seolfar cóip de na miontuairiscí chuig an ionchúisitheoir poiblí chun críocha faisnéise.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1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D’ainneoin Airteagal 10 den Dlí seo a bheith comhlíonta, toibheofar fíneáil riaracháin idir EUR 100 agus EUR 30 000 má sháraíonn sé nó sí Airteagal 4, Airteagal 5 agus Airteagal 6.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 2.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Beidh feidhm freisin ag na formhuirir dá dtagraítear i bhfomhír 1 d’Airteagal 1 de Dhlí an 5 Márta 1952 maidir le formhuirir ar fhíneálacha coiriúla maidir le fíneálacha riaracháin § 1 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den Airteagal seo.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 3.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Is í Seirbhís Dlí na Seirbhíse Cónaidhme Sláinte Poiblí, Sábháilteacht an tSlabhra Bia agus an Comhshaol atá freagrach as fíneálacha riaracháin a bhainistiú agus a eisiúint.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 4.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Íocfar fíneálacha riaracháin a thoibheofar de thoradh na miontuairiscí arna dtarraingt suas ag na ranna dá dtagraítear in Airteagal 9(1) leis an gCiste Buiséadach d’amhábhair agus do tháirgí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Caibidil IX — Forálacha críochnaitheacha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Airteagal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Tiocfaidh an Dlí seo i bhfeidhm sé mhí tar éis dháta a fhoilsithe in Iris Oifigiúil na Beilge.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Arna thabhairt sa Bhruiséil, an .../.../2022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De réir an Rí: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PHILIPPE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An tAire Aeráide, Comhshaoil, Forbartha Inbhuanaithe agus an Chomhaontaithe Ghlais,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