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80401" w:rsidRPr="00080401" w14:paraId="3EF4E0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1036" w14:textId="1470ADA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caps/>
                <w:sz w:val="24"/>
                <w:rFonts w:ascii="Times New Roman" w:hAnsi="Times New Roman"/>
              </w:rPr>
              <w:t xml:space="preserve">SZÖVETSÉGI KÖZEGÉSZSÉGÜGYI KÖZSZOLGÁLAT</w:t>
            </w:r>
          </w:p>
        </w:tc>
      </w:tr>
      <w:tr w:rsidR="00080401" w:rsidRPr="00080401" w14:paraId="488AE5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416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Törvényjavaslat a javíthatósági és a hosszú élettartamra vonatkozó pontszám bevezetéséről és a termékek szoftverkompatibilitásának időtartamára vonatkozó információk terjesztéséről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7A4BB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BF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87188A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B367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FÜLÖP,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E6A3CE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BELGÁK KIRÁLYA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B0270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Minden jelenlevőnek és az elkövetkezőknek,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CD592E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ÜDVÖZLET!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ECBB64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4354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Az éghajlat-, a környezetvédelmi, a fenntartható fejlődésért és zöld megállapodásért felelős miniszterünk javaslatára,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7CE85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E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3553BC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5F92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ÖSSZEFOGLALÁS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F63E4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651FB7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Ennek a törvényjavaslatnak az a célja, hogy elősegítse a termékek javítását és élettartamuk meghosszabbítását annak érdekében, hogy korlátozza a környezetre gyakorolt hatásukat.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törvényjavaslat jogalapot biztosít a javíthatósági pontszám létrehozásához is, amelyet a hosszú élettartamra vonatkozó pontszámmal, a szoftverkompatibilitás időtartamára vonatkozó tájékoztatási kötelezettséggel és az ebben az összefüggésben elfogadandó végrehajtási utasításokkal egészítenek ki.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228D3E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3066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E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AF46B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864A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MAGYARÁZÓ JEGYZET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A490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4D893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Hölgyeim és uraim,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494FDD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DAB6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projekt célja, hogy elősegítse a termékek javítását és élettartamuk meghosszabbítását a környezetre gyakorolt hatásuk korlátozása érdekében.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Ebből a célból egyrészt egy javíthatósági pontszámot és egy hosszú élettartamra vonatkozó pontszámot állapít meg.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Ezek a pontszámok objektív kritériumok alapján kiszámított pontszámokból állnak, amelyek lehetővé teszik a termék javíthatóságának vagy hosszú élettartamának értékelését.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Másrészt a projekt előírja a szoftverkompatibilitás időtartamára vonatkozó tájékoztatás kötelezettségét.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 a kötelezettség abban áll, hogy tájékoztatni kell a végfelhasználót arról az időszakról, amely alatt a termék képes lesz elviselni az egymást követő frissítéseket, amelyek elengedhetetlenek a megfelelő működéséhez.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BA4FD2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javíthatósági pontszám létrehozása, amelyet történetesen a hosszú élettartamra vonatkozó pontszámmal egészítenek ki, valamint a szoftverkompatibilitás időtartamára vonatkozó tájékoztatási kötelezettség bevezetése a termékek élettartamának növelését célozza, ami környezetvédelmi okokból immár nélkülözhetetlen.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39040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Évente mintegy 160 millió elektromos és elektronikus eszköz kerül a belga piacra, ami 245 000 tonna súlyt képvisel.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becslések szerint 420 millió egység van forgalomban, amelyek 87%-a még mindig használatban van.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Ezek a háztartási készülékek, amelyek a fehér- és barnaáruktól a kisméretű elektronikus eszközökig (pl. okostelefonok és laptopok) terjednek, jelentős környezeti hatással bírnak.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FFE810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Emellett évente mintegy 120 000 tonna elektromos és elektronikus hulladék keletkezik.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Ezt a számadatot valójában alábecsülik, mivel e hulladék nagy része olyan csatornákon keresztül tűnik el, amelyek nyilvántartási módja nem előrelátható.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hulladék egy részét illegális csatornákon keresztül kezelik.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Egyes elhasználódott eszközöket még olyan országokba is exportálnak, ahol nincs újrahasznosítás, és ahol a hulladék ártalmatlanítása ellenőrzés nélkül történik, és káros a környezetre és az egészségre.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A hosszabb élettartam tehát csökkenti a hulladék mennyiségét.</w:t>
            </w:r>
            <w:r>
              <w:rPr>
                <w:sz w:val="24"/>
                <w:rFonts w:ascii="Times New Roman" w:hAnsi="Times New Roman"/>
              </w:rPr>
              <w:t xml:space="preserve">    </w:t>
            </w:r>
          </w:p>
          <w:p w14:paraId="11A84A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Ezen túlmenően ezeknek a termékeknek a gyors ártalmatlanítása jelentős nyersanyagveszteséget eredményez.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Valójában a belga háztartások fogyasztási cikként fogyasztott anyagi lábnyomának mintegy 14%-a elektromos készülékekből származik.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nyersanyagok kitermelése helyi szinten nagy környezeti terheléshez vezet a bányászati tevékenységek eredményeként.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 az ökoszisztéma súlyos zavarát, valamint a víz és a talaj helyi szennyeződését eredményezi.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nyersanyagok iránti növekvő kereslet miatt új bányák megnyitását tervezik Európában.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nagymértékű mélytengeri bányászat iránti kereslet szintén növekszik.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Az ilyen bányászat a tengeri környezet megzavarásához vezetne.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 nyersanyagok némelyikét kritikusnak tekintik, azaz gazdaságilag fontosak, de nem gazdasági vagy geopolitikai okokból szerzik be őket.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03169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kritikus fontosságúnak ítélt nyersanyagok jegyzéke, amelyet először az Európai Bizottság 2011-ben állított össze, a frissítések során bővül.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 tehát fenyegetést jelent az energetikai átállásra és digitalizációra nézve, amelyekhez számos kritikus fontosságú nyersanyagra van szükség, különösen a zöld energia előállítására és tárolására szolgáló infrastruktúra (napkollektorok, szélturbinák és akkumulátorok) létrehozása terén.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ACEB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Az elektromos készülékek gyártása jelentős CO2-kibocsátást okoz.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belga háztartások fogyasztásicikk-fogyasztásához kapcsolódó szénlábnyom mintegy 16%-a elektromos készülékekből származik.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Az elektromos készülékek gyártása évente mintegy 3 000 000 tonna CO2-kibocsátást eredményez.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készülékek hosszabb élettartama ezért a gyártási lánc egészében csökkenti a szén-dioxid-kibocsátást.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ED71E5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Társadalmi-gazdasági okokból szintén érdekes, hogy könnyebben javítható eszközök vannak a piacon.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Míg az új berendezéseket főként Belgiumon kívül gyártják, a javítás helyi szinten teremt munkahelyeket.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javítóipar már manapság is fontos szerepet tölt be.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belgák átlagosan évi 10 eurót költenek háztartási készülékek javítására.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 csak a javítások egy részét veszi figyelembe, amelyre vonatkozóan hivatalos adatok állnak rendelkezésre.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Becslések szerint a gyakorlatban a javítási tevékenységek mintegy fele nem hivatalos keretek között zajlik.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hosszabb élettartam csökkenti az eszköz életciklusának költségeit.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 az a költség, amely figyelembe veszi mind a beszerzési árat, mind az élettartamot, valamint a karbantartási és javítási költségeket.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porszívók és mosógépek esettanulmányai azt mutatják, hogy a készülék javítása gyakran gazdaságosabb, mint egy új készülékkel való helyettesítés.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hosszabb élettartamú készülékek egy nagyobb használtcikk-értékesítési piacot is létrehoznak.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háztartások közel 40%-ának van egy vagy több használt készüléke.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készülékek 10%-a használt.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használt elektromos készülékek 21%-a egy új készüléket helyettesít.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 nemcsak csökkenti a környezeti károkat, hanem alacsonyabb áron is kínálja a készülékeket, így a jó minőségű készülékek több ember számára hozzáférhetők.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B36B3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jogalkotási kezdeményezés a körforgásos gazdaságra vonatkozó szövetségi cselekvési terv részét képezi, amelyet a Miniszterek Tanácsa 2021. december 17-én fogadott el.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Ezt nagyrészt Franciaország inspirálta, amely a 2020. február 10-én kihirdetett hulladékellenes és a körforgásos gazdaságra vonatkozó törvény részeként 2021. január 1-jén</w:t>
            </w:r>
            <w:r>
              <w:rPr>
                <w:sz w:val="24"/>
                <w:rFonts w:ascii="Times New Roman" w:hAnsi="Times New Roman"/>
              </w:rPr>
              <w:t xml:space="preserve"> bevezette a javíthatósági pontszámot és a szoftverkompatibilitással kapcsolatos információk szolgáltatásának kötelezettségét.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7263BA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jogalkotási kezdeményezés ezért hozzájárul a környezet védelméhez azáltal, hogy először kiemeli a termékek javíthatósági és tartóssági jellemzőit.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Ily módon a végfelhasználó könnyebben tudomást szerez a megvásárolni kívánt termék javíthatóságáról és tartósságáról.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Másrészt előírja, hogy az érintett termékek forgalomba hozatala a minimális pontszám elérésétől függ.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0CA975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törvényjavaslat tehát a korai elavulás elleni küzdelem eszköze a termékek korai ártalmatlanításának elkerülése és az előállításukhoz szükséges természeti erőforrások megőrzése érdekében.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1C7DC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Ezen intézkedések hatályát szakaszosan vezetik be.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Az érintett termékkategóriákat a Miniszterek Tanácsa által elfogadott királyi rendeletek határozzák meg és bővíthetik.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123C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pontszámok és a szoftverkompatibilitással kapcsolatos információk közlését szintén a királyi rendelet határozza meg.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 szervezeti szempontból indokolt.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szakaszos munkavégzés biztosítja ezen intézkedések gyakorlati megvalósíthatóságát, amelyekhez bizonyos időre van szükség a visszalépés és az alkalmazkodás tekintetében.</w:t>
            </w:r>
            <w:r>
              <w:rPr>
                <w:sz w:val="24"/>
                <w:rFonts w:ascii="Times New Roman" w:hAnsi="Times New Roman"/>
              </w:rPr>
              <w:t xml:space="preserve">   </w:t>
            </w:r>
          </w:p>
        </w:tc>
      </w:tr>
      <w:tr w:rsidR="00080401" w:rsidRPr="00080401" w14:paraId="6E75A05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9A4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47C2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704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MEGJEGYZÉSEK A CIKKEKHEZ</w:t>
            </w: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8C7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E9F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 cikk</w:t>
            </w:r>
            <w:r>
              <w:rPr>
                <w:sz w:val="19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6B68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704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meghatározza a hatáskörök alkotmányos alapját.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10BBE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11E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2.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AE36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8D1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a törvényben és rendeleteiben használt konkrét kifejezések fogalommeghatározásait tartalmazza.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66F30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3EA7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3. cikk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9DD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5F6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tartalmazza a törvény célját.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1A44E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4332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4. cikk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64E96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1B8B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meghatározza azokat a kritériumokat, amelyeket a javíthatósági pontszám meghatározásakor figyelembe kell venni.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7A929A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a Miniszterek Tanácsában megtárgyalt királyi rendelettel határozza meg a javíthatósági pontszám hatálya alá tartozó termékek listáját, a termékkategóriánkénti műszaki szabványokat, amelyek lehetővé teszik az index egyes kritériumaira vonatkozó pontszámok megállapítását, az általános javíthatósági pontszám kiszámításának módszerét.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B034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királyi rendelettel határozza meg az index közlési módszereit és formátumát, valamint a műszaki szabványokhoz való hozzáférést.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5C8BF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a Miniszterek Tanácsában megtárgyalt királyi rendelettel határozza meg a minimális javíthatósági pontszámot minden olyan termékkategóriára vonatkozóan, amelyet forgalomba hozataluk feltételeként említenek.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Ehhez a királyirendelet-tervezethez a régiókat a környezetvédelemről szóló tárcaközi konferencián keresztül társítják.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Központi Gazdasági Tanács, a Fogyasztói Tanács és a Fenntartható Fejlődés Szövetségi Tanácsa felkérést kapott, hogy nyilvánítson véleményt e királyirendelet-tervezetről.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15F76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AF2741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D618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5.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071E1F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9B9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előírja a termékek forgalomba hozataláért felelős személy arra vonatkozó kötelezettségét, hogy tájékoztatást nyújtson e termékek szoftverkompatibilitásának időtartamáról.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5C954F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a Miniszterek Tanácsában megtárgyalt királyi rendelettel határozza meg az érintett termékek listáját.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CD0C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királyi rendelettel határozza meg a szoftverkompatibilitás időtartamára vonatkozó információk közlésének feltételeit, valamint az információk közlésének formátumát.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király meghatározza azokat a paramétereket is, amelyek lehetővé tették a szoftverkompatibilitás időtartamának meghatározását.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</w:tc>
      </w:tr>
      <w:tr w:rsidR="00080401" w:rsidRPr="00080401" w14:paraId="7299DE1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202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6.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0B4B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369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királyi rendelettel határozza meg a Miniszterek Tanácsában megtárgyalt, a hosszú élettartamra vonatkozó pontszám alá tartozó termékek listáját, a termékkategóriánkénti műszaki szabványokat, amelyek lehetővé teszik az index egyes kritériumaira vonatkozó pontszámok megállapítását, valamint az általános élettartamra vonatkozó pontszám kiszámításának módszerét.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198E9F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királyi rendelettel határozza meg az index közlésének módját, formátumát és a műszaki szabványokhoz való hozzáférést.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25540D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a Miniszterek Tanácsában megtárgyalt királyi rendelettel határozza meg az egyes termékkategóriák esetében elérendő minimális élettartamra vonatkozó pontszámot a forgalomba hozataluk feltételeként.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Ehhez a királyirendelet-tervezethez a régiókat a környezetvédelemről szóló tárcaközi konferencián keresztül társítják.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Központi Gazdasági Tanács, a Fogyasztói Tanács és a Fenntartható Fejlődés Szövetségi Tanácsa felkérést kapott, hogy nyilvánítson véleményt e királyirendelet-tervezetről.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3BA4445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meghatározza a hosszú élettartamra vonatkozó pontszám kritériumát, amely második lépésben kiegészíti a javíthatósági pontszámot.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DF13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4F1A1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ABC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7.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A1FD2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230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a 8., 9., 10. és 11. cikkben rendelkezik a személyes adatok kezeléséről.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FA3C10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32EF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8.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23DA8F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131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a termékek gyártóinak, importőreinek, forgalmazóinak és értékesítőinek felelősségét határozza meg azáltal, hogy megkülönbözteti az információszolgáltatást az információterjesztéstől.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48E8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1DC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9.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8EBBE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F4A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meghatározza a törvényjavaslat ellenőrzéséért felelős ellenőröket.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Ezek a Szövetségi Közegészségügyi, Élelmiszerlánc-biztonsági és Környezetvédelmi Szolgálat Környezetvédelmi Főigazgatóságának ellenőrzési szolgálatai.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3F182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királyi rendelettel határozza meg az ellenőrzésre vonatkozó műszaki rendelkezéseket, többek között az online értékesített termékek ellenőrzésével összefüggésben.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2095C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B730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10.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3372E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4B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a 4. cikk (4) bekezdése és a 6. cikk (4) bekezdése szerinti büntetőjogi szankciórendszert tartalmazza.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E7F6B4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39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11.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26040B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CA8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a büntetőjogi szankciókra alkalmazandó eljárási szabályokat tartalmazza.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717AF5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F4B4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12.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EA16E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F9B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a törvényjavaslat közigazgatási szankciórendszerét tartalmazza.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FBADDE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CD31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13.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B59F02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03B9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cikk a törvény hatálybalépésével foglalkozik, különösen hat hónappal a Belga Hivatalos Közlönyben való kihirdetését követően.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49F0B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11F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0A51C2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98F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 KÖVETKEZŐKRŐL HATÁROZTUNK ÉS A KÖVETKEZŐKET RENDELJÜK EL: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66F4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22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449058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C4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Az éghajlat-, a környezetvédelmi, a fenntartható fejlődésért és a zöld megállapodásért felelős miniszter felelős azért, hogy az alábbi törvényjavaslatot benyújtsa a Képviselőháznak a nevünkben: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95015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9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6B404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0536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I. FEJEZET – Bevezető rendelkezések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334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925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516A9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F6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1.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6162BDF" w14:textId="77777777" w:rsidTr="00080401">
        <w:trPr>
          <w:trHeight w:val="57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20A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törvény az Alkotmány 74. cikkében említett tárgyra vonatkozik.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90569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E077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2.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F2526A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9ED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következő definíciókat kell alkalmazni ezen törvény alkalmazása során: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18A2F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E30465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„javítási pontszám”: a termék szétszerelésének és javításának megvalósíthatóságát értékelő pontszám.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D07D11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 „szoftverkompatibilitás”: tájékoztatás arról, hogy a gyártó vagy a szállító mennyi ideig támogatja és frissíti az operációs rendszert vagy szoftvert annak érdekében, hogy biztosítsa a termék körültekintő és észszerű felhasználó általi szokásos használatát.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FEE77B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 „hosszú élettartamra vonatkozó pontszám”: a termék robusztusságát és megbízhatóságát értékelő pontszám.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737F3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 „műszaki szabvány”: a termék műszaki jellemzőire vonatkozó szabvány az egyes kritériumokra vonatkozó pontszám kiszámításához.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BE47C1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 „karbantartási kézikönyv”: oktatási dokumentum, amelynek célja, hogy elmagyarázza és megkönnyítse a termék karbantartását.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790B5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(6) „javítási kézikönyv”: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oktatási dokumentum, amelynek célja, hogy elmagyarázza és megkönnyítse a termék javítását.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B40C8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(7) „a termék megbízhatósága”: kifejezi annak valószínűségét, hogy egy termék egy adott időszak alatt ellátja a kívánt funkcióit.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5152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(8) „a termék robusztussága”: kifejezi a termék szilárdságát és erejét.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9CF948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(9) „forgalomba hozatal”:</w:t>
            </w:r>
            <w:r>
              <w:rPr>
                <w:sz w:val="24"/>
                <w:rFonts w:ascii="Times New Roman" w:hAnsi="Times New Roman"/>
              </w:rPr>
              <w:t xml:space="preserve">  </w:t>
            </w:r>
            <w:r>
              <w:rPr>
                <w:sz w:val="24"/>
                <w:rFonts w:ascii="Times New Roman" w:hAnsi="Times New Roman"/>
              </w:rPr>
              <w:t xml:space="preserve">harmadik felek részére történő bevezetés, behozatal vagy eladásra való tartás vagy elérhetővé tétel, eladásra kínálás. eladás, bérbeadás, lízing vagy ellenszolgáltatás fejében vagy ingyenesen történő engedményezés, beleértve az online értékesítést is.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B8244E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(10):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„a forgalomba hozatalért felelős”: a javíthatósági, a hosszú élettartamra vonatkozó pontszám és a szoftverkompatibilitás időtartamára vonatkozó tájékoztatási kötelezettség hatálya alá tartozó termékek gyártói, importőrei, forgalmazói és értékesítői.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F9B2D4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D94F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8CC7A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97EF23" w14:textId="77777777" w:rsidTr="00080401">
        <w:trPr>
          <w:trHeight w:val="48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DF14" w14:textId="74ABF0C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4"/>
                <w:shd w:val="clear" w:color="auto" w:fill="FFFFFF"/>
                <w:rStyle w:val="normaltextrun"/>
                <w:b/>
                <w:rFonts w:ascii="Times New Roman" w:hAnsi="Times New Roman"/>
              </w:rPr>
              <w:t xml:space="preserve">II. FEJEZET – Általános rendelkezések</w:t>
            </w:r>
            <w:r>
              <w:rPr>
                <w:color w:val="000000"/>
                <w:sz w:val="24"/>
                <w:shd w:val="clear" w:color="auto" w:fill="FFFFFF"/>
                <w:rStyle w:val="eop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8925D4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DE8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538D7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3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3.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E5F231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F03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1B1E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 törvény célja a környezet védelme egy javíthatósági pontszám bevezetésével, amelyet a hosszú élettartamra vonatkozó pontszámmal, valamint a termékek szoftverkompatibilitásáról szóló tájékoztatással egészítenek ki a javítás elősegítése és a termékek használatára vonatkozó időtartam növelése érdekében.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Az e törvény hatálya alá tartozó termékek csak az újként értékesített termékeket foglalják magukban, a használt termékeket nem.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7876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1FA3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36C3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1564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III. FEJEZET – Javíthatósági pontszám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2E45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143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FCDCFB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E5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4.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4D9F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73F2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4. cikk (2) bekezdésében említett termékek javíthatósági pontszámát a következő kritériumok alapján kell kiszámítani: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C2DBB0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rendelkezésre álló műszaki információk, karbantartási és javítási kézikönyvek.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16D579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Az érintett termék könnyű szétszerelése.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AC6C18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pótalkatrészek rendelkezésre állása és szállítási ideje.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5FA5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pótalkatrészek ára.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FE076F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termékhez kapcsolódó egyéb kritériumok.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141F8E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AF61E0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EEA5B8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2.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a Miniszterek Tanácsában megtárgyalt királyi rendelettel határozza meg a javíthatósági pontszám alá tartozó termékek listáját, valamint termékkategóriánként meghatározza a fent említett kritériumok pontszámainak megállapítására vonatkozó műszaki szabványokat.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Meghatározza az általános javíthatósági pontszám kiszámításának módját is.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FC6A00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3.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királyi rendelettel határozza meg a javíthatósági pontszám közlésének módját, valamint a közlés formátumát.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Meghatározza továbbá a technikai szabványokhoz való hozzáférést és a pontszám kiszámítását.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1F6707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4.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a Miniszterek Tanácsában megtárgyalt királyi rendelettel határozza meg az e törvény 4. cikkének (2) bekezdésében meghatározott termékkategóriák tekintetében elérendő minimális javíthatósági pontszámot a forgalomba hozatal feltételeként.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Ehhez a királyirendelet-tervezethez a régiókat a környezetvédelemről szóló tárcaközi konferencián keresztül társítják.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Központi Gazdasági Tanács, a Fogyasztói Tanács és a Fenntartható Fejlődés Szövetségi Tanácsa felkérést kapott, hogy nyilvánítson véleményt e királyirendelet-tervezetről.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645F8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A8353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8AA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5BA228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DE94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IV. FEJEZET – Szoftverkompatibilitási információk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71089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B6C9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F3F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A3B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5.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27115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AEC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Az 5. cikk (2) bekezdésében említett termékek esetében a forgalomba hozatalért felelős személy tájékoztatja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végfelhasználót a szoftverkompatibilitás időtartamáról.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A597A2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meglévő jellemzők karbantartásának értékelése a termék vásárlásakor figyelembe veszi az idő miatti kopást, amikor a terméket a felhasználó körültekintően és gondosan használja.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5AF37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F4F33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922C6D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633F63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2.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a Miniszterek Tanácsában megtárgyalt királyi rendelettel határozza meg a szoftverkompatibilitás időtartamára vonatkozó tájékoztatási kötelezettség hatálya alá tartozó termékek listáját.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727A2F7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47CCA7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3.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királyi rendelettel határozza meg a szoftverkompatibilitással kapcsolatos információk közlésének módját, valamint az információ közlésének formátumát.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Meghatározza továbbá a paraméterek hozzáférhetőségét, amelyek lehetővé tették a szoftverkompatibilitás időtartamának meghatározását.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7009B18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EF28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60287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BE294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V. FEJEZET – A hosszú élettartamra vonatkozó pontszám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116C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E7D1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D8F54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8E0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6.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D3F0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915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hosszú élettartamra vonatkozó pontszám, amely kiegészíti a 6. cikk (2) bekezdésében említett termékekre vonatkozó, a 4. cikkben említett javíthatósági pontszámot, amelyet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az egyes termékkategóriák egyedi megbízhatósága és robusztussága alapján számítottak ki.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C4DD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2.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a Miniszterek Tanácsában megtárgyalt királyi rendelettel határozza meg a hosszú élettartamú termékek listáját, valamint a pontszám megállapításának technikai előírásait és a pontszám kiszámításának módját.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769B8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3.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királyi rendelettel határozza meg a hosszú élettartamra vonatkozó pontszám közlésének módját és a közlés formátumát.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Meghatározza továbbá az információk hozzáférhetőségét, amelyek lehetővé tették a hosszú élettartamra vonatkozó pontszám meghatározását.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DDF5E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4.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a Miniszterek Tanácsában megtárgyalt királyi rendelettel határozza meg az e törvény 6. cikkének (2) bekezdésében meghatározott termékkategóriák tekintetében elérendő minimális élettartamra vonatkozó pontszámot a forgalomba hozatal feltételeként.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Ehhez a királyirendelet-tervezethez a régiókat a környezetvédelemről szóló tárcaközi konferencián keresztül társítják.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Központi Gazdasági Tanács, a Fogyasztói Tanács és a Fenntartható Fejlődés Szövetségi Tanácsa felkérést kapott, hogy nyilvánítson véleményt e királyirendelet-tervezetről.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644A7C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6D0F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b/>
                <w:rFonts w:ascii="Times New Roman" w:hAnsi="Times New Roman"/>
              </w:rPr>
              <w:t xml:space="preserve">VI. fejezet – Adatfeldolgozás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C07B43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BC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B0C16D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9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7. cikk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46A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4D7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Szövetségi Közegészségügyi Szolgálat az egyetlen olyan közszolgálat, amely illetékes és felelős a személyes adatok e törvény 8., 9., 10. és 11. cikke szerinti feldolgozásáért.</w:t>
            </w:r>
            <w:r>
              <w:rPr>
                <w:sz w:val="24"/>
                <w:rFonts w:ascii="Times New Roman" w:hAnsi="Times New Roman"/>
              </w:rPr>
              <w:t xml:space="preserve"> 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A kezelendő személyes adatok megőrzésének maximális időtartama öt év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4F4AE4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06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VII. fejezet – Felelősség</w:t>
            </w:r>
            <w:r>
              <w:rPr>
                <w:rFonts w:ascii="Times New Roman" w:hAnsi="Times New Roman"/>
              </w:rPr>
              <w:t xml:space="preserve"> </w:t>
            </w:r>
          </w:p>
          <w:p w14:paraId="4AE4C20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08C21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DAC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94C3C5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807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8. cikk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0351C5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3605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Az e törvény 4. cikkének (2) bekezdésében, 5. cikkének (2) bekezdésében és 6. cikkének (2) bekezdésében említett termékek gyártói és importőrei felelősek a javíthatósági pontszám, a</w:t>
            </w:r>
            <w:r>
              <w:rPr>
                <w:sz w:val="24"/>
                <w:rFonts w:ascii="Times New Roman" w:hAnsi="Times New Roman"/>
              </w:rPr>
              <w:t xml:space="preserve"> hosszú élettartamra vonatkozó pontszám és a termékek szoftverkompatibilitásának időtartamára vonatkozó információk biztosításáért.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88302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509AA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2.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Az e törvény 4. cikkének (2) bekezdésében, 5. cikkének (2) bekezdésében és 6. cikkének (2) bekezdésében említett termékek eladói és forgalmazói felelősek a javíthatósági pontszám, a hosszú élettartamra</w:t>
            </w:r>
            <w:r>
              <w:rPr>
                <w:sz w:val="24"/>
                <w:rFonts w:ascii="Times New Roman" w:hAnsi="Times New Roman"/>
              </w:rPr>
              <w:t xml:space="preserve"> vonatkozó pontszám és a termékek szoftverkompatibilitására vonatkozó információk közléséért.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EEBE2B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Ők a műszaki információkhoz való hozzáférésért is felelősek.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65031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228710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D274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707A33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407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VIII. fejezet – Ellenőrzés és szankciók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E1657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B75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85BB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1A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9.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A8AA01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3120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E törvény végrehajtását a Szövetségi Közegészségügyi, Élelmiszerlánc-biztonsági és Környezetvédelmi Szolgálat Környezetvédelmi Főigazgatóságának ellenőrzési osztálya felügyeli.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B97B09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55EA2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2.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király miniszteri rendelettel határozza meg az ellenőrzésre vonatkozó műszaki rendelkezéseket, beleértve az online értékesített termékek ellenőrzésével kapcsolatos technikai rendelkezéseket, beleértve a közigazgatási bírságok feltételeit is.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22DF77F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B4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C4DE62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F28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10.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10EFB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486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100 eurótól 100 000 euróig terjedő büntetőjogi bírsággal büntetendő minden olyan személy, aki megsérti e törvény 4. cikkének (4) bekezdését és 6. cikkének (4) bekezdését.</w:t>
            </w:r>
            <w:r>
              <w:rPr>
                <w:sz w:val="24"/>
                <w:rFonts w:ascii="Segoe UI" w:hAnsi="Segoe UI"/>
              </w:rPr>
              <w:t xml:space="preserve">  </w:t>
            </w:r>
          </w:p>
          <w:p w14:paraId="7E302A8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Az 1. §-ban előírt büntetőjogi bírságokat a büntetőjogi bírságok pótdíjáról szóló, 1952. március 5-i törvénnyel összhangban növelni kell.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8DCBBB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1AFFC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1D33F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02598D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2.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környezetvédelem érdekében a büntetőbíró a következő intézkedéseket rendelheti el: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D64DA13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a bűncselekmény tárgyát képező termék behozatalának tilalma;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(2) a bűncselekmény tárgyát képező termék forgalomból való kivonása;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(3) az ítélet kihirdetése az általa meghatározott módon és az elítélt személy költségére.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E2B2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76F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11.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324B8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0BA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Az alapszabály szerinti vagy szerződéses alkalmazottaknak a király által e törvény 9. cikkének (2) bekezdésével összhangban kinevezett csapata elküldi a jogsértést megállapító jegyzőkönyvet.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F14ED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0EE977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2.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Az ügyész dönt arról, hogy büntetőeljárást indít-e vagy sem.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büntetőeljárás kizárja a közigazgatási bírság kiszabását, még akkor is, ha felmentő ítélet zárja le az eljárást.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4C35314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6FB400" w14:textId="77777777" w:rsidR="00880EA5" w:rsidRDefault="00080401" w:rsidP="00080401">
            <w:pPr>
              <w:spacing w:after="0" w:line="240" w:lineRule="auto"/>
              <w:jc w:val="both"/>
              <w:textAlignment w:val="baseline"/>
              <w:rPr>
                <w:sz w:val="24"/>
                <w:rFonts w:ascii="Segoe UI" w:hAnsi="Segoe UI"/>
              </w:rPr>
            </w:pPr>
            <w:r>
              <w:rPr>
                <w:sz w:val="24"/>
                <w:rFonts w:ascii="Segoe UI" w:hAnsi="Segoe UI"/>
              </w:rPr>
              <w:t xml:space="preserve">3.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Az ügyésznek a jegyzőkönyv kézhezvételétől számított három hónap áll rendelkezésére, hogy döntéséről a király által e törvény 9. cikkének (2) bekezdésével összhangban kijelölt kormánytisztviselőt értesítse.</w:t>
            </w:r>
          </w:p>
          <w:p w14:paraId="2FB05F77" w14:textId="09083F43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Abban az esetben, ha az ügyész lemond a büntetőeljárásról, vagy döntését az előírt határidőn belül nem közli, a király által e törvény 9. cikkének (2) bekezdésével összhangban kijelölt kormánytisztviselő, az általa megállapított feltételeknek megfelelően, az érintettnek a védekezésre alkalmassá válását követően dönt arról, hogy a bűncselekmény alapján közigazgatási bírságot kell-e javasolni.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4B169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4. §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tisztviselő közigazgatási bírságot javasolhat az elkövetőnek, miután lehetőséget biztosított az érintettnek védekezési eszközeinek bemutatására.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Ha nem nyújtanak be közigazgatási bírságra irányuló javaslatot, a jegyzőkönyvet továbbítani kell az ügyésznek.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Közigazgatási bírság kiszabására irányuló javaslat esetén a jegyzőkönyv egy példányát tájékoztatás céljából meg kell küldeni az ügyésznek.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7ADBDA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52592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7609D0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ACF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12.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03EC49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136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1.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§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E törvény 10. cikkének betartása ellenére 100 és 30 000 euró közötti közigazgatási bírságot kell kiszabni a 4., 5. és 6. cikk megsértése esetén.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</w:t>
            </w:r>
          </w:p>
          <w:p w14:paraId="3018CFF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42EF6BF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60E64E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2. §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A büntetőjogi bírságok pótdíjáról szóló, 1952. március 5-i törvény 1. cikkének (1) bekezdésében említett pótdíjakat alkalmazni kell </w:t>
            </w:r>
            <w:r>
              <w:rPr>
                <w:color w:val="000000"/>
                <w:sz w:val="24"/>
                <w:rFonts w:ascii="Segoe UI" w:hAnsi="Segoe UI"/>
              </w:rPr>
              <w:t xml:space="preserve">az e cikk</w:t>
            </w:r>
            <w:r>
              <w:rPr>
                <w:color w:val="000000"/>
                <w:sz w:val="24"/>
                <w:rFonts w:ascii="Segoe UI" w:hAnsi="Segoe UI"/>
              </w:rPr>
              <w:t xml:space="preserve"> 1. §-a szerinti közigazgatási bírságokra is.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 </w:t>
            </w:r>
          </w:p>
          <w:p w14:paraId="2142FC1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1CED5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3. §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A közigazgatási bírságok kezelése és kibocsátása a Szövetségi Közegészségügyi, Élelmiszerlánc-biztonsági és Környezetvédelmi Szolgálat jogi szolgálatának kötelezettsége.</w:t>
            </w:r>
            <w:r>
              <w:rPr>
                <w:color w:val="000000"/>
                <w:sz w:val="24"/>
                <w:rFonts w:ascii="Segoe UI" w:hAnsi="Segoe UI"/>
              </w:rPr>
              <w:t xml:space="preserve"> </w:t>
            </w:r>
          </w:p>
          <w:p w14:paraId="16F0D1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FB2C7E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8AC532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4. §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A 9. cikk (1) bekezdésében említett szervezeti egységek által készített jegyzőkönyvek eredményeként kiszabott közigazgatási bírságokat a nyersanyagokra és termékekre vonatkozó költségvetési alap részére kell kifizetni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05FE84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C25EF0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2FF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973EE5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AB8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IX. FEJEZET – Záró rendelkezések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CBD48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BAEC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48C1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E12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13. cikk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D17A4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D5F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Ez a törvény hat hónappal a Belga Hivatalos Közlönyben való kihirdetését követően lép hatályba.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3BD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0B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49F71F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BB13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Kelt: Brüsszelben, 2022. ...-án/én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AD46D3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5B4C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Király nevében: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2E2A157" w14:textId="77777777" w:rsidTr="00080401">
        <w:trPr>
          <w:trHeight w:val="2235"/>
        </w:trPr>
        <w:tc>
          <w:tcPr>
            <w:tcW w:w="9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1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382747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B9F2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994EC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70E5B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8287B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40D89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FÜLÖP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6614E1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DFCB61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1C2278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72BB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Az éghajlat-, a környezetvédelmi, a fenntartható fejlődésért és a zöld megállapodásért felelős miniszter,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914EC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D34E0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5B23BCE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31AD4426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5F1C3860" w14:textId="77777777" w:rsidR="00080401" w:rsidRDefault="00080401" w:rsidP="0008040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8AB9B28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Z. KHATTABI</w:t>
            </w:r>
            <w:r>
              <w:rPr>
                <w:rStyle w:val="eop"/>
              </w:rPr>
              <w:t xml:space="preserve"> </w:t>
            </w:r>
          </w:p>
          <w:p w14:paraId="0343013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89A0E68" w14:textId="77777777" w:rsidR="006E076C" w:rsidRDefault="006E076C"/>
    <w:sectPr w:rsidR="006E076C" w:rsidSect="001B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1"/>
    <w:rsid w:val="00080401"/>
    <w:rsid w:val="001B64FB"/>
    <w:rsid w:val="005770C7"/>
    <w:rsid w:val="006E076C"/>
    <w:rsid w:val="007B4C8F"/>
    <w:rsid w:val="008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86F"/>
  <w15:chartTrackingRefBased/>
  <w15:docId w15:val="{6A6BA2B3-5A85-40BE-8A42-DE457D1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080401"/>
  </w:style>
  <w:style w:type="character" w:customStyle="1" w:styleId="eop">
    <w:name w:val="eop"/>
    <w:basedOn w:val="DefaultParagraphFont"/>
    <w:rsid w:val="00080401"/>
  </w:style>
  <w:style w:type="character" w:customStyle="1" w:styleId="scxw201559074">
    <w:name w:val="scxw201559074"/>
    <w:basedOn w:val="DefaultParagraphFont"/>
    <w:rsid w:val="0008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Echakafi (SPF Santé Publique - FOD Volksgezondheid)</dc:creator>
  <cp:keywords/>
  <dc:description/>
  <cp:lastModifiedBy>Dimitris Dimitriadis</cp:lastModifiedBy>
  <cp:revision>3</cp:revision>
  <dcterms:created xsi:type="dcterms:W3CDTF">2022-09-21T09:27:00Z</dcterms:created>
  <dcterms:modified xsi:type="dcterms:W3CDTF">2022-09-26T11:32:00Z</dcterms:modified>
</cp:coreProperties>
</file>