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80401" w:rsidRPr="00080401" w14:paraId="3EF4E0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1036" w14:textId="1470ADA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caps/>
                <w:sz w:val="24"/>
                <w:rFonts w:ascii="Times New Roman" w:hAnsi="Times New Roman"/>
              </w:rPr>
              <w:t xml:space="preserve">ZVEZNA JAVNA SLUŽBA ZA JAVNO ZDRAVJE</w:t>
            </w:r>
          </w:p>
        </w:tc>
      </w:tr>
      <w:tr w:rsidR="00080401" w:rsidRPr="00080401" w14:paraId="488AE5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416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Predlog zakona o uvedbi ocene popravljivosti in trajnosti ter razširjanju informacij o obdobju združljivosti programske opreme proizvodov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7A4BB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BF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87188A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B367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FILIP,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E6A3CE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BELGIJCEV,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B0270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POZDRAVLJAM vse sedanje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CD592E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in prihodnje rodove.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ECBB64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4354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Na podlagi predloga ministrice za podnebje, okolje, trajnostni razvoj in zeleni dogovor –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7CE85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E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3553BC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5F92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POVZETEK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F63E4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651FB7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Namen tega predloga zakona je spodbuditi popravila in podaljšati življenjsko dobo proizvodov ter tako omejiti njihov vpliv na okolje.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Predlog zakona določa tudi pravno podlago za oblikovanje ocene popravljivosti, ki bo dopolnjena z oceno trajnosti, obveznost zagotavljanja informacij o obdobju združljivosti programske opreme in izvedbene odredbe, ki bodo sprejete v zvezi s tem.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228D3E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3066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E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AF46B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864A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OBRAZLOŽITEV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A490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4D893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Dame in gospodje,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494FDD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DAB6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cilj tega osnutka je spodbuditi popravila in podaljšati življenjsko dobo proizvodov ter tako omejiti njihov vpliv na okolje.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 ta namen se z osnutkom uvajata ocena popravljivosti in ocena trajnosti.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Ti oceni se izračunata na podlagi objektivnih meril, ki omogočajo ocenjevanje popravljivosti oziroma trajnosti proizvodov.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 osnutku je določena tudi obveznost obveščanja o obdobju združljivosti programske opreme.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 skladu s to obveznostjo je treba končne uporabnike obvestiti o obdobju, v katerem bo proizvod prenašal zaporedne posodobitve, ki so bistvene za njegovo pravilno delovanje.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BA4FD2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Namen uvedbe ocene popravljivosti, ki bo naknadno dopolnjena z oceno trajnosti, in obveznosti zagotavljanja informacij o obdobju združljivosti programske opreme je podaljšati življenjsko dobo proizvodov, kar je iz okoljskih razlogov nujno potrebno.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39040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Na belgijski trg vsako leto vstopi približno 160 milijonov električnih in elektronskih naprav, ki tehtajo 245 000 ton.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 ocenah je še vedno v obtoku 420 milijonov enot, od katerih je 87 % še v uporabi.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Ti gospodinjski aparati, ki zajemajo vse od bele tehnike in avdio-video opreme do malih elektronskih naprav, kot so pametni telefoni in prenosni računalniki, imajo precejšen vpliv na okolje.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FFE810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Poleg tega vsako leto nastane približno 120 000 ton odpadne električne in elektronske opreme.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 številka je dejansko podcenjena, ker večina teh odpadkov izgine po kanalih, ki ne vključujejo nobene metode evidentiranja.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Del teh odpadkov se obdela na nezakonit način.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Nekatere izrabljene naprave se celo izvažajo v države, ki nimajo sredstev za recikliranje in v katerih se odpadki odstranjujejo brez nadzora ter škodujejo okolju in zdravju.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S podaljšanjem življenjske dobe se bo torej zmanjšala količina odpadkov.</w:t>
            </w:r>
            <w:r>
              <w:rPr>
                <w:sz w:val="24"/>
                <w:rFonts w:ascii="Times New Roman" w:hAnsi="Times New Roman"/>
              </w:rPr>
              <w:t xml:space="preserve">    </w:t>
            </w:r>
          </w:p>
          <w:p w14:paraId="11A84A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Poleg tega zaradi hitrega odstranjevanja teh proizvodov prihaja do precejšnje izgube surovin.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Približno 14 % odtisa materialov, ki jih belgijska gospodinjstva porabijo kot potrošniško blago, predstavljajo električni aparati.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Pridobivanje surovin z rudarskimi dejavnostmi močno obremenjuje okolje na lokalni ravni.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Posledice teh dejavnosti so hude motnje v ekosistemih ter lokalno onesnaženje vode in tal.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Zaradi vse večjega povpraševanja po surovinah se načrtujejo odprtja novih rudnikov v Evropi.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Povečuje se tudi povpraševanje po obsežnem globokomorskem rudarstvu,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ki bi povzročilo motnje v morskem okolju.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Nekatere od teh surovin se obravnavajo kot kritične, kar pomeni, da so gospodarsko pomembne, vendar se ne nabavljajo iz gospodarskih ali geopolitičnih razlogov.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03169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Seznam kritičnih surovin, ki ga je Evropska komisija prvič pripravila leta 2011, se s posodobitvami daljša.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ogroža energetski prehod in digitalizacijo, ki zahtevata veliko kritičnih surovin, zlasti na področju vzpostavljanja infrastrukture za proizvodnjo in shranjevanje zelene energije (sončni paneli, vetrne turbine in baterije).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ACEB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Proizvodnja električnih aparatov povzroča precejšnje emisije CO</w:t>
            </w:r>
            <w:r>
              <w:rPr>
                <w:sz w:val="24"/>
                <w:vertAlign w:val="subscript"/>
                <w:rFonts w:ascii="Times New Roman" w:hAnsi="Times New Roman"/>
              </w:rPr>
              <w:t xml:space="preserve">2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Približno 16 % ogljičnega odtisa, povezanega s porabo potrošniškega blaga v belgijskih gospodinjstvih, prihaja iz električnih aparatov.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Letno se zaradi proizvodnje električnih aparatov sprosti približno 3 000 000 ton emisij CO</w:t>
            </w:r>
            <w:r>
              <w:rPr>
                <w:sz w:val="24"/>
                <w:vertAlign w:val="subscript"/>
                <w:rFonts w:ascii="Times New Roman" w:hAnsi="Times New Roman"/>
              </w:rPr>
              <w:t xml:space="preserve">2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Daljša življenjska doba aparatov torej vodi do zmanjšanja emisij CO</w:t>
            </w:r>
            <w:r>
              <w:rPr>
                <w:sz w:val="24"/>
                <w:vertAlign w:val="subscript"/>
                <w:rFonts w:ascii="Times New Roman" w:hAnsi="Times New Roman"/>
              </w:rPr>
              <w:t xml:space="preserve">2</w:t>
            </w:r>
            <w:r>
              <w:rPr>
                <w:sz w:val="24"/>
                <w:rFonts w:ascii="Times New Roman" w:hAnsi="Times New Roman"/>
              </w:rPr>
              <w:t xml:space="preserve"> v celotni proizvodni verigi.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ED71E5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Iz socialno-ekonomskih razlogov je tudi koristneje, da se na trg umeščajo lažje popravljive naprave.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Medtem ko se nova oprema večinoma proizvaja zunaj Belgije, popravila ustvarjajo delovna mesta na lokalni ravni.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Sektor popravil ima že zdaj pomembno vlogo.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Belgijci za popravilo gospodinjskih aparatov v povprečju porabijo 10 EUR na leto.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Pri tem se upošteva le del popravil, v zvezi s katerimi obstajajo uradni podatki.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Ocene kažejo, da se v praksi približno polovica popravil izvede v neformalnem okolju.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Daljša življenjska doba zmanjšuje stroške življenjskega cikla naprav.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je strošek, pri katerem se upoštevajo nakupna cena in življenjska doba, pa tudi stroški vzdrževanja in popravil.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Študije primerov v zvezi s sesalniki in pralnimi stroji kažejo, da je popravilo aparata pogosto bolj ekonomično kot zamenjava aparata z novim.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Aparati z daljšo življenjsko dobo ustvarjajo tudi večji prodajni trg rabljenih proizvodov.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Skoraj 40 % gospodinjstev ima v lasti enega ali več rabljenih aparatov.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10 % aparatov je rabljenih.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21 % rabljenih električnih aparatov nadomesti novega.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zmanjšuje okoljsko škodo, poleg tega pa omogoča ponudbo aparatov po nižji ceni, pri čemer so kakovostni aparati dostopni več ljudem.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B36B3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 zakonodajna pobuda je del zveznega akcijskega načrta za krožno gospodarstvo, ki ga je Svet ministrov sprejel 17. decembra 2021.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Pobudo je v veliki meri navdihnila Francija, ki je 1. januarja 2021 v okviru zakona o preprečevanju nastajanja odpadkov in krožnem gospodarstvu, sprejetega 10. februarja 2020, uvedla oceno popravljivosti in obveznost zagotavljanja informacij o združljivosti programske opreme.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7263BA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 zakonodajna pobuda torej prispeva k varstvu okolja, saj izpostavlja zlasti popravljivost in trajnost proizvodov.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Na ta način bo končni uporabnik bolje obveščen o popravljivosti in trajnosti proizvoda, ki ga želi kupiti.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Poleg tega je v skladu z zakonodajno pobudo dajanje zadevnih proizvodov na trg pogojeno z dodelitvijo določene minimalne ocene.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0CA975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Navedeni predlog zakona je torej orodje za boj proti prezgodnji zastarelosti in prezgodnjemu odstranjevanju proizvodov ter za ohranjanje naravnih virov, potrebnih za njihovo proizvodnjo.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1C7DC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Področje uporabe teh ukrepov se bo postopoma povečevalo.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Kategorije zadevnih proizvodov bodo opredeljene in po potrebi dopolnjene v kraljevih uredbah, ki jih bo obravnaval Svet ministrov.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123C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 kraljevo uredbo bo urejeno tudi sporočanje ocen in informacij o združljivosti programske opreme.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je upravičeno z organizacijskega vidika.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Postopno delo zagotavlja izvedljivost teh ukrepov v praksi, saj ti ukrepi zahtevajo določen čas in prilagoditve.</w:t>
            </w:r>
            <w:r>
              <w:rPr>
                <w:sz w:val="24"/>
                <w:rFonts w:ascii="Times New Roman" w:hAnsi="Times New Roman"/>
              </w:rPr>
              <w:t xml:space="preserve">   </w:t>
            </w:r>
          </w:p>
        </w:tc>
      </w:tr>
      <w:tr w:rsidR="00080401" w:rsidRPr="00080401" w14:paraId="6E75A05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9A4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47C2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704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RAZLAGA POSAMEZNIH ČLENOV</w:t>
            </w: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8C7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E9F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Člen 1</w:t>
            </w:r>
            <w:r>
              <w:rPr>
                <w:sz w:val="19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6B68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704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je opredeljena ustavna podlaga zadevnih pristojnosti.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10BBE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11E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AE36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8D1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 člen vsebuje opredelitve posebnih pojmov, ki se uporabljajo v zakonu in njegovih uredbah.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66F30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3EA7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3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9DD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5F6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je določen namen zakona.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1A44E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4332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4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64E96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1B8B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so določena merila, ki jih je treba upoštevati pri določanju ocene popravljivosti.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7A929A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uredbi, ki jo obravnava Svet ministrov, določi seznam proizvodov, ki jim je treba dodeliti oceno popravljivosti, tehnične standarde za posamezne kategorije proizvodov, ki omogočajo točkovanje v okviru posameznih meril za ocenjevanje, in metodo izračuna skupne ocene popravljivosti.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B034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 določi načine sporočanja in obliko ocene ter dostopnost tehničnih standardov.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5C8BF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uredbi, ki jo obravnava Svet ministrov, določi minimalno oceno popravljivosti, ki jo je treba doseči v zvezi s posameznimi kategorijami proizvodov in predstavlja pogoj za dajanje proizvodov na trg.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Regije so z navedenim osnutkom kraljeve uredbe povezane prek Medministrske konference o okolju.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 mnenje o tem osnutku kraljeve uredbe so bili zaprošeni Osrednji ekonomski svet, Potrošniški svet in Zvezni svet za trajnostni razvoj.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15F76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AF2741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D618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071E1F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9B9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je določeno, da mora oseba, odgovorna za dajanje proizvodov na trg, zagotoviti informacije o obdobju združljivosti programske opreme teh proizvodov.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5C954F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uredbi, ki jo obravnava Svet ministrov, določi seznam zadevnih proizvodov.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CD0C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 določi način sporočanja informacij o obdobju združljivosti programske opreme in obliko, v kateri je treba sporočiti te informacije.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Opredeli tudi dostopnost parametrov, ki se uporabljajo za določanje obdobja združljivosti programske opreme.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</w:tc>
      </w:tr>
      <w:tr w:rsidR="00080401" w:rsidRPr="00080401" w14:paraId="7299DE1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202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0B4B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369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uredbi, ki jo obravnava Svet ministrov, določi seznam proizvodov, ki jim je treba dodeliti oceno trajnosti, tehnične standarde za posamezne kategorije proizvodov, ki omogočajo točkovanje v okviru posameznih meril za ocenjevanje, in metodo izračuna skupne ocene trajnosti.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198E9F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 določi načine sporočanja in obliko ocene ter dostopnost tehničnih standardov.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25540D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uredbi, ki jo obravnava Svet ministrov, določi minimalno oceno trajnosti, ki jo je treba doseči v zvezi s posameznimi kategorijami proizvodov in predstavlja pogoj za dajanje proizvodov na trg.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Regije so z navedenim osnutkom kraljeve uredbe povezane prek Medministrske konference o okolju.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 mnenje o tem osnutku kraljeve uredbe so bili zaprošeni Osrednji ekonomski svet, Potrošniški svet in Zvezni svet za trajnostni razvoj.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3BA4445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je določeno merilo, na katerem temelji ocena trajnosti, ki bo v prihodnje dopolnila oceno popravljivosti.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DF13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4F1A1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ABC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Člen 7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A1FD2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230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 člen ureja obdelavo osebnih podatkov iz členov 8, 9, 10 in 11.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FA3C10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32EF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Člen 8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23DA8F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131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so določene odgovornosti proizvajalcev, uvoznikov, distributerjev in prodajalcev proizvodov z razlikovanjem med zagotavljanjem informacij in razširjanjem informacij.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48E8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1DC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Člen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8EBBE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F4A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so določeni inšpektorji, pristojni za nadzor tega predloga zakona.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Gre za inšpekcijske službe Generalnega direktorata za okolje Zvezne službe za javno zdravje, varnost prehranske verige in okolje.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3F182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Kralj v kraljevi uredbi določi tehnične določbe v zvezi z nadzorom, tudi v zvezi z inšpekcijskimi pregledi proizvodov, ki se prodajajo prek spleta.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2095C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B730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Člen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3372E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4B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so določene kazenske sankcije za kršitve členov 4(4) in 6(4).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E7F6B4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39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Člen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26040B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CA8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 člen vsebuje postopkovna pravila glede uporabe kazenskih sankcij.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717AF5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F4B4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Člen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EA16E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F9B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so določene upravne kazni za kršitve določb predloga zakona.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FBADDE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CD31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Člen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B59F02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03B9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tem členu je določen začetek veljavnosti zakona, in sicer šest mesecev po objavi v belgijskem uradnem listu.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49F0B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11F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0A51C2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98F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ODREJAM NASLEDNJE: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66F4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22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449058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C4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Ministrica za podnebje, okolje, trajnostni razvoj in zeleni dogovor v imenu kralja poslanski zbornici predstavlja naslednji predlog zakona: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95015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9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6B404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0536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POGLAVJE I – Uvodne določbe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334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925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516A9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F6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6162BDF" w14:textId="77777777" w:rsidTr="00080401">
        <w:trPr>
          <w:trHeight w:val="57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20A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 zakon ureja področje iz člena 74 Ustave.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90569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E077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F2526A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9ED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Za namene tega zakona se uporabljajo naslednje opredelitve pojmov: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18A2F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E30465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„ocena popravljivosti“: ocena izvedljivosti razstavljanja in popravila proizvoda;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D07D11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 „združljivost programske opreme“: informacije o obdobju, v katerem proizvajalec ali dobavitelj podpira in posodablja operacijski sistem ali programsko opremo, kar zagotavlja, da lahko preudaren in razumen uporabnik proizvod normalno uporablja;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FEE77B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 „ocena trajnosti“: ocena trpežnosti in zanesljivosti proizvoda;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737F3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 „tehnični standard“: standard glede tehničnih značilnosti proizvoda, na katerem temelji izračun ocene v okviru posameznih meril;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BE47C1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 „priročnik za vzdrževanje“: izobraževalni dokument, namenjen zagotavljanju pojasnil in olajšanju vzdrževanja proizvoda;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790B5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(6) „priročnik za popravila“: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izobraževalni dokument, namenjen zagotavljanju pojasnil in olajšanju popravila proizvoda;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B40C8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(7) „zanesljivost proizvoda“: verjetnost, da bo proizvod v določenem časovnem obdobju opravljal predvidene funkcije;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5152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(8) „trpežnost proizvoda“: trdnost in moč proizvoda;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9CF948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(9) „dajanje na trg“:</w:t>
            </w:r>
            <w:r>
              <w:rPr>
                <w:sz w:val="24"/>
                <w:rFonts w:ascii="Times New Roman" w:hAnsi="Times New Roman"/>
              </w:rPr>
              <w:t xml:space="preserve">  </w:t>
            </w:r>
            <w:r>
              <w:rPr>
                <w:sz w:val="24"/>
                <w:rFonts w:ascii="Times New Roman" w:hAnsi="Times New Roman"/>
              </w:rPr>
              <w:t xml:space="preserve">uvajanje, uvoz ali posedovanje za prodajo ali dajanje na voljo tretjim stranem, ponujanje za prodajo, prodaja, najem, zakup ali prenos v zameno za plačilo ali brezplačno, vključno s spletno prodajo;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B8244E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(10):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„osebe, odgovorne za dajanje v promet“: proizvajalci, uvozniki, distributerji in prodajalci proizvodov, ki jim je treba dodeliti oceno popravljivosti in oceno trajnosti ter v zvezi s katerimi se uporablja obveznost zagotavljanja informacij o obdobju združljivosti programske opreme.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F9B2D4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D94F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8CC7A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97EF23" w14:textId="77777777" w:rsidTr="00080401">
        <w:trPr>
          <w:trHeight w:val="48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DF14" w14:textId="74ABF0C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4"/>
                <w:shd w:val="clear" w:color="auto" w:fill="FFFFFF"/>
                <w:rStyle w:val="normaltextrun"/>
                <w:b/>
                <w:rFonts w:ascii="Times New Roman" w:hAnsi="Times New Roman"/>
              </w:rPr>
              <w:t xml:space="preserve">POGLAVJE II – Splošne določbe</w:t>
            </w:r>
            <w:r>
              <w:rPr>
                <w:color w:val="000000"/>
                <w:sz w:val="24"/>
                <w:shd w:val="clear" w:color="auto" w:fill="FFFFFF"/>
                <w:rStyle w:val="eop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8925D4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DE8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538D7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3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E5F231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F03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1B1E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Cilj tega zakona je obvarovati okolje z uvedbo ocene popravljivosti, ki bo dopolnjena z oceno trajnosti, ter z obveščanjem o združljivosti programske opreme proizvodov z namenom spodbujanja njihovih popravil in podaljšanja obdobja njihove uporabe.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Proizvodi, ki jih zajema ta zakon, so novi proizvodi, ki se prodajajo, pri čemer so rabljeni proizvodi izključeni.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7876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1FA3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36C3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1564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Poglavje III – Ocena popravljivosti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2E45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143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FCDCFB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E5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4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4D9F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73F2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Proizvodom iz člena 4(2) se dodeli ocena popravljivosti, izračunana na podlagi naslednjih meril: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C2DBB0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razpoložljivost tehničnih informacij ter priročnikov za vzdrževanje in popravila;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16D579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enostavnost razstavitve proizvoda;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AC6C18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razpoložljivost rezervnih delov na trgu in njihov dobavni rok;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5FA5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cena rezervnih delov;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FE076F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druga merila, ki so posebej povezana s proizvodom.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141F8E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AF61E0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EEA5B8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kraljevi uredbi, ki jo obravnava Svet ministrov, določi seznam proizvodov, ki jim je treba dodeliti oceno popravljivosti, in tehnične standarde za posamezne kategorije proizvodov, namenjene točkovanju v okviru posameznih meril, navedenih zgoraj.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V njej določi tudi metodo za izračun skupne ocene popravljivosti.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FC6A00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kraljevi uredbi določi način sporočanja in ocene popravljivosti in obliko, v kateri se ocena sporoči.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V njej določi tudi dostopnost tehničnih standardov in izračun ocene.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1F6707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kraljevi uredbi, ki jo obravnava Svet ministrov, določi minimalno oceno popravljivosti, ki jo je treba doseči v zvezi s posameznimi kategorijami proizvodov iz člena 4(2) tega zakona in predstavlja pogoj za dajanje proizvodov na trg.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Regije so z navedenim osnutkom kraljeve uredbe povezane prek Medministrske konference o okolju.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Za mnenje o tem osnutku kraljeve uredbe so bili zaprošeni Osrednji ekonomski svet, Potrošniški svet in Zvezni svet za trajnostni razvoj.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645F8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A8353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8AA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5BA228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DE94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POGLAVJE IV – Informacije o združljivosti programske opreme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71089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B6C9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F3F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A3B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27115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AEC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 zvezi s proizvodi iz člena 5(2) oseba, odgovorna za dajanje na trg, končnemu uporabniku zagotovi informacije o obdobju združljivosti programske opreme.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A597A2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Pri ocenjevanju ohranjanja obstoječih funkcij ob nakupu proizvoda se upošteva obraba v obdobju, v katerem uporabnik proizvod uporablja previdno in skrbno.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5AF37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F4F33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922C6D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633F63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kraljevi uredbi, ki jo obravnava Svet ministrov, določi seznam proizvodov, za katere se uporablja obveznost obveščanja o obdobju združljivosti programske opreme.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727A2F7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47CCA7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s kraljevo uredbo določi način sporočanja informacij o združljivosti programske opreme in obliko, v kateri se informacije sporočijo.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Opredeli tudi dostopnost parametrov, ki so bili uporabljeni za določitev obdobja združljivosti programske opreme.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7009B18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EF28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60287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BE294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Poglavje V – Ocena trajnosti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116C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E7D1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D8F54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8E0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D3F0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915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</w:rPr>
              <w:t xml:space="preserve">Uvede se ocena trajnosti, ki dopolnjuje oceno popravljivosti iz člena 4 za proizvode iz člena 6(2) ter se za posamezne kategorije proizvodov izračuna na podlagi zadevne zanesljivosti in trpežnosti.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C4DD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kraljevi uredbi, ki jo obravnava Svet ministrov, določi seznam proizvodov, ki jim je treba dodeliti oceno trajnosti, tehnične standarde, uporabljene za točkovanje, in metodo za izračun ocene.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769B8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kraljevi uredbi določi načine sporočanja ocene trajnosti in obliko, v kateri se ocena sporoči.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Določi tudi dostopnost informacij, na podlagi katerih je bila določena ocena trajnosti.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DDF5E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kraljevi uredbi, ki jo obravnava Svet ministrov, določi minimalno oceno trajnosti, ki jo je treba doseči v zvezi s posameznimi kategorijami proizvodov iz člena 6(2) tega zakona in predstavlja pogoj za dajanje proizvodov na trg.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Regije so z navedenim osnutkom kraljeve uredbe povezane prek Medministrske konference o okolju.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Za mnenje o tem osnutku kraljeve uredbe so bili zaprošeni Osrednji ekonomski svet, Potrošniški svet in Zvezni svet za trajnostni razvoj.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644A7C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6D0F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b/>
                <w:rFonts w:ascii="Times New Roman" w:hAnsi="Times New Roman"/>
              </w:rPr>
              <w:t xml:space="preserve">Poglavje VI – Obdelava podatkov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C07B43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BC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B0C16D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9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Člen 7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46A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4D7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Zvezna služba za javno zdravje je edina javna služba, ki je pristojna in odgovorna za obdelavo osebnih podatkov na podlagi členov 8, 9, 10 in 11 tega zakona.</w:t>
            </w:r>
            <w:r>
              <w:rPr>
                <w:sz w:val="24"/>
                <w:rFonts w:ascii="Times New Roman" w:hAnsi="Times New Roman"/>
              </w:rPr>
              <w:t xml:space="preserve"> 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Najdaljše obdobje hrambe osebnih podatkov, ki jih je treba obdelati, je pet let.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4F4AE4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06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Poglavje VII – Odgovornost</w:t>
            </w:r>
            <w:r>
              <w:rPr>
                <w:rFonts w:ascii="Times New Roman" w:hAnsi="Times New Roman"/>
              </w:rPr>
              <w:t xml:space="preserve"> </w:t>
            </w:r>
          </w:p>
          <w:p w14:paraId="4AE4C20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08C21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DAC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94C3C5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807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Člen 8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0351C5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3605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</w:rPr>
              <w:t xml:space="preserve">Za zagotovitev ocene popravljivosti, ocene trajnosti in informacij o obdobju združljivosti programske opreme proizvodov so odgovorni proizvajalci in uvozniki proizvodov iz členov 4(2), 5(2) in 6(2) tega zakona.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88302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509AA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</w:rPr>
              <w:t xml:space="preserve">Prodajalci in distributerji proizvodov iz členov 4(2), 5(2) in 6(2) tega zakona so odgovorni za sporočanje ocene popravljivosti, ocene trajnosti in informacij o združljivosti programske opreme proizvodov.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EEBE2B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Odgovorni so tudi za dostop do tehničnih informacij.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65031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228710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D274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707A33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407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Poglavje VIII – Nadzor in sankcije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E1657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B75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85BB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1A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A8AA01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3120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Izvajanje tega zakona nadzoruje inšpekcijski oddelek Generalnega direktorata za okolje Zvezne službe za javno zdravje, varnost prehranske verige in okolje.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B97B09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55EA2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Kralj v ministrski uredbi določi tehnične določbe v zvezi z nadzorom, tudi v zvezi z inšpekcijskimi pregledi proizvodov, ki se prodajajo prek spleta, vključno z upravnimi globami.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22DF77F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B4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C4DE62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F28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10EFB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486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Vsaka oseba, ki krši določbe členov 4(4) in 6(4) tega zakona, se kaznuje z denarno kaznijo v višini od 100 EUR do 100 000 EUR.</w:t>
            </w:r>
            <w:r>
              <w:rPr>
                <w:sz w:val="24"/>
                <w:rFonts w:ascii="Segoe UI" w:hAnsi="Segoe UI"/>
              </w:rPr>
              <w:t xml:space="preserve">  </w:t>
            </w:r>
          </w:p>
          <w:p w14:paraId="7E302A8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Kazni iz člena 1 je treba zvišati v skladu z Zakonom z dne 5. marca 1952 o doplačilih k denarnim kaznim.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8DCBBB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1AFFC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1D33F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02598D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 varstvo okolja lahko kazenski sodnik odredi naslednje ukrepe: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D64DA13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prepoved uvoza proizvoda, v zvezi s katerim je bila storjena kršitev;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(2) umik proizvoda, v zvezi s katerim je bila storjena kršitev, s trga;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(3) objavo sodbe na način, ki ga sam določi, in na stroške obsojenca.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E2B2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76F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324B8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0BA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Statutarni ali pogodbeni uslužbenci, ki jih imenuje kralj v skladu s členom 9(2) tega zakona, pošljejo zapisnik o ugotovljeni kršitvi.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F14ED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0EE977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Državni tožilec odloči, ali bo začel kazenski pregon ali ne.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Kazenski postopek izključuje uporabo upravne globe, tudi če jo oprostilna sodba odpravi.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4C35314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6FB400" w14:textId="77777777" w:rsidR="00880EA5" w:rsidRDefault="00080401" w:rsidP="00080401">
            <w:pPr>
              <w:spacing w:after="0" w:line="240" w:lineRule="auto"/>
              <w:jc w:val="both"/>
              <w:textAlignment w:val="baseline"/>
              <w:rPr>
                <w:sz w:val="24"/>
                <w:rFonts w:ascii="Segoe UI" w:hAnsi="Segoe UI"/>
              </w:rPr>
            </w:pPr>
            <w:r>
              <w:rPr>
                <w:sz w:val="24"/>
                <w:rFonts w:ascii="Segoe UI" w:hAnsi="Segoe UI"/>
              </w:rPr>
              <w:t xml:space="preserve">Oddelek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Državni tožilec ima od dneva prejema zapisnika na voljo tri mesece, da o svoji odločitvi obvesti vladnega uradnika, ki ga imenuje kralj v skladu s členom 9(2) tega zakona.</w:t>
            </w:r>
          </w:p>
          <w:p w14:paraId="2FB05F77" w14:textId="09083F43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Če se državni tožilec odpove uvedbi kazenskega postopka ali svoje odločitve ne sporoči v predpisanem roku, vladni uradnik, ki ga kralj v skladu s pogoji, ki jih določi, imenuje v skladu s členom 9(2) tega zakona, po tem, ko je zadevni osebi dal možnost, da predstavi svojo obrambo, odloči, ali je treba na podlagi kršitve predlagati naložitev upravne globe.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4B169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 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Uradnik lahko storilcu predlaga upravno globo, po tem, ko mu je dal možnost, da predstavi svoja sredstva obrambe.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Če se predlog za upravno globo ne poda, se zapisnik posreduje državnemu tožilcu.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Če se predlog za upravno globo vloži, se izvod zapisnika pošlje državnemu tožilcu v vednost.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7ADBDA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52592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7609D0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ACF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03EC49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136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Oddelek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1.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Brez poseganja v obveznost glede zagotavljanja skladnosti s členom 10 tega zakona se v primeru kršitev členov 4, 5 in 6 naloži upravna globa v višini od 100 EUR do 30 000 EUR.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</w:t>
            </w:r>
          </w:p>
          <w:p w14:paraId="3018CFF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42EF6BF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60E64E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Oddelek 2.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</w:rPr>
              <w:t xml:space="preserve">Doplačila iz pododstavka 1 člena 1 Zakona z dne 5. marca 1952 o doplačilih k denarnim kaznim se prištejejo tudi upravnim globam iz oddelka 1 tega člena.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 </w:t>
            </w:r>
          </w:p>
          <w:p w14:paraId="2142FC1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1CED5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Oddelek 3.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Za upravljanje in izdajanje upravnih glob je odgovorna pravna služba Zvezne službe za javno zdravje, varnost prehranske verige in okolje.</w:t>
            </w:r>
            <w:r>
              <w:rPr>
                <w:color w:val="000000"/>
                <w:sz w:val="24"/>
                <w:rFonts w:ascii="Segoe UI" w:hAnsi="Segoe UI"/>
              </w:rPr>
              <w:t xml:space="preserve"> </w:t>
            </w:r>
          </w:p>
          <w:p w14:paraId="16F0D1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FB2C7E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8AC532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Oddelek 4.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</w:rPr>
              <w:t xml:space="preserve">Plačila upravnih glob, naloženih na podlagi zapisnika, ki ga sestavijo službe iz člena 9(1), se prenesejo v proračunski sklad za surovine in proizvode.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05FE84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C25EF0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2FF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973EE5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AB8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POGLAVJE IX – Končne določbe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CBD48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BAEC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48C1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E12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Člen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D17A4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D5F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 zakon začne veljati šest mesecev po objavi v belgijskem uradnem listu.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3BD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0B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49F71F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BB13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Bruslju dne .../.../2022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AD46D3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5B4C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imenu kralja: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2E2A157" w14:textId="77777777" w:rsidTr="00080401">
        <w:trPr>
          <w:trHeight w:val="2235"/>
        </w:trPr>
        <w:tc>
          <w:tcPr>
            <w:tcW w:w="9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1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382747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B9F2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994EC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70E5B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8287B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40D89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FILIP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6614E1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DFCB61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1C2278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72BB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Ministrica za podnebje, okolje, trajnostni razvoj in zeleni dogovor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914EC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D34E0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5B23BCE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31AD4426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5F1C3860" w14:textId="77777777" w:rsidR="00080401" w:rsidRDefault="00080401" w:rsidP="0008040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8AB9B28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Z. KHATTABI</w:t>
            </w:r>
            <w:r>
              <w:rPr>
                <w:rStyle w:val="eop"/>
              </w:rPr>
              <w:t xml:space="preserve"> </w:t>
            </w:r>
          </w:p>
          <w:p w14:paraId="0343013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89A0E68" w14:textId="77777777" w:rsidR="006E076C" w:rsidRDefault="006E076C"/>
    <w:sectPr w:rsidR="006E076C" w:rsidSect="001B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1"/>
    <w:rsid w:val="00080401"/>
    <w:rsid w:val="001B64FB"/>
    <w:rsid w:val="005770C7"/>
    <w:rsid w:val="006E076C"/>
    <w:rsid w:val="007B4C8F"/>
    <w:rsid w:val="008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86F"/>
  <w15:chartTrackingRefBased/>
  <w15:docId w15:val="{6A6BA2B3-5A85-40BE-8A42-DE457D1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080401"/>
  </w:style>
  <w:style w:type="character" w:customStyle="1" w:styleId="eop">
    <w:name w:val="eop"/>
    <w:basedOn w:val="DefaultParagraphFont"/>
    <w:rsid w:val="00080401"/>
  </w:style>
  <w:style w:type="character" w:customStyle="1" w:styleId="scxw201559074">
    <w:name w:val="scxw201559074"/>
    <w:basedOn w:val="DefaultParagraphFont"/>
    <w:rsid w:val="0008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Echakafi (SPF Santé Publique - FOD Volksgezondheid)</dc:creator>
  <cp:keywords/>
  <dc:description/>
  <cp:lastModifiedBy>Dimitris Dimitriadis</cp:lastModifiedBy>
  <cp:revision>3</cp:revision>
  <dcterms:created xsi:type="dcterms:W3CDTF">2022-09-21T09:27:00Z</dcterms:created>
  <dcterms:modified xsi:type="dcterms:W3CDTF">2022-09-26T11:32:00Z</dcterms:modified>
</cp:coreProperties>
</file>