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51406" w14:textId="1A815006" w:rsidR="00A12959" w:rsidRDefault="00A12959" w:rsidP="00A12959">
      <w:pPr>
        <w:ind w:left="6372"/>
      </w:pPr>
      <w:r>
        <w:t xml:space="preserve">V.19.03.2021</w:t>
      </w:r>
    </w:p>
    <w:tbl>
      <w:tblPr>
        <w:tblW w:w="0" w:type="auto"/>
        <w:tblInd w:w="57" w:type="dxa"/>
        <w:tblLayout w:type="fixed"/>
        <w:tblCellMar>
          <w:top w:w="57" w:type="dxa"/>
          <w:left w:w="57" w:type="dxa"/>
          <w:bottom w:w="57" w:type="dxa"/>
          <w:right w:w="57" w:type="dxa"/>
        </w:tblCellMar>
        <w:tblLook w:val="04A0" w:firstRow="1" w:lastRow="0" w:firstColumn="1" w:lastColumn="0" w:noHBand="0" w:noVBand="1"/>
      </w:tblPr>
      <w:tblGrid>
        <w:gridCol w:w="1527"/>
        <w:gridCol w:w="968"/>
        <w:gridCol w:w="1559"/>
      </w:tblGrid>
      <w:tr w:rsidR="00A12959" w14:paraId="0C3DE7B2" w14:textId="77777777" w:rsidTr="00A12959">
        <w:trPr>
          <w:cantSplit/>
        </w:trPr>
        <w:tc>
          <w:tcPr>
            <w:tcW w:w="4054" w:type="dxa"/>
            <w:gridSpan w:val="3"/>
            <w:hideMark/>
          </w:tcPr>
          <w:p w14:paraId="38AE27E9" w14:textId="77777777" w:rsidR="00A12959" w:rsidRDefault="00A12959">
            <w:pPr>
              <w:pStyle w:val="SNREPUBLIQUE"/>
            </w:pPr>
            <w:r>
              <w:t xml:space="preserve">REPUBLIKA FRANCUSKA</w:t>
            </w:r>
          </w:p>
        </w:tc>
      </w:tr>
      <w:tr w:rsidR="00A12959" w14:paraId="2668388F" w14:textId="77777777" w:rsidTr="00A12959">
        <w:trPr>
          <w:cantSplit/>
          <w:trHeight w:hRule="exact" w:val="113"/>
        </w:trPr>
        <w:tc>
          <w:tcPr>
            <w:tcW w:w="1527" w:type="dxa"/>
            <w:hideMark/>
          </w:tcPr>
          <w:p w14:paraId="3DEE472B" w14:textId="77777777" w:rsidR="00A12959" w:rsidRDefault="00A12959">
            <w:r>
              <w:t xml:space="preserve">                                                        </w:t>
            </w:r>
          </w:p>
        </w:tc>
        <w:tc>
          <w:tcPr>
            <w:tcW w:w="968" w:type="dxa"/>
          </w:tcPr>
          <w:p w14:paraId="792D1C9A" w14:textId="77777777" w:rsidR="00A12959" w:rsidRDefault="00A12959"/>
        </w:tc>
        <w:tc>
          <w:tcPr>
            <w:tcW w:w="1559" w:type="dxa"/>
          </w:tcPr>
          <w:p w14:paraId="52AF33EF" w14:textId="77777777" w:rsidR="00A12959" w:rsidRDefault="00A12959"/>
        </w:tc>
      </w:tr>
      <w:tr w:rsidR="00A12959" w14:paraId="6B721B4A" w14:textId="77777777" w:rsidTr="00A12959">
        <w:trPr>
          <w:cantSplit/>
        </w:trPr>
        <w:tc>
          <w:tcPr>
            <w:tcW w:w="4054" w:type="dxa"/>
            <w:gridSpan w:val="3"/>
            <w:hideMark/>
          </w:tcPr>
          <w:p w14:paraId="074E8C89" w14:textId="77777777" w:rsidR="00A12959" w:rsidRDefault="00177800" w:rsidP="00573262">
            <w:pPr>
              <w:pStyle w:val="SNTimbre"/>
            </w:pPr>
            <w:r>
              <w:t xml:space="preserve">Ministerstwo Gospodarki, Finansów i Odbudowy</w:t>
            </w:r>
          </w:p>
        </w:tc>
      </w:tr>
      <w:tr w:rsidR="00A12959" w14:paraId="1521100F" w14:textId="77777777" w:rsidTr="00A12959">
        <w:trPr>
          <w:cantSplit/>
          <w:trHeight w:hRule="exact" w:val="227"/>
        </w:trPr>
        <w:tc>
          <w:tcPr>
            <w:tcW w:w="1527" w:type="dxa"/>
          </w:tcPr>
          <w:p w14:paraId="138DD694" w14:textId="77777777" w:rsidR="00A12959" w:rsidRDefault="00A12959"/>
        </w:tc>
        <w:tc>
          <w:tcPr>
            <w:tcW w:w="968" w:type="dxa"/>
          </w:tcPr>
          <w:p w14:paraId="436DA66F" w14:textId="77777777" w:rsidR="00A12959" w:rsidRDefault="00A12959"/>
        </w:tc>
        <w:tc>
          <w:tcPr>
            <w:tcW w:w="1559" w:type="dxa"/>
          </w:tcPr>
          <w:p w14:paraId="6096D2C7" w14:textId="77777777" w:rsidR="00A12959" w:rsidRDefault="00A12959"/>
        </w:tc>
      </w:tr>
      <w:tr w:rsidR="00A12959" w14:paraId="1DE80421" w14:textId="77777777" w:rsidTr="00A12959">
        <w:trPr>
          <w:cantSplit/>
          <w:trHeight w:hRule="exact" w:val="227"/>
        </w:trPr>
        <w:tc>
          <w:tcPr>
            <w:tcW w:w="1527" w:type="dxa"/>
          </w:tcPr>
          <w:p w14:paraId="3071DB47" w14:textId="77777777" w:rsidR="00A12959" w:rsidRDefault="00A12959"/>
        </w:tc>
        <w:tc>
          <w:tcPr>
            <w:tcW w:w="968" w:type="dxa"/>
          </w:tcPr>
          <w:p w14:paraId="1AF605BE" w14:textId="77777777" w:rsidR="00A12959" w:rsidRDefault="00A12959"/>
        </w:tc>
        <w:tc>
          <w:tcPr>
            <w:tcW w:w="1559" w:type="dxa"/>
          </w:tcPr>
          <w:p w14:paraId="6B47006B" w14:textId="77777777" w:rsidR="00A12959" w:rsidRDefault="00A12959"/>
        </w:tc>
      </w:tr>
    </w:tbl>
    <w:p w14:paraId="68F3382F" w14:textId="77777777" w:rsidR="00A12959" w:rsidRDefault="00A12959" w:rsidP="00A12959">
      <w:pPr>
        <w:pStyle w:val="SNNature"/>
        <w:rPr>
          <w:color w:val="000000" w:themeColor="text1"/>
        </w:rPr>
      </w:pPr>
      <w:r>
        <w:t xml:space="preserve">Rozporządzenie </w:t>
      </w:r>
      <w:r>
        <w:rPr>
          <w:color w:val="000000" w:themeColor="text1"/>
        </w:rPr>
        <w:t xml:space="preserve">nr 2020-xxx z dnia xxxx 2020 r.</w:t>
      </w:r>
    </w:p>
    <w:p w14:paraId="55BF46E1" w14:textId="77777777" w:rsidR="009B27E1" w:rsidRDefault="00A12959" w:rsidP="009B27E1">
      <w:pPr>
        <w:pStyle w:val="SNtitre"/>
      </w:pPr>
      <w:r>
        <w:t xml:space="preserve">w sprawie okresu dostępności części zamiennych do niektórych urządzeń, o których mowa w art. L. 111-4 kodeksu konsumenckiego</w:t>
      </w:r>
      <w:r>
        <w:t xml:space="preserve"> </w:t>
      </w:r>
    </w:p>
    <w:p w14:paraId="260EFD7B" w14:textId="77777777" w:rsidR="00C005E2" w:rsidRDefault="00C005E2" w:rsidP="00C005E2">
      <w:pPr>
        <w:pStyle w:val="SNNORCentr"/>
        <w:rPr>
          <w:lang w:eastAsia="en-US"/>
        </w:rPr>
      </w:pPr>
    </w:p>
    <w:p w14:paraId="281F260F" w14:textId="731C7B99" w:rsidR="00A12959" w:rsidRDefault="00A12959" w:rsidP="009B27E1">
      <w:pPr>
        <w:pStyle w:val="SNtitre"/>
      </w:pPr>
      <w:r>
        <w:t xml:space="preserve">NOR:</w:t>
      </w:r>
      <w:r>
        <w:t xml:space="preserve"> </w:t>
      </w:r>
      <w:r>
        <w:t xml:space="preserve">ECOC2101006D</w:t>
      </w:r>
    </w:p>
    <w:p w14:paraId="4E03E723" w14:textId="77777777" w:rsidR="00161892" w:rsidRDefault="00A12959" w:rsidP="00A12959">
      <w:pPr>
        <w:pStyle w:val="SNAutorit"/>
        <w:rPr>
          <w:i/>
        </w:rPr>
      </w:pPr>
      <w:r>
        <w:rPr>
          <w:i/>
          <w:b/>
        </w:rPr>
        <w:t xml:space="preserve">Docelowe grupy odbiorców:</w:t>
      </w:r>
      <w:r>
        <w:rPr>
          <w:i/>
        </w:rPr>
        <w:t xml:space="preserve"> producenci i importerzy laptopów i smartfonów;</w:t>
      </w:r>
    </w:p>
    <w:p w14:paraId="06C713D1" w14:textId="77777777" w:rsidR="00C20F8A" w:rsidRDefault="00A12959" w:rsidP="00A12959">
      <w:pPr>
        <w:pStyle w:val="SNAutorit"/>
        <w:rPr>
          <w:i/>
        </w:rPr>
      </w:pPr>
      <w:r>
        <w:rPr>
          <w:i/>
          <w:b/>
        </w:rPr>
        <w:t xml:space="preserve">Przedmiot: </w:t>
      </w:r>
      <w:r>
        <w:rPr>
          <w:i/>
        </w:rPr>
        <w:t xml:space="preserve">ustanowienie wykazu kategorii urządzeń (laptopy i smartfony) oraz części zamiennych, które mają być udostępniane na rynku przez okres co najmniej pięciu lat od daty wprowadzenia do obrotu ostatniego egzemplarza danego modelu urządzenia;</w:t>
      </w:r>
    </w:p>
    <w:p w14:paraId="1E4FF432" w14:textId="77777777" w:rsidR="00A12959" w:rsidRDefault="00A12959" w:rsidP="00A12959">
      <w:pPr>
        <w:pStyle w:val="SNAutorit"/>
        <w:rPr>
          <w:i/>
        </w:rPr>
      </w:pPr>
      <w:r>
        <w:rPr>
          <w:i/>
          <w:b/>
        </w:rPr>
        <w:t xml:space="preserve">Wejście w życie:</w:t>
      </w:r>
      <w:r>
        <w:rPr>
          <w:i/>
        </w:rPr>
        <w:t xml:space="preserve"> </w:t>
      </w:r>
      <w:r>
        <w:rPr>
          <w:i/>
        </w:rPr>
        <w:t xml:space="preserve">1 stycznia 2022 r;</w:t>
      </w:r>
    </w:p>
    <w:p w14:paraId="7C57EFA3" w14:textId="088E8340" w:rsidR="00145388" w:rsidRPr="00E35882" w:rsidRDefault="00A12959" w:rsidP="00542E4C">
      <w:pPr>
        <w:pStyle w:val="SNAutorit"/>
        <w:rPr>
          <w:i/>
          <w:color w:val="1F4E79" w:themeColor="accent1" w:themeShade="80"/>
        </w:rPr>
      </w:pPr>
      <w:r>
        <w:rPr>
          <w:i/>
          <w:b/>
        </w:rPr>
        <w:t xml:space="preserve">Uwagi:</w:t>
      </w:r>
      <w:r>
        <w:rPr>
          <w:i/>
        </w:rPr>
        <w:t xml:space="preserve"> </w:t>
      </w:r>
      <w:r>
        <w:rPr>
          <w:i/>
        </w:rPr>
        <w:t xml:space="preserve">Niniejsze rozporządzenie zostało wydane w celu zastosowania art. L. 111-4 kodeksu konsumenckiego, który nakłada na producentów (wytwórców i importerów) urządzeń gospodarstwa domowego, małych urządzeń komputerowych i telekomunikacyjnych, ekranów i monitorów obowiązek udostępniania części zamiennych przez okres nie krótszy niż pięć lat od daty wprowadzenia do obrotu ostatniego egzemplarza danego modelu.</w:t>
      </w:r>
      <w:r>
        <w:rPr>
          <w:i/>
        </w:rPr>
        <w:t xml:space="preserve"> </w:t>
      </w:r>
      <w:r>
        <w:rPr>
          <w:i/>
        </w:rPr>
        <w:t xml:space="preserve">Przepisy dotyczące okresu dostępności części do niektórych urządzeń gospodarstwa domowego, ekranów i monitorów są również określone w rozporządzeniach wykonawczych do dyrektywy Parlamentu Europejskiego i Rady 2009/125/WE z dnia 21 października 2009 r. ustanawiającej ogólne zasady ustalania wymogów dotyczących ekoprojektu dla produktów związanych z energią.</w:t>
      </w:r>
    </w:p>
    <w:p w14:paraId="5491395F" w14:textId="77777777" w:rsidR="00A12959" w:rsidRDefault="00A12959" w:rsidP="00A12959">
      <w:pPr>
        <w:pStyle w:val="SNAutorit"/>
        <w:rPr>
          <w:i/>
        </w:rPr>
      </w:pPr>
      <w:r>
        <w:rPr>
          <w:i/>
        </w:rPr>
        <w:t xml:space="preserve">Odsyłacz:</w:t>
      </w:r>
      <w:r>
        <w:rPr>
          <w:i/>
        </w:rPr>
        <w:t xml:space="preserve"> </w:t>
      </w:r>
      <w:r>
        <w:rPr>
          <w:i/>
        </w:rPr>
        <w:t xml:space="preserve">Z treścią niniejszego rozporządzenia można zapoznać się na stronie internetowej </w:t>
      </w:r>
      <w:r>
        <w:rPr>
          <w:i/>
        </w:rPr>
        <w:t xml:space="preserve">Légifrance (</w:t>
      </w:r>
      <w:hyperlink r:id="rId6" w:history="1">
        <w:r>
          <w:rPr>
            <w:rStyle w:val="Lienhypertexte"/>
            <w:b/>
            <w:i/>
            <w:color w:val="000000"/>
          </w:rPr>
          <w:t xml:space="preserve">http://www.legifrance.gouv.fr</w:t>
        </w:r>
      </w:hyperlink>
      <w:r>
        <w:rPr>
          <w:i/>
        </w:rPr>
        <w:t xml:space="preserve">).</w:t>
      </w:r>
    </w:p>
    <w:p w14:paraId="6252E6C6" w14:textId="77777777" w:rsidR="00A12959" w:rsidRDefault="00A12959" w:rsidP="00171D8C">
      <w:pPr>
        <w:pStyle w:val="SNAutorit"/>
        <w:rPr>
          <w:b/>
        </w:rPr>
      </w:pPr>
      <w:r>
        <w:rPr>
          <w:b/>
        </w:rPr>
        <w:t xml:space="preserve">Premier,</w:t>
      </w:r>
    </w:p>
    <w:p w14:paraId="216C1E09" w14:textId="77777777" w:rsidR="00A12959" w:rsidRDefault="00A12959" w:rsidP="00171D8C">
      <w:pPr>
        <w:pStyle w:val="SNRapport"/>
        <w:ind w:firstLine="0"/>
      </w:pPr>
      <w:r>
        <w:t xml:space="preserve">W następstwie sprawozdania Ministra Gospodarki, Finansów i Odbudowy,</w:t>
      </w:r>
    </w:p>
    <w:p w14:paraId="4BC90C85" w14:textId="77777777" w:rsidR="001222B7" w:rsidRDefault="001222B7" w:rsidP="00171D8C">
      <w:pPr>
        <w:pStyle w:val="SNRapport"/>
        <w:ind w:firstLine="0"/>
      </w:pPr>
      <w:r>
        <w:t xml:space="preserve">uwzględniając dyrektywę Parlamentu Europejskiego i Rady (UE) 2015/1535 z dnia 9 września 2015 r. ustanawiającą procedurę udzielania informacji w dziedzinie przepisów technicznych oraz zasad dotyczących usług społeczeństwa informacyjnego,</w:t>
      </w:r>
    </w:p>
    <w:p w14:paraId="7AF22E91" w14:textId="77777777" w:rsidR="00A12959" w:rsidRDefault="00A12959" w:rsidP="001533FA">
      <w:pPr>
        <w:pStyle w:val="SNVisa"/>
      </w:pPr>
      <w:r>
        <w:t xml:space="preserve">uwzględniając kodeks konsumencki, w szczególności art. L. 111-4, zmieniony art. 19 ustawy nr 2020-105 z dnia 10 lutego 2020 r. w sprawie zwalczania odpadów i gospodarki o obiegu zamkniętym,</w:t>
      </w:r>
    </w:p>
    <w:p w14:paraId="37F1723A" w14:textId="1F07C396" w:rsidR="00564362" w:rsidRPr="003B2709" w:rsidRDefault="00564362" w:rsidP="001533FA">
      <w:pPr>
        <w:pStyle w:val="SNVisa"/>
      </w:pPr>
      <w:r>
        <w:t xml:space="preserve">uwzględniając powiadomienie nr 2021/XXX/F z dnia XX 2021 r. skierowane do Komisji Europejskiej,</w:t>
      </w:r>
    </w:p>
    <w:p w14:paraId="44B7F728" w14:textId="77777777" w:rsidR="00A12959" w:rsidRDefault="00A12959" w:rsidP="00C760F9">
      <w:pPr>
        <w:pStyle w:val="SNVisa"/>
      </w:pPr>
      <w:r>
        <w:t xml:space="preserve">po wysłuchaniu Rady Państwa (Sekcja Finansów),</w:t>
      </w:r>
    </w:p>
    <w:p w14:paraId="60919C6F" w14:textId="77777777" w:rsidR="00A12959" w:rsidRDefault="00A12959" w:rsidP="00A12959">
      <w:pPr>
        <w:pStyle w:val="SNActe"/>
      </w:pPr>
      <w:r>
        <w:t xml:space="preserve">niniejszym rozporządza, co następuje:</w:t>
      </w:r>
    </w:p>
    <w:p w14:paraId="4D2B4589" w14:textId="77777777" w:rsidR="00A12959" w:rsidRDefault="00A12959" w:rsidP="00A12959">
      <w:pPr>
        <w:pStyle w:val="SNArticle"/>
      </w:pPr>
      <w:r>
        <w:t xml:space="preserve">Artykuł 1</w:t>
      </w:r>
    </w:p>
    <w:p w14:paraId="1017723D" w14:textId="77777777" w:rsidR="00D473F7" w:rsidRPr="000D7833" w:rsidRDefault="00C70114" w:rsidP="00D473F7">
      <w:pPr>
        <w:pStyle w:val="Corpsdetexte"/>
      </w:pPr>
      <w:r>
        <w:t xml:space="preserve">Po art. D. 111-4 kodeksu konsumenckiego dodaje się dwa artykuły w brzmieniu:</w:t>
      </w:r>
    </w:p>
    <w:p w14:paraId="6E863CFD" w14:textId="22D8D557" w:rsidR="00D473F7" w:rsidRPr="000D7833" w:rsidRDefault="00C70114" w:rsidP="00283F62">
      <w:pPr>
        <w:pStyle w:val="Corpsdetexte"/>
        <w:rPr>
          <w:rFonts w:cstheme="minorHAnsi"/>
        </w:rPr>
      </w:pPr>
      <w:r>
        <w:t xml:space="preserve"> </w:t>
      </w:r>
      <w:r>
        <w:t xml:space="preserve">„</w:t>
      </w:r>
      <w:r>
        <w:rPr>
          <w:i/>
        </w:rPr>
        <w:t xml:space="preserve">Art. R. 111-4-1.</w:t>
      </w:r>
      <w:r>
        <w:t xml:space="preserve"> </w:t>
      </w:r>
      <w:r>
        <w:t xml:space="preserve">— I.- Producenci lub importerzy laptopów zapewniają dostępność następujących części zamiennych najpóźniej po upływie dwóch lat od wprowadzenia na rynek krajowy pierwszej jednostki danego modelu laptopa oraz przez okres co najmniej pięciu lat od daty wprowadzenia na rynek krajowy ostatniego egzemplarza danego modelu komputera:</w:t>
      </w:r>
      <w:r>
        <w:t xml:space="preserve"> </w:t>
      </w:r>
    </w:p>
    <w:p w14:paraId="2EDEA3E8" w14:textId="039F38D6" w:rsidR="00E35882" w:rsidRPr="000D7833" w:rsidRDefault="004844C6" w:rsidP="00043DF9">
      <w:pPr>
        <w:pStyle w:val="Corpsdetexte"/>
        <w:spacing w:after="0" w:line="257" w:lineRule="auto"/>
        <w:rPr>
          <w:rFonts w:cstheme="minorHAnsi"/>
        </w:rPr>
      </w:pPr>
      <w:r>
        <w:t xml:space="preserve">„1 Płyta główna;</w:t>
      </w:r>
    </w:p>
    <w:p w14:paraId="2E42C7A2" w14:textId="71431E0C" w:rsidR="00E35882" w:rsidRPr="000D7833" w:rsidRDefault="004844C6" w:rsidP="00043DF9">
      <w:pPr>
        <w:pStyle w:val="Corpsdetexte"/>
        <w:spacing w:after="0" w:line="257" w:lineRule="auto"/>
        <w:rPr>
          <w:rFonts w:cstheme="minorHAnsi"/>
        </w:rPr>
      </w:pPr>
      <w:r>
        <w:t xml:space="preserve">„2 PAMIĘĆ RAM;</w:t>
      </w:r>
    </w:p>
    <w:p w14:paraId="29087A94" w14:textId="03B673BB" w:rsidR="00F62ED7" w:rsidRPr="000D7833" w:rsidRDefault="004844C6" w:rsidP="00043DF9">
      <w:pPr>
        <w:pStyle w:val="Corpsdetexte"/>
        <w:spacing w:after="0" w:line="257" w:lineRule="auto"/>
        <w:rPr>
          <w:rFonts w:cstheme="minorHAnsi"/>
        </w:rPr>
      </w:pPr>
      <w:r>
        <w:t xml:space="preserve">„3 Wentylatory;</w:t>
      </w:r>
    </w:p>
    <w:p w14:paraId="52F16F36" w14:textId="363F4F53" w:rsidR="00E35882" w:rsidRPr="000D7833" w:rsidRDefault="004844C6" w:rsidP="00043DF9">
      <w:pPr>
        <w:pStyle w:val="Corpsdetexte"/>
        <w:spacing w:after="0" w:line="257" w:lineRule="auto"/>
        <w:rPr>
          <w:rFonts w:cstheme="minorHAnsi"/>
        </w:rPr>
      </w:pPr>
      <w:r>
        <w:t xml:space="preserve">„4 Rozpraszacze ciepła;</w:t>
      </w:r>
    </w:p>
    <w:p w14:paraId="134450E6" w14:textId="2CD08A24" w:rsidR="00E35882" w:rsidRPr="000D7833" w:rsidRDefault="004844C6" w:rsidP="00043DF9">
      <w:pPr>
        <w:pStyle w:val="Corpsdetexte"/>
        <w:spacing w:after="0" w:line="257" w:lineRule="auto"/>
        <w:rPr>
          <w:rFonts w:cstheme="minorHAnsi"/>
        </w:rPr>
      </w:pPr>
      <w:r>
        <w:t xml:space="preserve">„5 Klawiatura;</w:t>
      </w:r>
    </w:p>
    <w:p w14:paraId="3EE038B5" w14:textId="5D502470" w:rsidR="00E35882" w:rsidRPr="000D7833" w:rsidRDefault="004844C6" w:rsidP="00043DF9">
      <w:pPr>
        <w:pStyle w:val="Corpsdetexte"/>
        <w:spacing w:after="0" w:line="257" w:lineRule="auto"/>
        <w:rPr>
          <w:rFonts w:cstheme="minorHAnsi"/>
        </w:rPr>
      </w:pPr>
      <w:r>
        <w:t xml:space="preserve">„6 Porty, złącza.</w:t>
      </w:r>
    </w:p>
    <w:p w14:paraId="08D5701B" w14:textId="77777777" w:rsidR="00667BCB" w:rsidRPr="000D7833" w:rsidRDefault="00667BCB" w:rsidP="00BD004A">
      <w:pPr>
        <w:pStyle w:val="Corpsdetexte"/>
        <w:spacing w:after="0" w:line="257" w:lineRule="auto"/>
        <w:rPr>
          <w:rFonts w:cstheme="minorHAnsi"/>
        </w:rPr>
      </w:pPr>
    </w:p>
    <w:p w14:paraId="4AF041A6" w14:textId="0CCAC326" w:rsidR="00667BCB" w:rsidRPr="000D7833" w:rsidRDefault="004844C6" w:rsidP="00667BCB">
      <w:pPr>
        <w:pStyle w:val="Corpsdetexte"/>
        <w:rPr>
          <w:rFonts w:cstheme="minorHAnsi"/>
        </w:rPr>
      </w:pPr>
      <w:r>
        <w:t xml:space="preserve">Producenci lub importerzy, o których mowa w pkt I, zapewniają dostępność następujących części zamiennych w momencie wprowadzenia na rynek krajowy pierwszego egzemplarza danego modelu laptopa oraz przez okres co najmniej pięciu lat od daty wprowadzenia na rynek krajowy ostatniego egzemplarza danego modelu laptopa:</w:t>
      </w:r>
    </w:p>
    <w:p w14:paraId="4235E6A4" w14:textId="603B84B1" w:rsidR="00BD004A" w:rsidRPr="000D7833" w:rsidRDefault="004844C6" w:rsidP="00BD004A">
      <w:pPr>
        <w:widowControl w:val="0"/>
        <w:suppressAutoHyphens/>
        <w:autoSpaceDE w:val="0"/>
        <w:spacing w:after="0" w:line="240" w:lineRule="auto"/>
        <w:jc w:val="both"/>
        <w:rPr>
          <w:bCs/>
          <w:color w:val="000000"/>
          <w:rFonts w:eastAsia="Times New Roman" w:cstheme="minorHAnsi"/>
        </w:rPr>
      </w:pPr>
      <w:r>
        <w:rPr>
          <w:color w:val="000000"/>
        </w:rPr>
        <w:t xml:space="preserve">„1 Komponent pamięci masowej (HDD - SSD);</w:t>
      </w:r>
    </w:p>
    <w:p w14:paraId="28DDF739" w14:textId="4638B484" w:rsidR="00BD004A" w:rsidRPr="000D7833" w:rsidRDefault="004844C6" w:rsidP="00BD004A">
      <w:pPr>
        <w:widowControl w:val="0"/>
        <w:suppressAutoHyphens/>
        <w:autoSpaceDE w:val="0"/>
        <w:spacing w:after="0" w:line="240" w:lineRule="auto"/>
        <w:jc w:val="both"/>
        <w:rPr>
          <w:bCs/>
          <w:color w:val="000000"/>
          <w:rFonts w:eastAsia="Times New Roman" w:cstheme="minorHAnsi"/>
        </w:rPr>
      </w:pPr>
      <w:r>
        <w:rPr>
          <w:color w:val="000000"/>
        </w:rPr>
        <w:t xml:space="preserve">„2 Urządzenie wyświetlające;</w:t>
      </w:r>
    </w:p>
    <w:p w14:paraId="666210C8" w14:textId="2DE54C04" w:rsidR="00BD004A" w:rsidRPr="000D7833" w:rsidRDefault="004844C6" w:rsidP="00BD004A">
      <w:pPr>
        <w:widowControl w:val="0"/>
        <w:suppressAutoHyphens/>
        <w:autoSpaceDE w:val="0"/>
        <w:spacing w:after="0" w:line="240" w:lineRule="auto"/>
        <w:jc w:val="both"/>
        <w:rPr>
          <w:bCs/>
          <w:color w:val="000000"/>
          <w:rFonts w:eastAsia="Times New Roman" w:cstheme="minorHAnsi"/>
        </w:rPr>
      </w:pPr>
      <w:r>
        <w:rPr>
          <w:color w:val="000000"/>
        </w:rPr>
        <w:t xml:space="preserve">„3 Bateria;</w:t>
      </w:r>
    </w:p>
    <w:p w14:paraId="5B2AC902" w14:textId="12E3AB76" w:rsidR="00BD004A" w:rsidRPr="000D7833" w:rsidRDefault="004844C6" w:rsidP="00BD004A">
      <w:pPr>
        <w:widowControl w:val="0"/>
        <w:suppressAutoHyphens/>
        <w:autoSpaceDE w:val="0"/>
        <w:spacing w:after="0" w:line="240" w:lineRule="auto"/>
        <w:jc w:val="both"/>
        <w:rPr>
          <w:bCs/>
          <w:color w:val="000000"/>
          <w:rFonts w:eastAsia="Times New Roman" w:cstheme="minorHAnsi"/>
        </w:rPr>
      </w:pPr>
      <w:r>
        <w:rPr>
          <w:color w:val="000000"/>
        </w:rPr>
        <w:t xml:space="preserve">„4 Złącza zasilające;</w:t>
      </w:r>
    </w:p>
    <w:p w14:paraId="136E3157" w14:textId="10680E3C" w:rsidR="00BD004A" w:rsidRPr="000D7833" w:rsidRDefault="004844C6" w:rsidP="00BD004A">
      <w:pPr>
        <w:widowControl w:val="0"/>
        <w:suppressAutoHyphens/>
        <w:autoSpaceDE w:val="0"/>
        <w:spacing w:after="0" w:line="240" w:lineRule="auto"/>
        <w:jc w:val="both"/>
        <w:rPr>
          <w:bCs/>
          <w:color w:val="000000"/>
          <w:rFonts w:eastAsia="Times New Roman" w:cstheme="minorHAnsi"/>
        </w:rPr>
      </w:pPr>
      <w:r>
        <w:rPr>
          <w:color w:val="000000"/>
        </w:rPr>
        <w:t xml:space="preserve">„5 Ładowarka.</w:t>
      </w:r>
    </w:p>
    <w:p w14:paraId="3566D0B9" w14:textId="172F8DEF" w:rsidR="00174E77" w:rsidRPr="000D7833" w:rsidRDefault="004844C6" w:rsidP="001703A4">
      <w:pPr>
        <w:pStyle w:val="Corpsdetexte"/>
        <w:spacing w:before="120"/>
        <w:rPr>
          <w:rFonts w:cstheme="minorHAnsi"/>
        </w:rPr>
      </w:pPr>
      <w:r>
        <w:t xml:space="preserve">„Do celów niniejszego artykułu laptop definiuje się jako komputer specjalnie zaprojektowany, aby był przenośny i działał przez długi czas z bezpośrednim podłączeniem do źródła prądu przemiennego lub bez niego.</w:t>
      </w:r>
      <w:r>
        <w:t xml:space="preserve"> </w:t>
      </w:r>
      <w:r>
        <w:t xml:space="preserve">Laptopy wykorzystują zintegrowany ekran o widocznej przekątnej co najmniej 22,86 cm (9 cali) i mogą pracować na zintegrowanej baterii lub innym przenośnym źródle zasilania.</w:t>
      </w:r>
      <w:r>
        <w:t xml:space="preserve"> </w:t>
      </w:r>
    </w:p>
    <w:p w14:paraId="446224D8" w14:textId="7830382D" w:rsidR="001222B7" w:rsidRPr="000D7833" w:rsidRDefault="004844C6" w:rsidP="005816BD">
      <w:pPr>
        <w:pStyle w:val="Corpsdetexte"/>
        <w:rPr>
          <w:rFonts w:cstheme="minorHAnsi"/>
        </w:rPr>
      </w:pPr>
      <w:r>
        <w:t xml:space="preserve">„Nie podlegają przepisom niniejszego artykułu urządzenia zawierające ekran dotykowy lub komputery, których podstawowa funkcjonalność opiera się na połączeniu ze zdalnymi zasobami komputerowymi i które nie posiadają dyskowych nośników danych jako integralnej części produktu.</w:t>
      </w:r>
    </w:p>
    <w:p w14:paraId="042C51EE" w14:textId="36D72F10" w:rsidR="00E35882" w:rsidRPr="000D7833" w:rsidRDefault="00C70114" w:rsidP="00E35882">
      <w:pPr>
        <w:pStyle w:val="Corpsdetexte"/>
        <w:rPr>
          <w:rFonts w:cstheme="minorHAnsi"/>
        </w:rPr>
      </w:pPr>
      <w:r>
        <w:t xml:space="preserve">„</w:t>
      </w:r>
      <w:r>
        <w:rPr>
          <w:i/>
        </w:rPr>
        <w:t xml:space="preserve">Art. R. 111-4-2.</w:t>
      </w:r>
      <w:r>
        <w:t xml:space="preserve"> </w:t>
      </w:r>
      <w:r>
        <w:t xml:space="preserve">— I.- Producenci lub importerzy smartfonów zapewniają dostępność następujących części zamiennych najpóźniej po upływie dwóch lat od daty wprowadzenia na rynek krajowy pierwszej jednostki danego smartfona i przez okres co najmniej pięciu lat od daty wprowadzenia na rynek krajowy ostatniego egzemplarza danego modelu smartfona:</w:t>
      </w:r>
      <w:r>
        <w:t xml:space="preserve"> </w:t>
      </w:r>
    </w:p>
    <w:p w14:paraId="334FDAAC" w14:textId="23BE2991" w:rsidR="00BC718B" w:rsidRPr="000D7833" w:rsidRDefault="004844C6" w:rsidP="00171626">
      <w:pPr>
        <w:pStyle w:val="Corpsdetexte"/>
        <w:spacing w:after="0"/>
        <w:rPr>
          <w:rFonts w:cstheme="minorHAnsi"/>
        </w:rPr>
      </w:pPr>
      <w:r>
        <w:t xml:space="preserve">„1 Złącze ładowarki;</w:t>
      </w:r>
    </w:p>
    <w:p w14:paraId="1984CFB4" w14:textId="6B75582B" w:rsidR="00BC718B" w:rsidRPr="000D7833" w:rsidRDefault="004844C6" w:rsidP="00171626">
      <w:pPr>
        <w:pStyle w:val="Corpsdetexte"/>
        <w:spacing w:after="0"/>
        <w:rPr>
          <w:rFonts w:cstheme="minorHAnsi"/>
        </w:rPr>
      </w:pPr>
      <w:r>
        <w:t xml:space="preserve">„2 Złącza;</w:t>
      </w:r>
    </w:p>
    <w:p w14:paraId="42F16238" w14:textId="494AF6B6" w:rsidR="00171626" w:rsidRPr="000D7833" w:rsidRDefault="004844C6" w:rsidP="00171626">
      <w:pPr>
        <w:pStyle w:val="Corpsdetexte"/>
        <w:spacing w:after="0"/>
        <w:rPr>
          <w:rFonts w:cstheme="minorHAnsi"/>
        </w:rPr>
      </w:pPr>
      <w:r>
        <w:t xml:space="preserve">„3 Płyta główna;</w:t>
      </w:r>
    </w:p>
    <w:p w14:paraId="252F6533" w14:textId="32E1C78F" w:rsidR="00171626" w:rsidRPr="000D7833" w:rsidRDefault="004844C6" w:rsidP="00171626">
      <w:pPr>
        <w:pStyle w:val="Corpsdetexte"/>
        <w:spacing w:after="0"/>
        <w:rPr>
          <w:rFonts w:cstheme="minorHAnsi"/>
        </w:rPr>
      </w:pPr>
      <w:r>
        <w:t xml:space="preserve">„4 Przyciski;</w:t>
      </w:r>
    </w:p>
    <w:p w14:paraId="6510381F" w14:textId="2C9887FB" w:rsidR="00BC718B" w:rsidRPr="000D7833" w:rsidRDefault="004844C6" w:rsidP="00171626">
      <w:pPr>
        <w:pStyle w:val="Corpsdetexte"/>
        <w:spacing w:after="0"/>
        <w:rPr>
          <w:rFonts w:cstheme="minorHAnsi"/>
        </w:rPr>
      </w:pPr>
      <w:r>
        <w:t xml:space="preserve">„5 Mikrofon.</w:t>
      </w:r>
    </w:p>
    <w:p w14:paraId="0AAD15A8" w14:textId="2366471E" w:rsidR="00BD004A" w:rsidRPr="000D7833" w:rsidRDefault="004844C6" w:rsidP="003B1355">
      <w:pPr>
        <w:pStyle w:val="Corpsdetexte"/>
        <w:spacing w:before="100" w:beforeAutospacing="1" w:after="100" w:afterAutospacing="1"/>
        <w:rPr>
          <w:rFonts w:cstheme="minorHAnsi"/>
        </w:rPr>
      </w:pPr>
      <w:r>
        <w:t xml:space="preserve">Producenci lub importerzy smartfonów, o których mowa w pkt I, zapewniają dostępność następujących części w momencie wprowadzania na rynek krajowy pierwszej jednostki modelu oraz przez okres co najmniej pięciu lat od daty wprowadzenia na rynek krajowy ostatniego egzemplarza danego modelu smartfona:</w:t>
      </w:r>
    </w:p>
    <w:p w14:paraId="7AA5C237" w14:textId="3896DBA6" w:rsidR="003B1355" w:rsidRPr="000D7833" w:rsidRDefault="003B1355" w:rsidP="003B1355">
      <w:pPr>
        <w:pStyle w:val="Corpsdetexte"/>
        <w:spacing w:after="0"/>
        <w:rPr>
          <w:rFonts w:cstheme="minorHAnsi"/>
        </w:rPr>
      </w:pPr>
      <w:r>
        <w:t xml:space="preserve">„1 Urządzenie wyświetlające;</w:t>
      </w:r>
    </w:p>
    <w:p w14:paraId="4418BAE1" w14:textId="47452D4E" w:rsidR="003B1355" w:rsidRPr="000D7833" w:rsidRDefault="004844C6" w:rsidP="003B1355">
      <w:pPr>
        <w:pStyle w:val="Corpsdetexte"/>
        <w:spacing w:after="0"/>
        <w:rPr>
          <w:rFonts w:cstheme="minorHAnsi"/>
        </w:rPr>
      </w:pPr>
      <w:r>
        <w:t xml:space="preserve">„2 Bateria;</w:t>
      </w:r>
    </w:p>
    <w:p w14:paraId="03C6302B" w14:textId="372B2309" w:rsidR="003B1355" w:rsidRPr="000D7833" w:rsidRDefault="004844C6" w:rsidP="003B1355">
      <w:pPr>
        <w:pStyle w:val="Corpsdetexte"/>
        <w:spacing w:after="0"/>
        <w:rPr>
          <w:rFonts w:cstheme="minorHAnsi"/>
        </w:rPr>
      </w:pPr>
      <w:r>
        <w:t xml:space="preserve">„3 Kamera przednia;</w:t>
      </w:r>
    </w:p>
    <w:p w14:paraId="6532A0B5" w14:textId="0F09E5F4" w:rsidR="003B1355" w:rsidRPr="000D7833" w:rsidRDefault="004844C6" w:rsidP="003B1355">
      <w:pPr>
        <w:pStyle w:val="Corpsdetexte"/>
        <w:spacing w:after="0"/>
        <w:rPr>
          <w:rFonts w:cstheme="minorHAnsi"/>
        </w:rPr>
      </w:pPr>
      <w:r>
        <w:t xml:space="preserve">„4 Kamera tylna;</w:t>
      </w:r>
    </w:p>
    <w:p w14:paraId="624C3DB5" w14:textId="7AB9A3DC" w:rsidR="003B1355" w:rsidRPr="000D7833" w:rsidRDefault="004844C6" w:rsidP="003B1355">
      <w:pPr>
        <w:pStyle w:val="Corpsdetexte"/>
        <w:spacing w:after="0"/>
        <w:rPr>
          <w:rFonts w:cstheme="minorHAnsi"/>
        </w:rPr>
      </w:pPr>
      <w:r>
        <w:t xml:space="preserve">„5 Ładowarka.</w:t>
      </w:r>
    </w:p>
    <w:p w14:paraId="3A45F78C" w14:textId="6D1BC34D" w:rsidR="00BC718B" w:rsidRPr="000D7833" w:rsidRDefault="00BC718B" w:rsidP="00BD004A">
      <w:pPr>
        <w:pStyle w:val="Corpsdetexte"/>
        <w:spacing w:before="100" w:beforeAutospacing="1" w:after="100" w:afterAutospacing="1"/>
        <w:rPr>
          <w:rFonts w:cstheme="minorHAnsi"/>
        </w:rPr>
      </w:pPr>
    </w:p>
    <w:p w14:paraId="42052CAA" w14:textId="561BEEC7" w:rsidR="00177800" w:rsidRPr="000D7833" w:rsidRDefault="00177800" w:rsidP="00177800">
      <w:pPr>
        <w:pStyle w:val="Corpsdetexte"/>
        <w:spacing w:before="100" w:beforeAutospacing="1" w:after="100" w:afterAutospacing="1"/>
        <w:jc w:val="center"/>
        <w:rPr>
          <w:rFonts w:cstheme="minorHAnsi"/>
        </w:rPr>
      </w:pPr>
      <w:r>
        <w:t xml:space="preserve">Artykuł 2</w:t>
      </w:r>
      <w:r>
        <w:t xml:space="preserve"> </w:t>
      </w:r>
    </w:p>
    <w:p w14:paraId="5B8F543E" w14:textId="77777777" w:rsidR="00177800" w:rsidRPr="000D7833" w:rsidRDefault="000B35CA" w:rsidP="00177800">
      <w:pPr>
        <w:pStyle w:val="Corpsdetexte"/>
        <w:spacing w:before="100" w:beforeAutospacing="1" w:after="100" w:afterAutospacing="1"/>
        <w:rPr>
          <w:rFonts w:cstheme="minorHAnsi"/>
        </w:rPr>
      </w:pPr>
      <w:r>
        <w:t xml:space="preserve"> </w:t>
      </w:r>
      <w:r>
        <w:t xml:space="preserve">Niniejsze rozporządzenie wchodzi w życie z dniem 1 stycznia 2020 r.</w:t>
      </w:r>
    </w:p>
    <w:p w14:paraId="249FAA3D" w14:textId="77777777" w:rsidR="00177800" w:rsidRPr="000D7833" w:rsidRDefault="00177800" w:rsidP="00177800">
      <w:pPr>
        <w:pStyle w:val="Corpsdetexte"/>
        <w:spacing w:before="100" w:beforeAutospacing="1" w:after="100" w:afterAutospacing="1"/>
        <w:rPr>
          <w:rFonts w:cstheme="minorHAnsi"/>
        </w:rPr>
      </w:pPr>
    </w:p>
    <w:p w14:paraId="1C52A63A" w14:textId="1CCF57BD" w:rsidR="00177800" w:rsidRPr="000D7833" w:rsidRDefault="00177800" w:rsidP="00177800">
      <w:pPr>
        <w:pStyle w:val="Corpsdetexte"/>
        <w:spacing w:before="100" w:beforeAutospacing="1" w:after="100" w:afterAutospacing="1"/>
        <w:jc w:val="center"/>
        <w:rPr>
          <w:rFonts w:cstheme="minorHAnsi"/>
        </w:rPr>
      </w:pPr>
      <w:r>
        <w:t xml:space="preserve">Artykuł 3</w:t>
      </w:r>
    </w:p>
    <w:p w14:paraId="29BFBE29" w14:textId="094041AF" w:rsidR="00177800" w:rsidRPr="000D7833" w:rsidRDefault="00177800" w:rsidP="00177800">
      <w:pPr>
        <w:pStyle w:val="Corpsdetexte"/>
        <w:spacing w:before="100" w:beforeAutospacing="1" w:after="100" w:afterAutospacing="1"/>
        <w:rPr>
          <w:rFonts w:cstheme="minorHAnsi"/>
        </w:rPr>
      </w:pPr>
      <w:r>
        <w:t xml:space="preserve">Minister Gospodarki, Finansów i Odbudowy oraz Minister Delegowany przy Ministrze Gospodarki, Finansów i Odbudowy, odpowiedzialny za małe i średnie przedsiębiorstwa, są odpowiedzialni za stosowanie niniejszego rozporządzenia, które zostanie opublikowane w Dzienniku Urzędowym Republiki Francuskiej.</w:t>
      </w:r>
      <w:r>
        <w:t xml:space="preserve"> </w:t>
      </w:r>
    </w:p>
    <w:p w14:paraId="3BEF027C" w14:textId="77777777" w:rsidR="00E12BA5" w:rsidRPr="000D7833" w:rsidRDefault="00177800" w:rsidP="00177800">
      <w:pPr>
        <w:pStyle w:val="Corpsdetexte"/>
        <w:spacing w:before="100" w:beforeAutospacing="1" w:after="100" w:afterAutospacing="1"/>
        <w:rPr>
          <w:rFonts w:cstheme="minorHAnsi"/>
        </w:rPr>
      </w:pPr>
      <w:r>
        <w:t xml:space="preserve"> </w:t>
      </w:r>
    </w:p>
    <w:p w14:paraId="5B3F35D9" w14:textId="77777777" w:rsidR="00A12959" w:rsidRPr="00E35882" w:rsidRDefault="00A12959" w:rsidP="00A12959">
      <w:pPr>
        <w:pStyle w:val="SNContreseing"/>
        <w:rPr>
          <w:rFonts w:cstheme="minorHAnsi"/>
        </w:rPr>
      </w:pPr>
      <w:r>
        <w:t xml:space="preserve">Sporządzono w dniu:</w:t>
      </w:r>
    </w:p>
    <w:p w14:paraId="2301A7C4" w14:textId="77777777" w:rsidR="00A12959" w:rsidRPr="00E35882" w:rsidRDefault="00A12959" w:rsidP="00A12959">
      <w:pPr>
        <w:pStyle w:val="SNContreseing"/>
        <w:rPr>
          <w:rFonts w:cstheme="minorHAnsi"/>
        </w:rPr>
      </w:pPr>
    </w:p>
    <w:p w14:paraId="118DCD31" w14:textId="77777777" w:rsidR="00A12959" w:rsidRPr="00E35882" w:rsidRDefault="00A12959" w:rsidP="00A12959">
      <w:pPr>
        <w:pStyle w:val="SNContreseing"/>
        <w:rPr>
          <w:rFonts w:cstheme="minorHAnsi"/>
        </w:rPr>
      </w:pPr>
      <w:r>
        <w:t xml:space="preserve">Premier,</w:t>
      </w:r>
    </w:p>
    <w:p w14:paraId="0805931E" w14:textId="77777777" w:rsidR="00A12959" w:rsidRPr="00E35882" w:rsidRDefault="00A12959" w:rsidP="00A12959">
      <w:pPr>
        <w:pStyle w:val="SNSignatureprnomnomGauche"/>
        <w:rPr>
          <w:rFonts w:cstheme="minorHAnsi"/>
        </w:rPr>
      </w:pPr>
    </w:p>
    <w:p w14:paraId="58E98FDB" w14:textId="77777777" w:rsidR="00A12959" w:rsidRPr="00E35882" w:rsidRDefault="004A08DF" w:rsidP="00573262">
      <w:pPr>
        <w:pStyle w:val="SNSignatureDroite"/>
        <w:spacing w:before="100" w:beforeAutospacing="1" w:after="100" w:afterAutospacing="1"/>
        <w:ind w:left="0"/>
        <w:jc w:val="left"/>
        <w:rPr>
          <w:rFonts w:cstheme="minorHAnsi"/>
        </w:rPr>
      </w:pPr>
      <w:r>
        <w:t xml:space="preserve">  </w:t>
      </w:r>
    </w:p>
    <w:p w14:paraId="1340B9F9" w14:textId="77777777" w:rsidR="00A12959" w:rsidRPr="00E35882" w:rsidRDefault="00A12959" w:rsidP="00A12959">
      <w:pPr>
        <w:pStyle w:val="SNSignatureprnomnomDroite"/>
        <w:rPr>
          <w:rFonts w:cstheme="minorHAnsi"/>
        </w:rPr>
      </w:pPr>
    </w:p>
    <w:p w14:paraId="352B5123" w14:textId="77777777" w:rsidR="00810E74" w:rsidRDefault="004A08DF" w:rsidP="004A08DF">
      <w:pPr>
        <w:pStyle w:val="SNSignatureprnomnomGauche"/>
        <w:spacing w:before="100" w:beforeAutospacing="1" w:after="100" w:afterAutospacing="1"/>
        <w:ind w:left="4248" w:right="0" w:firstLine="708"/>
        <w:rPr>
          <w:rFonts w:cstheme="minorHAnsi"/>
        </w:rPr>
      </w:pPr>
      <w:r>
        <w:t xml:space="preserve">Minister Gospodarki, Finansów i</w:t>
      </w:r>
    </w:p>
    <w:p w14:paraId="59D470B9" w14:textId="77777777" w:rsidR="004A08DF" w:rsidRPr="00E35882" w:rsidRDefault="004A08DF" w:rsidP="004A08DF">
      <w:pPr>
        <w:pStyle w:val="SNSignatureprnomnomGauche"/>
        <w:spacing w:before="100" w:beforeAutospacing="1" w:after="100" w:afterAutospacing="1"/>
        <w:ind w:left="4248" w:right="0" w:firstLine="708"/>
        <w:rPr>
          <w:rFonts w:cstheme="minorHAnsi"/>
        </w:rPr>
      </w:pPr>
      <w:r>
        <w:t xml:space="preserve">Odbudowy</w:t>
      </w:r>
    </w:p>
    <w:p w14:paraId="45F54E36" w14:textId="77777777" w:rsidR="004A08DF" w:rsidRDefault="004A08DF" w:rsidP="004A08DF">
      <w:pPr>
        <w:pStyle w:val="SNSignatureprnomnomGauche"/>
        <w:spacing w:before="100" w:beforeAutospacing="1" w:after="100" w:afterAutospacing="1"/>
        <w:ind w:left="4248" w:right="0" w:firstLine="708"/>
      </w:pPr>
      <w:r>
        <w:t xml:space="preserve">       </w:t>
      </w:r>
    </w:p>
    <w:p w14:paraId="6EC641C2" w14:textId="77777777" w:rsidR="004A08DF" w:rsidRDefault="004A08DF" w:rsidP="004A08DF">
      <w:pPr>
        <w:pStyle w:val="SNSignatureprnomnomGauche"/>
        <w:spacing w:before="100" w:beforeAutospacing="1" w:after="100" w:afterAutospacing="1"/>
        <w:ind w:left="4956" w:right="0" w:firstLine="708"/>
      </w:pPr>
      <w:r>
        <w:t xml:space="preserve">Bruno LE MAIRE</w:t>
      </w:r>
    </w:p>
    <w:p w14:paraId="51100F51" w14:textId="77777777" w:rsidR="00D876E8" w:rsidRPr="00513CFB" w:rsidRDefault="00D876E8" w:rsidP="00D876E8">
      <w:pPr>
        <w:pStyle w:val="SNSignatureprnomnomDroite"/>
        <w:ind w:left="0"/>
        <w:jc w:val="left"/>
        <w:rPr>
          <w:color w:val="000000" w:themeColor="text1"/>
        </w:rPr>
      </w:pPr>
      <w:r>
        <w:rPr>
          <w:color w:val="000000" w:themeColor="text1"/>
        </w:rPr>
        <w:t xml:space="preserve">Minister Delegowany przy Ministrze Gospodarki,</w:t>
      </w:r>
      <w:r>
        <w:rPr>
          <w:color w:val="000000" w:themeColor="text1"/>
        </w:rPr>
        <w:t xml:space="preserve"> </w:t>
      </w:r>
    </w:p>
    <w:p w14:paraId="4ED1991B" w14:textId="77777777" w:rsidR="00D876E8" w:rsidRPr="00513CFB" w:rsidRDefault="00D876E8" w:rsidP="00D876E8">
      <w:pPr>
        <w:pStyle w:val="SNSignatureprnomnomDroite"/>
        <w:ind w:left="0"/>
        <w:jc w:val="left"/>
        <w:rPr>
          <w:color w:val="000000" w:themeColor="text1"/>
        </w:rPr>
      </w:pPr>
      <w:r>
        <w:rPr>
          <w:color w:val="000000" w:themeColor="text1"/>
        </w:rPr>
        <w:t xml:space="preserve">Finansów i Odbudowy,</w:t>
      </w:r>
    </w:p>
    <w:p w14:paraId="1B025A9B" w14:textId="3B81F052" w:rsidR="00D876E8" w:rsidRPr="00513CFB" w:rsidRDefault="00D876E8" w:rsidP="00D876E8">
      <w:pPr>
        <w:pStyle w:val="SNSignatureprnomnomDroite"/>
        <w:ind w:left="0"/>
        <w:jc w:val="left"/>
        <w:rPr>
          <w:color w:val="000000" w:themeColor="text1"/>
        </w:rPr>
      </w:pPr>
      <w:r>
        <w:rPr>
          <w:color w:val="000000" w:themeColor="text1"/>
        </w:rPr>
        <w:t xml:space="preserve">odpowiedzialny za małe i średnie przedsiębiorstwa,</w:t>
      </w:r>
    </w:p>
    <w:p w14:paraId="445ABEE1" w14:textId="77777777" w:rsidR="00D876E8" w:rsidRPr="00513CFB" w:rsidRDefault="00D876E8" w:rsidP="00D876E8">
      <w:pPr>
        <w:pStyle w:val="SNSignatureprnomnomDroite"/>
        <w:ind w:left="0"/>
        <w:jc w:val="left"/>
        <w:rPr>
          <w:color w:val="000000" w:themeColor="text1"/>
        </w:rPr>
      </w:pPr>
    </w:p>
    <w:p w14:paraId="64EF63B9" w14:textId="77777777" w:rsidR="00D876E8" w:rsidRPr="00513CFB" w:rsidRDefault="00D876E8" w:rsidP="00D876E8">
      <w:pPr>
        <w:pStyle w:val="SNSignatureprnomnomDroite"/>
        <w:ind w:left="0"/>
        <w:jc w:val="left"/>
        <w:rPr>
          <w:color w:val="000000" w:themeColor="text1"/>
        </w:rPr>
      </w:pPr>
    </w:p>
    <w:p w14:paraId="68599E05" w14:textId="77777777" w:rsidR="00D876E8" w:rsidRPr="009A2D0A" w:rsidRDefault="00D876E8" w:rsidP="00D876E8">
      <w:pPr>
        <w:pStyle w:val="SNSignatureprnomnomDroite"/>
        <w:ind w:left="0" w:firstLine="708"/>
        <w:jc w:val="left"/>
        <w:rPr>
          <w:color w:val="000000" w:themeColor="text1"/>
        </w:rPr>
      </w:pPr>
      <w:r>
        <w:rPr>
          <w:color w:val="000000" w:themeColor="text1"/>
        </w:rPr>
        <w:t xml:space="preserve">Alain Griset</w:t>
      </w:r>
    </w:p>
    <w:p w14:paraId="46D5AF01" w14:textId="77777777" w:rsidR="00A12959" w:rsidRDefault="00A12959" w:rsidP="00D876E8">
      <w:pPr>
        <w:pStyle w:val="SNSignatureprnomnomDroite"/>
        <w:ind w:left="0"/>
        <w:jc w:val="left"/>
      </w:pPr>
    </w:p>
    <w:p w14:paraId="0EA79933" w14:textId="1E996CBD" w:rsidR="00AA23FB" w:rsidRDefault="00081B28" w:rsidP="00081B28">
      <w:r>
        <w:t xml:space="preserve"> </w:t>
      </w:r>
    </w:p>
    <w:sectPr w:rsidR="00AA23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EB36C0"/>
    <w:multiLevelType w:val="hybridMultilevel"/>
    <w:tmpl w:val="AD24E272"/>
    <w:lvl w:ilvl="0" w:tplc="151418E0">
      <w:start w:val="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5E35A65"/>
    <w:multiLevelType w:val="hybridMultilevel"/>
    <w:tmpl w:val="DD5EEB12"/>
    <w:lvl w:ilvl="0" w:tplc="075CAA8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A491B20"/>
    <w:multiLevelType w:val="hybridMultilevel"/>
    <w:tmpl w:val="B1546204"/>
    <w:lvl w:ilvl="0" w:tplc="D632C204">
      <w:start w:val="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8224C9A"/>
    <w:multiLevelType w:val="hybridMultilevel"/>
    <w:tmpl w:val="DFF2CB3E"/>
    <w:lvl w:ilvl="0" w:tplc="BD76E4B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65C661F"/>
    <w:multiLevelType w:val="hybridMultilevel"/>
    <w:tmpl w:val="82EE7A0E"/>
    <w:lvl w:ilvl="0" w:tplc="5ABA06EA">
      <w:start w:val="3"/>
      <w:numFmt w:val="bullet"/>
      <w:lvlText w:val="-"/>
      <w:lvlJc w:val="left"/>
      <w:pPr>
        <w:ind w:left="1919"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D061428"/>
    <w:multiLevelType w:val="hybridMultilevel"/>
    <w:tmpl w:val="4078B85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959"/>
    <w:rsid w:val="00043DF9"/>
    <w:rsid w:val="0005658C"/>
    <w:rsid w:val="00066DCE"/>
    <w:rsid w:val="00067530"/>
    <w:rsid w:val="00073225"/>
    <w:rsid w:val="00081B28"/>
    <w:rsid w:val="000B35CA"/>
    <w:rsid w:val="000C617C"/>
    <w:rsid w:val="000D64D6"/>
    <w:rsid w:val="000D7833"/>
    <w:rsid w:val="001222B7"/>
    <w:rsid w:val="00134419"/>
    <w:rsid w:val="00145388"/>
    <w:rsid w:val="00151403"/>
    <w:rsid w:val="001533FA"/>
    <w:rsid w:val="00161892"/>
    <w:rsid w:val="001703A4"/>
    <w:rsid w:val="00171626"/>
    <w:rsid w:val="00171D8C"/>
    <w:rsid w:val="00172565"/>
    <w:rsid w:val="00174E77"/>
    <w:rsid w:val="00175334"/>
    <w:rsid w:val="00177800"/>
    <w:rsid w:val="00186111"/>
    <w:rsid w:val="001B68CE"/>
    <w:rsid w:val="001C5C7D"/>
    <w:rsid w:val="001F07F8"/>
    <w:rsid w:val="001F2839"/>
    <w:rsid w:val="00202077"/>
    <w:rsid w:val="00225455"/>
    <w:rsid w:val="00251AD1"/>
    <w:rsid w:val="00261AFF"/>
    <w:rsid w:val="00283F62"/>
    <w:rsid w:val="002A1814"/>
    <w:rsid w:val="002B271E"/>
    <w:rsid w:val="002D2B4D"/>
    <w:rsid w:val="00322061"/>
    <w:rsid w:val="003557CC"/>
    <w:rsid w:val="003773A1"/>
    <w:rsid w:val="003A38BE"/>
    <w:rsid w:val="003A6C9D"/>
    <w:rsid w:val="003B1355"/>
    <w:rsid w:val="003B2709"/>
    <w:rsid w:val="003E0D87"/>
    <w:rsid w:val="003E3510"/>
    <w:rsid w:val="003E458D"/>
    <w:rsid w:val="004111A9"/>
    <w:rsid w:val="00422A75"/>
    <w:rsid w:val="004309C5"/>
    <w:rsid w:val="004317F8"/>
    <w:rsid w:val="004364C6"/>
    <w:rsid w:val="00453D68"/>
    <w:rsid w:val="00464DE3"/>
    <w:rsid w:val="00466B46"/>
    <w:rsid w:val="004844C6"/>
    <w:rsid w:val="00494163"/>
    <w:rsid w:val="00494333"/>
    <w:rsid w:val="004A08DF"/>
    <w:rsid w:val="004C5B50"/>
    <w:rsid w:val="004E7346"/>
    <w:rsid w:val="004F6E56"/>
    <w:rsid w:val="00500497"/>
    <w:rsid w:val="00502FED"/>
    <w:rsid w:val="00513CFB"/>
    <w:rsid w:val="005200C5"/>
    <w:rsid w:val="00523041"/>
    <w:rsid w:val="00542E4C"/>
    <w:rsid w:val="00547626"/>
    <w:rsid w:val="00564362"/>
    <w:rsid w:val="00573262"/>
    <w:rsid w:val="00577C0C"/>
    <w:rsid w:val="005816BD"/>
    <w:rsid w:val="005862B7"/>
    <w:rsid w:val="0059056C"/>
    <w:rsid w:val="005A332D"/>
    <w:rsid w:val="005D596F"/>
    <w:rsid w:val="005F453C"/>
    <w:rsid w:val="005F4F80"/>
    <w:rsid w:val="00601DDD"/>
    <w:rsid w:val="00636B89"/>
    <w:rsid w:val="00645E6B"/>
    <w:rsid w:val="00651BC3"/>
    <w:rsid w:val="00655636"/>
    <w:rsid w:val="0066176B"/>
    <w:rsid w:val="00667BCB"/>
    <w:rsid w:val="00685982"/>
    <w:rsid w:val="006A6D0D"/>
    <w:rsid w:val="006C724E"/>
    <w:rsid w:val="006E12C8"/>
    <w:rsid w:val="006F0A21"/>
    <w:rsid w:val="006F40E8"/>
    <w:rsid w:val="0070522E"/>
    <w:rsid w:val="00730906"/>
    <w:rsid w:val="00734679"/>
    <w:rsid w:val="00734C8B"/>
    <w:rsid w:val="00735C8F"/>
    <w:rsid w:val="00792228"/>
    <w:rsid w:val="00795950"/>
    <w:rsid w:val="007A3E05"/>
    <w:rsid w:val="007C711D"/>
    <w:rsid w:val="007E3CBE"/>
    <w:rsid w:val="007F45AD"/>
    <w:rsid w:val="00807F84"/>
    <w:rsid w:val="00810E74"/>
    <w:rsid w:val="008122F1"/>
    <w:rsid w:val="00831E7A"/>
    <w:rsid w:val="00850A0C"/>
    <w:rsid w:val="008542A2"/>
    <w:rsid w:val="008612AE"/>
    <w:rsid w:val="00864564"/>
    <w:rsid w:val="00867E6D"/>
    <w:rsid w:val="008706E4"/>
    <w:rsid w:val="00875E9C"/>
    <w:rsid w:val="008763F4"/>
    <w:rsid w:val="00883FAD"/>
    <w:rsid w:val="008A7D57"/>
    <w:rsid w:val="008C7683"/>
    <w:rsid w:val="00906935"/>
    <w:rsid w:val="00912DB3"/>
    <w:rsid w:val="00960A39"/>
    <w:rsid w:val="0099084D"/>
    <w:rsid w:val="009B0D3C"/>
    <w:rsid w:val="009B27E1"/>
    <w:rsid w:val="009B3208"/>
    <w:rsid w:val="00A12959"/>
    <w:rsid w:val="00A568DF"/>
    <w:rsid w:val="00A7682E"/>
    <w:rsid w:val="00A86669"/>
    <w:rsid w:val="00AA23FB"/>
    <w:rsid w:val="00AB5A74"/>
    <w:rsid w:val="00AC6B4F"/>
    <w:rsid w:val="00AD1550"/>
    <w:rsid w:val="00AE60F8"/>
    <w:rsid w:val="00B22D1F"/>
    <w:rsid w:val="00B323D3"/>
    <w:rsid w:val="00B448F1"/>
    <w:rsid w:val="00B672B7"/>
    <w:rsid w:val="00B8071C"/>
    <w:rsid w:val="00B911B3"/>
    <w:rsid w:val="00BC718B"/>
    <w:rsid w:val="00BD004A"/>
    <w:rsid w:val="00BD5009"/>
    <w:rsid w:val="00BF76F4"/>
    <w:rsid w:val="00C005E2"/>
    <w:rsid w:val="00C064C2"/>
    <w:rsid w:val="00C1432A"/>
    <w:rsid w:val="00C20F8A"/>
    <w:rsid w:val="00C361E6"/>
    <w:rsid w:val="00C61193"/>
    <w:rsid w:val="00C70114"/>
    <w:rsid w:val="00C760F9"/>
    <w:rsid w:val="00CB07A5"/>
    <w:rsid w:val="00CF3437"/>
    <w:rsid w:val="00D473F7"/>
    <w:rsid w:val="00D532F6"/>
    <w:rsid w:val="00D74FF2"/>
    <w:rsid w:val="00D876E8"/>
    <w:rsid w:val="00DA28ED"/>
    <w:rsid w:val="00DB4AF0"/>
    <w:rsid w:val="00E12BA5"/>
    <w:rsid w:val="00E35882"/>
    <w:rsid w:val="00E52DD2"/>
    <w:rsid w:val="00E5602B"/>
    <w:rsid w:val="00E74F63"/>
    <w:rsid w:val="00E86C58"/>
    <w:rsid w:val="00EA14E1"/>
    <w:rsid w:val="00EC0C05"/>
    <w:rsid w:val="00ED43F1"/>
    <w:rsid w:val="00EF3255"/>
    <w:rsid w:val="00F16422"/>
    <w:rsid w:val="00F55038"/>
    <w:rsid w:val="00F62ED7"/>
    <w:rsid w:val="00F815FC"/>
    <w:rsid w:val="00FB6E73"/>
    <w:rsid w:val="00FC2A8E"/>
    <w:rsid w:val="00FC6A5C"/>
    <w:rsid w:val="00FF196F"/>
    <w:rsid w:val="00FF1E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ADBBB"/>
  <w15:chartTrackingRefBased/>
  <w15:docId w15:val="{72D55D33-6D18-451F-B509-51222652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959"/>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nhideWhenUsed/>
    <w:rsid w:val="00A12959"/>
    <w:pPr>
      <w:spacing w:after="120"/>
      <w:jc w:val="both"/>
    </w:pPr>
  </w:style>
  <w:style w:type="character" w:customStyle="1" w:styleId="CorpsdetexteCar">
    <w:name w:val="Corps de texte Car"/>
    <w:basedOn w:val="Policepardfaut"/>
    <w:link w:val="Corpsdetexte"/>
    <w:rsid w:val="00A12959"/>
  </w:style>
  <w:style w:type="paragraph" w:customStyle="1" w:styleId="SNREPUBLIQUE">
    <w:name w:val="SNREPUBLIQUE"/>
    <w:basedOn w:val="Normal"/>
    <w:rsid w:val="00A12959"/>
    <w:pPr>
      <w:jc w:val="center"/>
    </w:pPr>
    <w:rPr>
      <w:b/>
      <w:bCs/>
      <w:szCs w:val="20"/>
    </w:rPr>
  </w:style>
  <w:style w:type="paragraph" w:customStyle="1" w:styleId="SNtitre">
    <w:name w:val="SNtitre"/>
    <w:basedOn w:val="Normal"/>
    <w:next w:val="SNNORCentr"/>
    <w:autoRedefine/>
    <w:rsid w:val="00A12959"/>
    <w:pPr>
      <w:widowControl w:val="0"/>
      <w:suppressLineNumbers/>
      <w:suppressAutoHyphens/>
      <w:spacing w:after="360"/>
      <w:jc w:val="center"/>
    </w:pPr>
    <w:rPr>
      <w:rFonts w:eastAsia="Lucida Sans Unicode"/>
      <w:b/>
    </w:rPr>
  </w:style>
  <w:style w:type="paragraph" w:customStyle="1" w:styleId="SNNature">
    <w:name w:val="SNNature"/>
    <w:basedOn w:val="Normal"/>
    <w:next w:val="SNtitre"/>
    <w:autoRedefine/>
    <w:rsid w:val="00A12959"/>
    <w:pPr>
      <w:widowControl w:val="0"/>
      <w:suppressLineNumbers/>
      <w:suppressAutoHyphens/>
      <w:spacing w:before="720" w:after="120"/>
      <w:jc w:val="center"/>
    </w:pPr>
    <w:rPr>
      <w:rFonts w:eastAsia="Lucida Sans Unicode"/>
      <w:b/>
      <w:bCs/>
    </w:rPr>
  </w:style>
  <w:style w:type="paragraph" w:customStyle="1" w:styleId="SNNORCentr">
    <w:name w:val="SNNOR+Centré"/>
    <w:next w:val="SNAutorit"/>
    <w:rsid w:val="00A12959"/>
    <w:pPr>
      <w:spacing w:after="0" w:line="240" w:lineRule="auto"/>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rsid w:val="00A12959"/>
    <w:pPr>
      <w:spacing w:before="100" w:beforeAutospacing="1" w:after="100" w:afterAutospacing="1"/>
      <w:ind w:firstLine="720"/>
      <w:jc w:val="both"/>
    </w:pPr>
  </w:style>
  <w:style w:type="paragraph" w:customStyle="1" w:styleId="SNSignatureprnomnomDroite">
    <w:name w:val="SNSignature prénom+nom Droite"/>
    <w:basedOn w:val="SNSignatureDroite"/>
    <w:next w:val="Normal"/>
    <w:rsid w:val="00A12959"/>
    <w:pPr>
      <w:spacing w:after="120"/>
      <w:ind w:left="5041"/>
    </w:pPr>
  </w:style>
  <w:style w:type="paragraph" w:customStyle="1" w:styleId="SNSignatureDroite">
    <w:name w:val="SNSignatureDroite"/>
    <w:basedOn w:val="Normal"/>
    <w:next w:val="SNSignatureprnomnomDroite"/>
    <w:autoRedefine/>
    <w:rsid w:val="00A12959"/>
    <w:pPr>
      <w:spacing w:before="120" w:after="1680"/>
      <w:ind w:left="5040"/>
      <w:jc w:val="right"/>
    </w:pPr>
    <w:rPr>
      <w:color w:val="000000"/>
    </w:rPr>
  </w:style>
  <w:style w:type="paragraph" w:customStyle="1" w:styleId="SNSignatureprnomnomGauche">
    <w:name w:val="SNSignature prénom+nom Gauche"/>
    <w:basedOn w:val="Normal"/>
    <w:next w:val="SNSignatureDroite"/>
    <w:rsid w:val="00A12959"/>
    <w:pPr>
      <w:spacing w:before="120" w:after="120"/>
      <w:ind w:left="720" w:right="4494"/>
    </w:pPr>
    <w:rPr>
      <w:color w:val="000000"/>
    </w:rPr>
  </w:style>
  <w:style w:type="paragraph" w:customStyle="1" w:styleId="SNTimbre">
    <w:name w:val="SNTimbre"/>
    <w:basedOn w:val="Normal"/>
    <w:autoRedefine/>
    <w:rsid w:val="00A12959"/>
    <w:pPr>
      <w:widowControl w:val="0"/>
      <w:suppressAutoHyphens/>
      <w:snapToGrid w:val="0"/>
      <w:spacing w:before="120"/>
      <w:jc w:val="center"/>
    </w:pPr>
    <w:rPr>
      <w:rFonts w:eastAsia="Lucida Sans Unicode"/>
    </w:rPr>
  </w:style>
  <w:style w:type="paragraph" w:customStyle="1" w:styleId="SNRapport">
    <w:name w:val="SNRapport"/>
    <w:basedOn w:val="Normal"/>
    <w:autoRedefine/>
    <w:rsid w:val="00A12959"/>
    <w:pPr>
      <w:spacing w:before="240" w:after="120"/>
      <w:ind w:firstLine="720"/>
    </w:pPr>
  </w:style>
  <w:style w:type="paragraph" w:customStyle="1" w:styleId="SNVisa">
    <w:name w:val="SNVisa"/>
    <w:basedOn w:val="Normal"/>
    <w:autoRedefine/>
    <w:rsid w:val="00C760F9"/>
    <w:pPr>
      <w:spacing w:before="120" w:after="120"/>
      <w:jc w:val="both"/>
    </w:pPr>
  </w:style>
  <w:style w:type="paragraph" w:customStyle="1" w:styleId="SNContreseing">
    <w:name w:val="SNContreseing"/>
    <w:basedOn w:val="Normal"/>
    <w:next w:val="Normal"/>
    <w:autoRedefine/>
    <w:rsid w:val="00A12959"/>
    <w:pPr>
      <w:spacing w:before="480"/>
      <w:ind w:firstLine="720"/>
    </w:pPr>
  </w:style>
  <w:style w:type="paragraph" w:customStyle="1" w:styleId="SNActe">
    <w:name w:val="SNActe"/>
    <w:basedOn w:val="Normal"/>
    <w:autoRedefine/>
    <w:rsid w:val="00A12959"/>
    <w:pPr>
      <w:spacing w:before="480" w:after="360"/>
      <w:jc w:val="center"/>
    </w:pPr>
    <w:rPr>
      <w:b/>
    </w:rPr>
  </w:style>
  <w:style w:type="paragraph" w:customStyle="1" w:styleId="SNArticle">
    <w:name w:val="SNArticle"/>
    <w:basedOn w:val="Normal"/>
    <w:next w:val="Corpsdetexte"/>
    <w:autoRedefine/>
    <w:rsid w:val="00A12959"/>
    <w:pPr>
      <w:spacing w:before="240" w:after="240"/>
      <w:jc w:val="center"/>
    </w:pPr>
    <w:rPr>
      <w:b/>
    </w:rPr>
  </w:style>
  <w:style w:type="character" w:customStyle="1" w:styleId="LienInternet">
    <w:name w:val="Lien Internet"/>
    <w:rsid w:val="00A12959"/>
    <w:rPr>
      <w:color w:val="0000FF"/>
      <w:u w:val="single"/>
    </w:rPr>
  </w:style>
  <w:style w:type="character" w:styleId="Lienhypertexte">
    <w:name w:val="Hyperlink"/>
    <w:basedOn w:val="Policepardfaut"/>
    <w:uiPriority w:val="99"/>
    <w:unhideWhenUsed/>
    <w:rsid w:val="00A12959"/>
    <w:rPr>
      <w:color w:val="0000FF"/>
      <w:u w:val="single"/>
    </w:rPr>
  </w:style>
  <w:style w:type="character" w:styleId="Marquedecommentaire">
    <w:name w:val="annotation reference"/>
    <w:basedOn w:val="Policepardfaut"/>
    <w:uiPriority w:val="99"/>
    <w:semiHidden/>
    <w:unhideWhenUsed/>
    <w:rsid w:val="00CB07A5"/>
    <w:rPr>
      <w:sz w:val="16"/>
      <w:szCs w:val="16"/>
    </w:rPr>
  </w:style>
  <w:style w:type="paragraph" w:styleId="Commentaire">
    <w:name w:val="annotation text"/>
    <w:basedOn w:val="Normal"/>
    <w:link w:val="CommentaireCar"/>
    <w:uiPriority w:val="99"/>
    <w:semiHidden/>
    <w:unhideWhenUsed/>
    <w:rsid w:val="00CB07A5"/>
    <w:pPr>
      <w:spacing w:line="240" w:lineRule="auto"/>
    </w:pPr>
    <w:rPr>
      <w:sz w:val="20"/>
      <w:szCs w:val="20"/>
    </w:rPr>
  </w:style>
  <w:style w:type="character" w:customStyle="1" w:styleId="CommentaireCar">
    <w:name w:val="Commentaire Car"/>
    <w:basedOn w:val="Policepardfaut"/>
    <w:link w:val="Commentaire"/>
    <w:uiPriority w:val="99"/>
    <w:semiHidden/>
    <w:rsid w:val="00CB07A5"/>
    <w:rPr>
      <w:sz w:val="20"/>
      <w:szCs w:val="20"/>
    </w:rPr>
  </w:style>
  <w:style w:type="paragraph" w:styleId="Objetducommentaire">
    <w:name w:val="annotation subject"/>
    <w:basedOn w:val="Commentaire"/>
    <w:next w:val="Commentaire"/>
    <w:link w:val="ObjetducommentaireCar"/>
    <w:uiPriority w:val="99"/>
    <w:semiHidden/>
    <w:unhideWhenUsed/>
    <w:rsid w:val="00CB07A5"/>
    <w:rPr>
      <w:b/>
      <w:bCs/>
    </w:rPr>
  </w:style>
  <w:style w:type="character" w:customStyle="1" w:styleId="ObjetducommentaireCar">
    <w:name w:val="Objet du commentaire Car"/>
    <w:basedOn w:val="CommentaireCar"/>
    <w:link w:val="Objetducommentaire"/>
    <w:uiPriority w:val="99"/>
    <w:semiHidden/>
    <w:rsid w:val="00CB07A5"/>
    <w:rPr>
      <w:b/>
      <w:bCs/>
      <w:sz w:val="20"/>
      <w:szCs w:val="20"/>
    </w:rPr>
  </w:style>
  <w:style w:type="paragraph" w:styleId="Textedebulles">
    <w:name w:val="Balloon Text"/>
    <w:basedOn w:val="Normal"/>
    <w:link w:val="TextedebullesCar"/>
    <w:uiPriority w:val="99"/>
    <w:semiHidden/>
    <w:unhideWhenUsed/>
    <w:rsid w:val="00CB07A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B07A5"/>
    <w:rPr>
      <w:rFonts w:ascii="Segoe UI" w:hAnsi="Segoe UI" w:cs="Segoe UI"/>
      <w:sz w:val="18"/>
      <w:szCs w:val="18"/>
    </w:rPr>
  </w:style>
  <w:style w:type="paragraph" w:styleId="Textebrut">
    <w:name w:val="Plain Text"/>
    <w:basedOn w:val="Normal"/>
    <w:link w:val="TextebrutCar"/>
    <w:uiPriority w:val="99"/>
    <w:semiHidden/>
    <w:unhideWhenUsed/>
    <w:rsid w:val="00CB07A5"/>
    <w:pPr>
      <w:spacing w:after="0" w:line="240" w:lineRule="auto"/>
    </w:pPr>
    <w:rPr>
      <w:rFonts w:ascii="Calibri" w:eastAsiaTheme="minorEastAsia" w:hAnsi="Calibri" w:cs="Times New Roman"/>
      <w:szCs w:val="21"/>
      <w:lang w:eastAsia="fr-FR"/>
    </w:rPr>
  </w:style>
  <w:style w:type="character" w:customStyle="1" w:styleId="TextebrutCar">
    <w:name w:val="Texte brut Car"/>
    <w:basedOn w:val="Policepardfaut"/>
    <w:link w:val="Textebrut"/>
    <w:uiPriority w:val="99"/>
    <w:semiHidden/>
    <w:rsid w:val="00CB07A5"/>
    <w:rPr>
      <w:rFonts w:ascii="Calibri" w:eastAsiaTheme="minorEastAsia" w:hAnsi="Calibri" w:cs="Times New Roman"/>
      <w:szCs w:val="21"/>
      <w:lang w:eastAsia="fr-FR"/>
    </w:rPr>
  </w:style>
  <w:style w:type="paragraph" w:customStyle="1" w:styleId="SNSignatureGauche">
    <w:name w:val="SNSignatureGauche"/>
    <w:basedOn w:val="Normal"/>
    <w:rsid w:val="007A3E05"/>
    <w:pPr>
      <w:suppressAutoHyphens/>
      <w:spacing w:before="120" w:after="1680" w:line="252" w:lineRule="auto"/>
      <w:ind w:left="720" w:right="-6" w:firstLine="1080"/>
      <w:jc w:val="right"/>
    </w:pPr>
    <w:rPr>
      <w:rFonts w:ascii="Calibri" w:eastAsia="Times New Roman" w:hAnsi="Calibri" w:cs="Times New Roma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73881">
      <w:bodyDiv w:val="1"/>
      <w:marLeft w:val="0"/>
      <w:marRight w:val="0"/>
      <w:marTop w:val="0"/>
      <w:marBottom w:val="0"/>
      <w:divBdr>
        <w:top w:val="none" w:sz="0" w:space="0" w:color="auto"/>
        <w:left w:val="none" w:sz="0" w:space="0" w:color="auto"/>
        <w:bottom w:val="none" w:sz="0" w:space="0" w:color="auto"/>
        <w:right w:val="none" w:sz="0" w:space="0" w:color="auto"/>
      </w:divBdr>
    </w:div>
    <w:div w:id="781608704">
      <w:bodyDiv w:val="1"/>
      <w:marLeft w:val="0"/>
      <w:marRight w:val="0"/>
      <w:marTop w:val="0"/>
      <w:marBottom w:val="0"/>
      <w:divBdr>
        <w:top w:val="none" w:sz="0" w:space="0" w:color="auto"/>
        <w:left w:val="none" w:sz="0" w:space="0" w:color="auto"/>
        <w:bottom w:val="none" w:sz="0" w:space="0" w:color="auto"/>
        <w:right w:val="none" w:sz="0" w:space="0" w:color="auto"/>
      </w:divBdr>
    </w:div>
    <w:div w:id="790053238">
      <w:bodyDiv w:val="1"/>
      <w:marLeft w:val="0"/>
      <w:marRight w:val="0"/>
      <w:marTop w:val="0"/>
      <w:marBottom w:val="0"/>
      <w:divBdr>
        <w:top w:val="none" w:sz="0" w:space="0" w:color="auto"/>
        <w:left w:val="none" w:sz="0" w:space="0" w:color="auto"/>
        <w:bottom w:val="none" w:sz="0" w:space="0" w:color="auto"/>
        <w:right w:val="none" w:sz="0" w:space="0" w:color="auto"/>
      </w:divBdr>
    </w:div>
    <w:div w:id="1057775999">
      <w:bodyDiv w:val="1"/>
      <w:marLeft w:val="0"/>
      <w:marRight w:val="0"/>
      <w:marTop w:val="0"/>
      <w:marBottom w:val="0"/>
      <w:divBdr>
        <w:top w:val="none" w:sz="0" w:space="0" w:color="auto"/>
        <w:left w:val="none" w:sz="0" w:space="0" w:color="auto"/>
        <w:bottom w:val="none" w:sz="0" w:space="0" w:color="auto"/>
        <w:right w:val="none" w:sz="0" w:space="0" w:color="auto"/>
      </w:divBdr>
    </w:div>
    <w:div w:id="206825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france.gouv.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424A4-B416-41DF-A90C-4C4A0F03F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962</Words>
  <Characters>5296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DGCCRF</Company>
  <LinksUpToDate>false</LinksUpToDate>
  <CharactersWithSpaces>6246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dc:creator>
  <cp:keywords/>
  <dc:description/>
  <cp:lastModifiedBy>PORTOU-DUPIN Josiane</cp:lastModifiedBy>
  <cp:revision>2</cp:revision>
  <dcterms:created xsi:type="dcterms:W3CDTF">2021-06-28T10:55:00Z</dcterms:created>
  <dcterms:modified xsi:type="dcterms:W3CDTF">2021-06-28T10:55:00Z</dcterms:modified>
</cp:coreProperties>
</file>