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0BD37" w14:textId="77777777" w:rsidR="004C79C7" w:rsidRDefault="004C79C7" w:rsidP="004C79C7">
      <w:pPr>
        <w:pageBreakBefore/>
        <w:spacing w:line="264" w:lineRule="auto"/>
        <w:jc w:val="both"/>
      </w:pPr>
      <w:bookmarkStart w:id="0" w:name="_Hlk72831917"/>
      <w:r>
        <w:rPr>
          <w:b/>
        </w:rPr>
        <w:t xml:space="preserve">II. ZNĚNÍ ČLÁNKŮ</w:t>
      </w:r>
    </w:p>
    <w:p w14:paraId="5BA7CD1B" w14:textId="77777777" w:rsidR="004C79C7" w:rsidRDefault="004C79C7" w:rsidP="004C79C7">
      <w:pPr>
        <w:tabs>
          <w:tab w:val="left" w:pos="600"/>
        </w:tabs>
        <w:spacing w:line="264" w:lineRule="auto"/>
        <w:rPr>
          <w:bCs/>
          <w:szCs w:val="20"/>
          <w:rFonts w:eastAsia="Calibri"/>
        </w:rPr>
      </w:pPr>
      <w:r>
        <w:tab/>
      </w:r>
    </w:p>
    <w:p w14:paraId="4F7474D3" w14:textId="77777777" w:rsidR="004C79C7" w:rsidRDefault="004C79C7" w:rsidP="004C79C7">
      <w:pPr>
        <w:tabs>
          <w:tab w:val="left" w:pos="600"/>
        </w:tabs>
        <w:spacing w:line="264" w:lineRule="auto"/>
      </w:pPr>
    </w:p>
    <w:p w14:paraId="41B2B1B2" w14:textId="77777777" w:rsidR="004C79C7" w:rsidRDefault="004C79C7" w:rsidP="004C79C7">
      <w:pPr>
        <w:tabs>
          <w:tab w:val="left" w:pos="600"/>
        </w:tabs>
        <w:spacing w:line="264" w:lineRule="auto"/>
        <w:jc w:val="both"/>
      </w:pPr>
      <w:r>
        <w:tab/>
      </w:r>
    </w:p>
    <w:p w14:paraId="7F57DAD8" w14:textId="77777777" w:rsidR="004C79C7" w:rsidRDefault="004C79C7" w:rsidP="004C79C7">
      <w:pPr>
        <w:spacing w:line="260" w:lineRule="exact"/>
        <w:contextualSpacing/>
        <w:jc w:val="both"/>
        <w:rPr>
          <w:color w:val="000000"/>
          <w:szCs w:val="20"/>
          <w:lang w:val="sl-SI" w:eastAsia="sl-SI"/>
        </w:rPr>
      </w:pPr>
    </w:p>
    <w:p w14:paraId="687380DC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32236372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48CE4082" w14:textId="77777777" w:rsidR="001709BC" w:rsidRDefault="001709BC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BB8872B" w14:textId="655F7D2F" w:rsidR="00473EA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zákoně o hazardních hrách (Úřední věstník Republiky Slovinsko, č. 14/11 – oficiální konsolidované znění, 108/12, 11/14 – změna a 40/14 – ZIN-B) se doplňuje nový článek 1a, který zní:</w:t>
      </w:r>
    </w:p>
    <w:p w14:paraId="08D38BB6" w14:textId="7134920A" w:rsidR="00473EA7" w:rsidRDefault="00473EA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A391B2A" w14:textId="7404E2E9" w:rsidR="00473EA7" w:rsidRDefault="00473EA7" w:rsidP="00473EA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„1.a</w:t>
      </w:r>
    </w:p>
    <w:p w14:paraId="7A82030C" w14:textId="68BBCDAE" w:rsidR="00473EA7" w:rsidRDefault="00473EA7" w:rsidP="00473EA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34C420CF" w14:textId="6CA95388" w:rsidR="00473EA7" w:rsidRP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Tento zákon se vydává na základě postupu informování v souladu se směrnicí Evropského parlamentu a Rady (EU) 2015/1535 ze dne 9. září 2015 o postupu při poskytování informací v oblasti technických předpisů a předpisů pro služby informační společnosti (Úř. věst. L 241,17.</w:t>
      </w:r>
      <w:r>
        <w:rPr>
          <w:color w:val="000000"/>
        </w:rPr>
        <w:t xml:space="preserve"> </w:t>
      </w:r>
      <w:r>
        <w:rPr>
          <w:color w:val="000000"/>
        </w:rPr>
        <w:t xml:space="preserve">9.</w:t>
      </w:r>
      <w:r>
        <w:rPr>
          <w:color w:val="000000"/>
        </w:rPr>
        <w:t xml:space="preserve"> </w:t>
      </w:r>
      <w:r>
        <w:rPr>
          <w:color w:val="000000"/>
        </w:rPr>
        <w:t xml:space="preserve">2015, s. 1).</w:t>
      </w:r>
    </w:p>
    <w:p w14:paraId="632B7765" w14:textId="77777777" w:rsidR="00473EA7" w:rsidRP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904180" w14:textId="6EF2C7FC" w:rsidR="00473EA7" w:rsidRP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Ustanovení tohoto zákona se nevztahují na výrobky, které jsou v souladu s vnitrostátními právními předpisy zajišťujícími rovnocennou úroveň ochrany veřejného zájmu, jak je definována v právních předpisech Republiky Slovinsko, v souladu s právními předpisy vyráběny nebo uváděny na trh v jiných členských státech Evropské unie a v Turecku nebo jsou vyráběny v zemích Evropského sdružení volného obchodu (ESVO), které jsou rovněž signatáři Dohody o Evropském hospodářském prostoru.</w:t>
      </w:r>
    </w:p>
    <w:p w14:paraId="5A2D7CE0" w14:textId="77777777" w:rsidR="00473EA7" w:rsidRP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C9E2ACD" w14:textId="4C094B75" w:rsid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Tento zákon se provádí v souladu s nařízením Evropského parlamentu a Rady (ES) č. 764/2008 ze dne 9. července 2008, kterým se stanoví postupy týkající se uplatňování některých vnitrostátních technických pravidel u výrobků uvedených v souladu s právními předpisy na trh v jiném členském státě a kterým se zrušuje rozhodnutí č. 3052/95/ES (Úř. věst. L 218, 13.</w:t>
      </w:r>
      <w:r>
        <w:rPr>
          <w:color w:val="000000"/>
        </w:rPr>
        <w:t xml:space="preserve"> </w:t>
      </w:r>
      <w:r>
        <w:rPr>
          <w:color w:val="000000"/>
        </w:rPr>
        <w:t xml:space="preserve">8.</w:t>
      </w:r>
      <w:r>
        <w:rPr>
          <w:color w:val="000000"/>
        </w:rPr>
        <w:t xml:space="preserve"> </w:t>
      </w:r>
      <w:r>
        <w:rPr>
          <w:color w:val="000000"/>
        </w:rPr>
        <w:t xml:space="preserve">2008, s. 21).“.</w:t>
      </w:r>
    </w:p>
    <w:p w14:paraId="1BA0A0F9" w14:textId="77777777" w:rsidR="0065179E" w:rsidRDefault="0065179E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FB68D30" w14:textId="1B5253E9" w:rsid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069D155" w14:textId="77777777" w:rsidR="00473EA7" w:rsidRPr="00473EA7" w:rsidRDefault="00473EA7" w:rsidP="00473EA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2D940554" w14:textId="661FCA10" w:rsid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2AAD8FE" w14:textId="29F01C2B" w:rsidR="004C79C7" w:rsidRDefault="00473EA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čl. 3 odst. 3 bodě 7 se slovo „jeho“ nahrazuje slovem „jejich“.</w:t>
      </w:r>
      <w:r>
        <w:rPr>
          <w:color w:val="000000"/>
        </w:rPr>
        <w:t xml:space="preserve"> </w:t>
      </w:r>
    </w:p>
    <w:p w14:paraId="3F53542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3360EFB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Odstavec 5 se mění takto:</w:t>
      </w:r>
    </w:p>
    <w:p w14:paraId="0BE98888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27789D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„Na území Republiky Slovinsko může nejvýše pět pořadatelů pořádat klasické hazardní hry a sázení a vláda může udělit maximálně 15 koncesí na pořádání zvláštních hazardních her v kasinech a maximálně 45 koncesí na pořádání zvláštních hazardních her v hernách.“.</w:t>
      </w:r>
    </w:p>
    <w:p w14:paraId="1A4AE326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5F8E08D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V odstavci 6 se za slovo „her“ vkládá slovo „a sázení“.</w:t>
      </w:r>
    </w:p>
    <w:p w14:paraId="77CB6074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0403D2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B77A4B7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47F6D141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2C67D1C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čl. 3.a odst. 1 se za slova „pořádání klasických hazardních her“ vkládá slovo </w:t>
      </w:r>
      <w:r>
        <w:t xml:space="preserve">„sázení“.</w:t>
      </w:r>
    </w:p>
    <w:p w14:paraId="73BA747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313A6AB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Odstavec 2 se mění a dostává toto znění:</w:t>
      </w:r>
      <w:r>
        <w:rPr>
          <w:color w:val="000000"/>
        </w:rPr>
        <w:t xml:space="preserve"> </w:t>
      </w:r>
    </w:p>
    <w:p w14:paraId="33EDBE1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2A18B1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A629174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„Společnosti uvedené v prvním a druhém odstavci tohoto článku musí propojit informační systém, v němž pořádají on-line sázení nebo on-line hazardní hry, s informačním systémem Finanční správy Republiky Slovinsko (dále jen „orgán dohledu“) a poskytuje mu přístup k programům, údajům a systémovým záznamům a získá povolení orgánu dohledu zahájit pořádání on-line sázení nebo on-line her“.</w:t>
      </w:r>
    </w:p>
    <w:p w14:paraId="4272F8A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FB97BD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D03C19" w14:textId="77777777" w:rsidR="004C79C7" w:rsidRPr="004250D2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</w:pPr>
      <w:r>
        <w:t xml:space="preserve">Článek</w:t>
      </w:r>
    </w:p>
    <w:p w14:paraId="649E5AE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A1154BD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článku 10 se slova „sportovní sázení“ nahrazují slovem „sázení“.</w:t>
      </w:r>
    </w:p>
    <w:p w14:paraId="75EC98D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0AF990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B8EEC13" w14:textId="77777777" w:rsidR="004C79C7" w:rsidRPr="003E39CE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</w:pPr>
      <w:r>
        <w:t xml:space="preserve">Článek</w:t>
      </w:r>
    </w:p>
    <w:p w14:paraId="75036DC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F96E261" w14:textId="77777777" w:rsidR="004C79C7" w:rsidRPr="007963D0" w:rsidRDefault="004C79C7" w:rsidP="004C79C7">
      <w:pPr>
        <w:spacing w:line="260" w:lineRule="exact"/>
        <w:jc w:val="both"/>
        <w:rPr>
          <w:szCs w:val="20"/>
        </w:rPr>
      </w:pPr>
      <w:r>
        <w:t xml:space="preserve">V článku 11 se za slovo „her“ vkládají slova „a sázení“.</w:t>
      </w:r>
    </w:p>
    <w:p w14:paraId="7A77658C" w14:textId="77777777" w:rsidR="004C79C7" w:rsidRPr="00D377C7" w:rsidRDefault="004C79C7" w:rsidP="004C79C7">
      <w:pPr>
        <w:spacing w:line="260" w:lineRule="exact"/>
        <w:jc w:val="both"/>
        <w:rPr>
          <w:color w:val="FF0000"/>
          <w:szCs w:val="20"/>
          <w:lang w:val="sl-SI" w:eastAsia="sl-SI"/>
        </w:rPr>
      </w:pPr>
    </w:p>
    <w:p w14:paraId="517FA28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88BA3E9" w14:textId="77777777" w:rsidR="004C79C7" w:rsidRPr="003E39CE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101BED5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A6C4E2A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Článek 15 se zrušuje.</w:t>
      </w:r>
    </w:p>
    <w:p w14:paraId="47FF5FE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B0ECEB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21C8230" w14:textId="77777777" w:rsidR="004C79C7" w:rsidRPr="003E39CE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4ABB717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3FD7A3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Článek 30 se mění a dostává toto znění:</w:t>
      </w:r>
    </w:p>
    <w:p w14:paraId="7E4747F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FA14F83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„Klasické hazardní hry a sázení mohou být v rámci své podnikatelské činnosti pořádány společností, která má sídlo v Republice Slovinsko a které byla udělena koncese.</w:t>
      </w:r>
    </w:p>
    <w:p w14:paraId="3A741AA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32F25C7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Pořadatel může ve spolupráci se zahraničními pořadateli hazardních her, kteří mají povolení příslušného orgánu své země, pořádat klasickou hazardní hru a sázení.“.</w:t>
      </w:r>
    </w:p>
    <w:p w14:paraId="12C9041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4AF5E3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BE5F17" w14:textId="77777777" w:rsidR="004C79C7" w:rsidRPr="00805D43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2052B98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0A4C83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CA19AB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B9CCFB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Článek 36 se mění a dostává toto znění:</w:t>
      </w:r>
    </w:p>
    <w:p w14:paraId="08F972F5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4BBD633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156162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„Koncese na pořádání klasických hazardních her a sázení se uděluje rozhodnutím vlády na základě veřejného nabídkového řízení zveřejněného ministerstvem financí a koncesní smlouvu s pořadatelem uzavře ministr odpovědný za financování do 45 dnů od udělení koncese.</w:t>
      </w:r>
    </w:p>
    <w:p w14:paraId="7045B3EE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D14AEAB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Vláda rozhodne o udělení koncese nejpozději do čtyř měsíců od ukončení nabídkového řízení uvedeného v předchozím odstavci.</w:t>
      </w:r>
    </w:p>
    <w:p w14:paraId="5D7D9DAD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716E198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Ministerstvo odpovědné za finance zveřejní veřejné nabídkové řízení na udělení koncese uvedené v tomto článku nejméně třikrát ročně.“.</w:t>
      </w:r>
    </w:p>
    <w:p w14:paraId="03D965B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61F69E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E2FAA80" w14:textId="77777777" w:rsidR="004C79C7" w:rsidRPr="00805D43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45ACBE9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F17F19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Článek 37 se zrušuje.</w:t>
      </w:r>
    </w:p>
    <w:p w14:paraId="249BB55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488F77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8A6BC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56233C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5592A27E" w14:textId="77777777" w:rsidR="004C79C7" w:rsidRDefault="004C79C7" w:rsidP="004C79C7">
      <w:pPr>
        <w:spacing w:line="260" w:lineRule="exact"/>
        <w:ind w:left="720"/>
        <w:contextualSpacing/>
        <w:rPr>
          <w:color w:val="000000"/>
          <w:szCs w:val="20"/>
          <w:lang w:val="sl-SI" w:eastAsia="sl-SI"/>
        </w:rPr>
      </w:pPr>
    </w:p>
    <w:p w14:paraId="7570929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B57EE0" w14:textId="77777777" w:rsidR="004C79C7" w:rsidRPr="000A6261" w:rsidRDefault="004C79C7" w:rsidP="004C79C7">
      <w:pPr>
        <w:spacing w:line="260" w:lineRule="exact"/>
        <w:jc w:val="both"/>
      </w:pPr>
      <w:r>
        <w:rPr>
          <w:color w:val="000000"/>
        </w:rPr>
        <w:t xml:space="preserve">V čl. 40 odst. 1 se slovo „daňový“ nahrazuje slovem „dozorčí“.</w:t>
      </w:r>
    </w:p>
    <w:p w14:paraId="1FD162A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EC3075F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Odstavec 4 se mění a dostává toto znění:</w:t>
      </w:r>
    </w:p>
    <w:p w14:paraId="5AFEABC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7105963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bookmarkStart w:id="1" w:name="_Hlk72851335"/>
      <w:r>
        <w:rPr>
          <w:color w:val="000000"/>
        </w:rPr>
        <w:t xml:space="preserve">„Základ pro úhradu koncesního poplatku se stanoví měsíčně.</w:t>
      </w:r>
      <w:r>
        <w:rPr>
          <w:color w:val="000000"/>
        </w:rPr>
        <w:t xml:space="preserve"> </w:t>
      </w:r>
      <w:r>
        <w:rPr>
          <w:color w:val="000000"/>
        </w:rPr>
        <w:t xml:space="preserve">Z tohoto důvodu je pořadatel povinen vypočítat a uhradit koncesní poplatek v procentech stanovených vládou v rozhodnutí o udělení koncese, která nesmí být nižší než 5 %, do pěti pracovních dnů od konce měsíce za předchozí měsíc.“.</w:t>
      </w:r>
    </w:p>
    <w:p w14:paraId="49422D5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AD23E8C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Doplňuje se nový odstavec 5, který zní:</w:t>
      </w:r>
    </w:p>
    <w:p w14:paraId="3EB62F77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E47C151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„Při stanovení výše koncesního poplatku se berou v úvahu:</w:t>
      </w:r>
    </w:p>
    <w:p w14:paraId="51D03F81" w14:textId="77777777" w:rsidR="004C79C7" w:rsidRPr="00B61486" w:rsidRDefault="004C79C7" w:rsidP="004C79C7">
      <w:pPr>
        <w:pStyle w:val="Odstavekseznama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finanční odhad pro konkrétní klasickou hazardní hru;</w:t>
      </w:r>
      <w:r>
        <w:rPr>
          <w:color w:val="000000"/>
        </w:rPr>
        <w:t xml:space="preserve"> </w:t>
      </w:r>
    </w:p>
    <w:p w14:paraId="3D21141A" w14:textId="77777777" w:rsidR="004C79C7" w:rsidRDefault="004C79C7" w:rsidP="004C79C7">
      <w:pPr>
        <w:pStyle w:val="Odstavekseznama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finanční výsledek pořadatele za předchozí období a výše koncesního poplatku za ostatní klasické hry;</w:t>
      </w:r>
      <w:r>
        <w:rPr>
          <w:color w:val="000000"/>
        </w:rPr>
        <w:t xml:space="preserve"> </w:t>
      </w:r>
      <w:r>
        <w:rPr>
          <w:color w:val="000000"/>
        </w:rPr>
        <w:t xml:space="preserve">a</w:t>
      </w:r>
    </w:p>
    <w:p w14:paraId="390CF3ED" w14:textId="77777777" w:rsidR="004C79C7" w:rsidRDefault="004C79C7" w:rsidP="004C79C7">
      <w:pPr>
        <w:pStyle w:val="Odstavekseznama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možný dopad na financování organizací zabývajících se zdravotním postižením, humanitárních a sportovních organizací.“.</w:t>
      </w:r>
    </w:p>
    <w:p w14:paraId="40F693B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bookmarkEnd w:id="1"/>
    <w:p w14:paraId="4E8D3A9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B0E1A76" w14:textId="77777777" w:rsidR="004C79C7" w:rsidRPr="008B7803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</w:pPr>
      <w:r>
        <w:t xml:space="preserve">Článek</w:t>
      </w:r>
    </w:p>
    <w:p w14:paraId="0719E5A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78C07C5" w14:textId="77777777" w:rsidR="004C79C7" w:rsidRDefault="004C79C7" w:rsidP="004C79C7">
      <w:pPr>
        <w:spacing w:line="260" w:lineRule="exact"/>
        <w:rPr>
          <w:color w:val="000000"/>
          <w:szCs w:val="20"/>
        </w:rPr>
      </w:pPr>
      <w:r>
        <w:rPr>
          <w:color w:val="000000"/>
        </w:rPr>
        <w:t xml:space="preserve">Článek 42 se mění a dostává toto znění:</w:t>
      </w:r>
    </w:p>
    <w:p w14:paraId="2212CAB7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45F78028" w14:textId="77777777" w:rsidR="004C79C7" w:rsidRDefault="004C79C7" w:rsidP="004C79C7">
      <w:pPr>
        <w:spacing w:line="260" w:lineRule="exact"/>
        <w:rPr>
          <w:color w:val="000000"/>
          <w:szCs w:val="20"/>
        </w:rPr>
      </w:pPr>
      <w:r>
        <w:t xml:space="preserve">„Koncese na pořádání klasických hazardních her a sázení na trvalém základě se uděluje na dobu nejméně tří a nejvýše pěti let a může být prodloužena po uplynutí této doby, a to vždy nejméně o tři a nejvýše pět let.“.</w:t>
      </w:r>
    </w:p>
    <w:p w14:paraId="42FC68C8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684C89DC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5B51A884" w14:textId="77777777" w:rsidR="004C79C7" w:rsidRPr="007963D0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szCs w:val="20"/>
        </w:rPr>
      </w:pPr>
      <w:r>
        <w:t xml:space="preserve">Článek</w:t>
      </w:r>
    </w:p>
    <w:p w14:paraId="66BAC9DC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26DEEB11" w14:textId="77777777" w:rsidR="004C79C7" w:rsidRPr="007963D0" w:rsidRDefault="004C79C7" w:rsidP="004C79C7">
      <w:pPr>
        <w:spacing w:line="260" w:lineRule="exact"/>
        <w:rPr>
          <w:szCs w:val="20"/>
        </w:rPr>
      </w:pPr>
      <w:r>
        <w:t xml:space="preserve">V čl. 44 odst. 2 se za slova „klasické hazardní hry“ vkládají slova „a sázení“.</w:t>
      </w:r>
    </w:p>
    <w:p w14:paraId="50ECC577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26603B5A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54D1AC5C" w14:textId="77777777" w:rsidR="004C79C7" w:rsidRPr="00B61486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0ACE15E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F2ACF2E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čl. 46 odst. 2 se zrušují slova „sportovní předpovědi, jiné sportovní sázení a“.</w:t>
      </w:r>
    </w:p>
    <w:p w14:paraId="485ADB2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096069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686A0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5BF6EBB" w14:textId="77777777" w:rsidR="004C79C7" w:rsidRPr="00B61486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3C07B28F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59DB6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8422AB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Za článek 52 se vkládá nová kapitola s názvem „II.a SÁZKOVÉ SLUŽBY“ a nové články 52a, 52.b, 52c, 52d a 52e, které znějí:</w:t>
      </w:r>
    </w:p>
    <w:p w14:paraId="0D6DD92C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A3117EB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„Článek 52.a</w:t>
      </w:r>
    </w:p>
    <w:p w14:paraId="586F6F4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60CFFFD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Sázení je druh hazardní hry, ve které mají hráči stejnou šanci na výhru, pokud správně předpovídají výsledek události v budoucnu, a tento výsledek není znám předem žádnému z účastníků a musí být takový, aby jej poskytovatel sázení ani účastníci nemohli ovlivnit.</w:t>
      </w:r>
    </w:p>
    <w:p w14:paraId="7BC556C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9F60F8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Sázení nesmí odkazovat na výsledek klasických hazardních her, domácích politických událostí, událostí, které jsou v rozporu s závaznými pravidly, ústavně zaručené ochrany lidské osobnosti, důstojnosti, soukromí a osobních práv a ochrany osobních údajů.</w:t>
      </w:r>
    </w:p>
    <w:p w14:paraId="6957DE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B126207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Sázení se mohou účastnit pouze lidé starší 18 let.</w:t>
      </w:r>
    </w:p>
    <w:p w14:paraId="3B47A9B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747B9F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Osoba, která přijímá výplatu sázek (dále jen prodávající) musí od jakékoli osoby, u níž se předpokládá, že není starší 18 let, požadovat, aby prokázala svůj věk prostřednictvím dokladu totožnosti.</w:t>
      </w:r>
      <w:r>
        <w:rPr>
          <w:color w:val="000000"/>
        </w:rPr>
        <w:t xml:space="preserve"> </w:t>
      </w:r>
      <w:r>
        <w:rPr>
          <w:color w:val="000000"/>
        </w:rPr>
        <w:t xml:space="preserve">Pokud to osoba odmítne, nesmí prodávající od této osoby přijmout platbu.</w:t>
      </w:r>
      <w:r>
        <w:rPr>
          <w:color w:val="000000"/>
        </w:rPr>
        <w:t xml:space="preserve"> </w:t>
      </w:r>
    </w:p>
    <w:p w14:paraId="25B5E75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E78A755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Pořadatel, který pořádá on-line sázení, musí na první stránce on-line služby uvést:</w:t>
      </w:r>
      <w:r>
        <w:rPr>
          <w:color w:val="000000"/>
        </w:rPr>
        <w:t xml:space="preserve"> </w:t>
      </w:r>
      <w:r>
        <w:rPr>
          <w:color w:val="000000"/>
        </w:rPr>
        <w:t xml:space="preserve">„Hazardní hry nebo sázení jsou povoleny pouze osobám starším 18 let.</w:t>
      </w:r>
      <w:r>
        <w:rPr>
          <w:color w:val="000000"/>
        </w:rPr>
        <w:t xml:space="preserve"> </w:t>
      </w:r>
      <w:r>
        <w:rPr>
          <w:color w:val="000000"/>
        </w:rPr>
        <w:t xml:space="preserve">Hazardní hry mohou být návykové.“</w:t>
      </w:r>
      <w:r>
        <w:rPr>
          <w:color w:val="000000"/>
        </w:rPr>
        <w:t xml:space="preserve"> </w:t>
      </w:r>
      <w:r>
        <w:rPr>
          <w:color w:val="000000"/>
        </w:rPr>
        <w:t xml:space="preserve">Prohlášení musí pokrývat alespoň 5 % velikosti první stránky on-line služby.</w:t>
      </w:r>
    </w:p>
    <w:p w14:paraId="05B84099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892E37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62CC9FD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 52.b</w:t>
      </w:r>
    </w:p>
    <w:p w14:paraId="7F4D912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DC65F6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Pouze společnost, která získá koncesi na pořádání sázení v Republice Slovinsko (dále jen pořadatel) může pořádat sázení jako svou obchodní činnost.</w:t>
      </w:r>
    </w:p>
    <w:p w14:paraId="1E4600C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E97B0E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C6A37A8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Minimální výše základního kapitálu pořadatel činí 1 000 000,00 EUR.</w:t>
      </w:r>
    </w:p>
    <w:p w14:paraId="31E5E24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B259042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B1C1A1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0224764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19890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4AB29F1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 52.c</w:t>
      </w:r>
    </w:p>
    <w:p w14:paraId="3574A5D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70B182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Pořadatel sázení musí zaplatit nevratný vstupní poplatek ve výši 500 000 EUR za koncesi udělenou před zahájením sázkové operace.</w:t>
      </w:r>
    </w:p>
    <w:p w14:paraId="5FAA4A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30B95F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Částka 80 % nevratného vstupního poplatku pořadatele se vyplatí na bankovní účet nadace pro financování sportovních organizací a 20 % poplatku na bankovní účet nadace pro financování humanitárních organizací a organizací zdravotně postižených.</w:t>
      </w:r>
    </w:p>
    <w:p w14:paraId="0E8403B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98F29B1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Na dodržování povinností pořadatele dohlíží orgán dohledu.</w:t>
      </w:r>
    </w:p>
    <w:p w14:paraId="043F5D92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DF55DAB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17225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78E414C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76BCF96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 52.d</w:t>
      </w:r>
    </w:p>
    <w:p w14:paraId="1E07723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EB4FE0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80 % finančních prostředků získaných z plateb koncesního poplatku za pořádání sázení se použije na financování činností sportovních organizací a 20 % na financování činností organizací zdravotně postižených a humanitárních organizací.</w:t>
      </w:r>
    </w:p>
    <w:p w14:paraId="2081EA7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30BEF15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Koncesní poplatek za sázení používané k financování sportovních organizací se platí na účet Nadace pro financování sportovních organizací v Republice Slovinsko.</w:t>
      </w:r>
    </w:p>
    <w:p w14:paraId="6BDFC00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1D6F715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Koncesní poplatek za sázení používané k financování organizací zdravotně postižených a humanitárních organizací se platí na účet Nadace pro financování zdravotně postižených a humanitárních organizací v Republice Slovinsko.</w:t>
      </w:r>
    </w:p>
    <w:p w14:paraId="2ED1A3F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B8D061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C2E8CE6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 52.e</w:t>
      </w:r>
    </w:p>
    <w:p w14:paraId="10E01B6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0886C68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Bez ohledu na čl. 52 písm. b) tohoto zákona může za účelem rozvoje chovu závodních koní a jezdeckého sportu, sdružení nebo neziskové humanitární organizace se sídlem v Republice Slovinsko a pořádající jezdecké soutěže pořádat v souvislosti s těmito soutěžemi sázení v souladu s ustanoveními zákona o chovu hospodářských zvířat, a to až 25krát ročně.</w:t>
      </w:r>
    </w:p>
    <w:p w14:paraId="0CB37C6B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B8D5E9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Pořadatel, který chce pořádat sázení v souladu s předchozím odstavcem, musí získat povolení ministra financí s předchozím souhlasem ministra odpovědného za zemědělství.</w:t>
      </w:r>
    </w:p>
    <w:p w14:paraId="39F32419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FBCAA2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Žádost o vydání povolení uvedeného v předchozím odstavci musí pořadatel podat nejpozději jeden měsíc přede dnem konání soutěže, na které má v úmyslu pořádat sázení, a musí obsahovat alespoň:</w:t>
      </w:r>
    </w:p>
    <w:p w14:paraId="43D8503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894037" w14:textId="77777777" w:rsidR="004C79C7" w:rsidRPr="00B61486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jméno a sídlo pořadatele;</w:t>
      </w:r>
    </w:p>
    <w:p w14:paraId="187164B6" w14:textId="77777777" w:rsidR="004C79C7" w:rsidRPr="003E39CE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čas a místo konání soutěže, v rámci níž má být sázení pořádáno;</w:t>
      </w:r>
    </w:p>
    <w:p w14:paraId="51314EB7" w14:textId="77777777" w:rsidR="004C79C7" w:rsidRPr="003E39CE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pravidla sázení;</w:t>
      </w:r>
    </w:p>
    <w:p w14:paraId="6BA5AFF3" w14:textId="77777777" w:rsidR="004C79C7" w:rsidRPr="003E39CE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předpokládaný finanční výsledek z pořádání sázení.</w:t>
      </w:r>
    </w:p>
    <w:p w14:paraId="4E5BE59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683329C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Pořadatel, který na základě povolení uvedeného v druhém odstavci tohoto článku pořádá sázení v průběhu několika soutěží v kalendářním roce, může získat jedno povolení, o které se pořadatel uchází nejméně jeden měsíc před prvním soutěží a které poskytuje oddělené záznamy o podaných sázkách a o výhrách zaznamenaných v rámci každé soutěže.“</w:t>
      </w:r>
    </w:p>
    <w:p w14:paraId="62396E53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04A565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EDE5E6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3D894B9" w14:textId="77777777" w:rsidR="004C79C7" w:rsidRPr="00B61486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66CE47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2AC7307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čl. 53 odst. 2 se zrušuje bod 7.</w:t>
      </w:r>
    </w:p>
    <w:p w14:paraId="7CC59D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42F561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7061A66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702FB2CA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70EAD342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Text v článku 55 se pozměňuje následovně:</w:t>
      </w:r>
      <w:r>
        <w:rPr>
          <w:color w:val="000000"/>
        </w:rPr>
        <w:t xml:space="preserve"> </w:t>
      </w:r>
    </w:p>
    <w:p w14:paraId="7BB7901F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C20ECE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„Pouze společnost založená na základě zákona, kterým se řídí společnosti s udělenou koncesi, může pořádat zvláštní hazardní hry jako svou podnikatelskou činnost</w:t>
      </w:r>
      <w:r>
        <w:t xml:space="preserve"> </w:t>
      </w:r>
      <w:r>
        <w:rPr>
          <w:color w:val="000000"/>
        </w:rPr>
        <w:t xml:space="preserve">(dále: koncesionář).“.</w:t>
      </w:r>
    </w:p>
    <w:p w14:paraId="262DF6B9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C5EDAA4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DF6B1B2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2C0BFDFD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31BA45B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Znění čl. 55 písm. a) se mění takto:</w:t>
      </w:r>
    </w:p>
    <w:p w14:paraId="367D21E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98A9BD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58A84A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„Podíl Republiky Slovinsko nebo právnických osob, jejichž 100% vlastníkem nebo zakladatelem je Republika Slovinsko, na vlastnictví koncesionáře nesmí být nižší než 25 % +1 podíl v případě akciové společnosti a nesmí být nižší než 51 % obchodního podílu jiné formy společnosti zřízené na základě práva rozhodného pro společnosti.“.</w:t>
      </w:r>
    </w:p>
    <w:p w14:paraId="3E0F5E1F" w14:textId="77777777" w:rsidR="004C79C7" w:rsidRPr="00344821" w:rsidRDefault="004C79C7" w:rsidP="004C79C7">
      <w:pPr>
        <w:spacing w:line="260" w:lineRule="exact"/>
        <w:jc w:val="both"/>
        <w:rPr>
          <w:szCs w:val="20"/>
          <w:lang w:val="sl-SI"/>
        </w:rPr>
      </w:pPr>
    </w:p>
    <w:p w14:paraId="6E9A9D3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C8ED5B2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4EA8F1D8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252BFB0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Text v článku 56 se pozměňuje následovně:</w:t>
      </w:r>
    </w:p>
    <w:p w14:paraId="7B90A31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6CCC519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„Právnická nebo fyzická osoba může nabýt nebo zcizit podíl na vlastnictví koncesionáře pouze s předchozím souhlasem ministra odpovědného za finance, jinak je transakce neplatná.</w:t>
      </w:r>
    </w:p>
    <w:p w14:paraId="28B24F1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B90D456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Osoba, která chce nabýt podíl na vlastnictví pořadatele (dále jen potenciální nabyvatel) musí vydat žádost o vydání souhlasu uvedeného v předchozím odstavci spolu s následujícím:</w:t>
      </w:r>
    </w:p>
    <w:p w14:paraId="5E2EBCCF" w14:textId="77777777" w:rsidR="004C79C7" w:rsidRDefault="004C79C7" w:rsidP="004C79C7">
      <w:pPr>
        <w:tabs>
          <w:tab w:val="left" w:pos="585"/>
        </w:tabs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20E3BAC" w14:textId="61A10D81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1.</w:t>
      </w:r>
      <w:r>
        <w:rPr>
          <w:color w:val="000000"/>
        </w:rPr>
        <w:t xml:space="preserve">   </w:t>
      </w:r>
      <w:r>
        <w:rPr>
          <w:color w:val="000000"/>
        </w:rPr>
        <w:t xml:space="preserve">informace o potenciálním nabyvateli spolu s jeho zakládajícím aktem v případě právnické osoby;</w:t>
      </w:r>
    </w:p>
    <w:p w14:paraId="37141398" w14:textId="7A8FF9D5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2.</w:t>
      </w:r>
      <w:r>
        <w:rPr>
          <w:color w:val="000000"/>
        </w:rPr>
        <w:t xml:space="preserve">   </w:t>
      </w:r>
      <w:r>
        <w:rPr>
          <w:color w:val="000000"/>
        </w:rPr>
        <w:t xml:space="preserve">výpis ze soudního rejstříku nebo jiného příslušného veřejného rejstříku v případě zahraniční právnické osoby;</w:t>
      </w:r>
    </w:p>
    <w:p w14:paraId="18408D75" w14:textId="77777777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3.</w:t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výpis z knihy akcionářů, která kótuje akcionáře, je-li právnickou osobou akciová společnost;</w:t>
      </w:r>
    </w:p>
    <w:p w14:paraId="7F7F6FCE" w14:textId="77777777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4.</w:t>
      </w:r>
      <w:r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 xml:space="preserve">auditovaná výroční zpráva za poslední dva rozpočtové roky;</w:t>
      </w:r>
    </w:p>
    <w:p w14:paraId="56F13BC7" w14:textId="77777777" w:rsidR="004C79C7" w:rsidRPr="00344821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5.</w:t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doklad o splnění závazků vyplývajících z povinných příspěvků, daní a jiných poplatků, koncesních povinností a jiných závazků z veřejných financí vůči zemi, v níž je právnická osoba usazena, pokud se jedná o zahraniční subjekt;</w:t>
      </w:r>
    </w:p>
    <w:p w14:paraId="7F8F2A90" w14:textId="77777777" w:rsidR="004C79C7" w:rsidRPr="00344821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6.</w:t>
      </w: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 xml:space="preserve">seznam osob přímo či nepřímo souvisejících s potenciálním nabyvatelem, a popsat jejich vztah;</w:t>
      </w:r>
    </w:p>
    <w:p w14:paraId="3260DE62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7.</w:t>
      </w:r>
      <w:r>
        <w:rPr>
          <w:color w:val="000000"/>
        </w:rPr>
        <w:t xml:space="preserve">       </w:t>
      </w:r>
      <w:r>
        <w:rPr>
          <w:color w:val="000000"/>
        </w:rPr>
        <w:t xml:space="preserve">podrobný popis zamýšleného právního úkonu;</w:t>
      </w:r>
    </w:p>
    <w:p w14:paraId="49402A0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8.</w:t>
      </w:r>
      <w:r>
        <w:rPr>
          <w:color w:val="000000"/>
        </w:rPr>
        <w:t xml:space="preserve">       </w:t>
      </w:r>
      <w:r>
        <w:rPr>
          <w:color w:val="000000"/>
        </w:rPr>
        <w:t xml:space="preserve">podrobné vysvětlení důvodů pro nabytí nebo zbavení se akcií;</w:t>
      </w:r>
    </w:p>
    <w:p w14:paraId="3D99DD09" w14:textId="77777777" w:rsidR="004C79C7" w:rsidRPr="00D54A16" w:rsidRDefault="004C79C7" w:rsidP="004C79C7">
      <w:pPr>
        <w:spacing w:line="260" w:lineRule="exact"/>
        <w:jc w:val="both"/>
      </w:pPr>
      <w:r>
        <w:rPr>
          <w:color w:val="000000"/>
        </w:rPr>
        <w:t xml:space="preserve">9.</w:t>
      </w:r>
      <w:r>
        <w:rPr>
          <w:color w:val="000000"/>
        </w:rPr>
        <w:t xml:space="preserve">       </w:t>
      </w:r>
      <w:r>
        <w:rPr>
          <w:color w:val="000000"/>
        </w:rPr>
        <w:t xml:space="preserve">podrobné vysvětlení rozvojových záměrů a cílů potenciálního nabyvatele;</w:t>
      </w:r>
    </w:p>
    <w:p w14:paraId="52C17178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10.</w:t>
      </w:r>
      <w:r>
        <w:rPr>
          <w:color w:val="000000"/>
        </w:rPr>
        <w:t xml:space="preserve">     </w:t>
      </w:r>
      <w:r>
        <w:rPr>
          <w:color w:val="000000"/>
        </w:rPr>
        <w:t xml:space="preserve">posouzení dopadu nabytí vlastnického podílu na budoucí činnosti pořadatele;</w:t>
      </w:r>
    </w:p>
    <w:p w14:paraId="622AE235" w14:textId="77777777" w:rsidR="004C79C7" w:rsidRPr="007E79AA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11.</w:t>
      </w:r>
      <w:r>
        <w:rPr>
          <w:color w:val="000000"/>
        </w:rPr>
        <w:t xml:space="preserve">    </w:t>
      </w:r>
      <w:r>
        <w:rPr>
          <w:color w:val="000000"/>
        </w:rPr>
        <w:t xml:space="preserve">další dokumentace, kterou potenciální nabyvatel považuje za důležitou pro posouzení její vhodnosti a dopadu nabytí podílu na vlastnictví na budoucí provoz pořadatele a rozvoj herních činností.</w:t>
      </w:r>
    </w:p>
    <w:p w14:paraId="2234EE6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3AA0B5A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Ministr financí musí rozhodnout o žádosti o vydání souhlasu uvedeného v prvním odstavci tohoto článku do dvou měsíců od podání úplné žádosti a úplné dokumentace uvedené v předchozím odstavci, jinak se souhlas považuje za udělený.</w:t>
      </w:r>
    </w:p>
    <w:p w14:paraId="0D826F2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FEF4E3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98510B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406A149F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0A5FAE4" w14:textId="77777777" w:rsidR="004C79C7" w:rsidRPr="000A6261" w:rsidRDefault="004C79C7" w:rsidP="004C79C7">
      <w:pPr>
        <w:spacing w:line="260" w:lineRule="exact"/>
        <w:jc w:val="both"/>
      </w:pPr>
      <w:r>
        <w:rPr>
          <w:color w:val="000000"/>
        </w:rPr>
        <w:t xml:space="preserve">V čl. 58 odst. 1 a 2 se částka „416 000 EUR“ nahrazuje částkou „500 000 EUR“.</w:t>
      </w:r>
    </w:p>
    <w:p w14:paraId="3A96E29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97F3B3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1101CC1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  <w:r>
        <w:rPr>
          <w:color w:val="000000"/>
        </w:rPr>
        <w:t xml:space="preserve"> </w:t>
      </w:r>
    </w:p>
    <w:p w14:paraId="522BD52E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769E20F8" w14:textId="77777777" w:rsidR="004C79C7" w:rsidRDefault="004C79C7" w:rsidP="004C79C7">
      <w:pPr>
        <w:spacing w:line="260" w:lineRule="exact"/>
        <w:jc w:val="both"/>
      </w:pPr>
      <w:r>
        <w:rPr>
          <w:color w:val="000000"/>
        </w:rPr>
        <w:t xml:space="preserve">Články 61 a 62 se zrušují.</w:t>
      </w:r>
    </w:p>
    <w:p w14:paraId="2B63D37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FB3479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BCDD515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727431B6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EA3FDF6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Článek 63 se mění takto:</w:t>
      </w:r>
    </w:p>
    <w:p w14:paraId="2452C77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BB1F3D" w14:textId="77777777" w:rsidR="004C79C7" w:rsidRPr="00344821" w:rsidRDefault="004C79C7" w:rsidP="004C79C7">
      <w:pPr>
        <w:spacing w:line="288" w:lineRule="auto"/>
        <w:jc w:val="both"/>
      </w:pPr>
      <w:r>
        <w:t xml:space="preserve">„Koncese na pořádání zvláštních hazardních her se uděluje rozhodnutím vlády na základě veřejného nabídkového řízení zveřejněného ministerstvem financí a koncesní smlouvu s pořadatelem uzavře ministr odpovědný za finance do 45 dnů od udělení koncese.</w:t>
      </w:r>
    </w:p>
    <w:p w14:paraId="23AA1611" w14:textId="77777777" w:rsidR="004C79C7" w:rsidRDefault="004C79C7" w:rsidP="004C79C7">
      <w:pPr>
        <w:spacing w:line="288" w:lineRule="auto"/>
        <w:jc w:val="both"/>
        <w:rPr>
          <w:szCs w:val="20"/>
          <w:lang w:val="sl-SI"/>
        </w:rPr>
      </w:pPr>
    </w:p>
    <w:p w14:paraId="4F1D58C6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Vláda rozhodne o udělení koncese nejpozději do čtyř měsíců od ukončení nabídkového řízení uvedeného v předchozím odstavci.</w:t>
      </w:r>
    </w:p>
    <w:p w14:paraId="33E39286" w14:textId="77777777" w:rsidR="004C79C7" w:rsidRDefault="004C79C7" w:rsidP="004C79C7">
      <w:pPr>
        <w:spacing w:line="260" w:lineRule="exact"/>
        <w:jc w:val="both"/>
        <w:rPr>
          <w:szCs w:val="20"/>
          <w:rFonts w:eastAsia="Calibri"/>
        </w:rPr>
      </w:pPr>
      <w:r>
        <w:t xml:space="preserve">Koncese na pořádání zvláštních hazardních her se uděluje na dobu nejméně tří a nejvýše pěti let a může být prodloužena po uplynutí této lhůty.</w:t>
      </w:r>
      <w:r>
        <w:t xml:space="preserve"> </w:t>
      </w:r>
    </w:p>
    <w:p w14:paraId="3C78FC6A" w14:textId="77777777" w:rsidR="004C79C7" w:rsidRPr="008B7803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08785144" w14:textId="77777777" w:rsidR="004C79C7" w:rsidRDefault="004C79C7" w:rsidP="004C79C7">
      <w:pPr>
        <w:spacing w:line="260" w:lineRule="exact"/>
        <w:jc w:val="both"/>
        <w:rPr>
          <w:szCs w:val="20"/>
          <w:rFonts w:eastAsia="Calibri"/>
        </w:rPr>
      </w:pPr>
      <w:r>
        <w:t xml:space="preserve">Koncese může být několikrát prodloužena, a to vždy nejméně o tři a nejvýše pět let.</w:t>
      </w:r>
    </w:p>
    <w:p w14:paraId="0AD2609E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43D148BE" w14:textId="77777777" w:rsidR="004C79C7" w:rsidRPr="008B7803" w:rsidRDefault="004C79C7" w:rsidP="004C79C7">
      <w:pPr>
        <w:spacing w:line="260" w:lineRule="exact"/>
        <w:jc w:val="both"/>
      </w:pPr>
      <w:r>
        <w:t xml:space="preserve">Ministerstvo odpovědné za finance zveřejní veřejné nabídkové řízení na udělení koncese uvedené v tomto článku nejméně třikrát ročně.“.</w:t>
      </w:r>
    </w:p>
    <w:p w14:paraId="4EE07578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14074B45" w14:textId="77777777" w:rsidR="004C79C7" w:rsidRDefault="004C79C7" w:rsidP="004C79C7">
      <w:pPr>
        <w:spacing w:line="260" w:lineRule="exact"/>
        <w:jc w:val="both"/>
        <w:rPr>
          <w:rFonts w:eastAsia="Calibri"/>
          <w:color w:val="000000"/>
          <w:szCs w:val="20"/>
          <w:lang w:val="sl-SI" w:eastAsia="sl-SI"/>
        </w:rPr>
      </w:pPr>
    </w:p>
    <w:p w14:paraId="76DF6543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  <w:r>
        <w:rPr>
          <w:color w:val="000000"/>
        </w:rPr>
        <w:t xml:space="preserve"> </w:t>
      </w:r>
    </w:p>
    <w:p w14:paraId="733CBB5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BEAF58D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 článku 64 se slova „akciová“ nahrazují slovy „obchodní“.</w:t>
      </w:r>
    </w:p>
    <w:p w14:paraId="7FDB2E6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906CA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DA51BE8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022C79F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F4E99D1" w14:textId="77777777" w:rsidR="004C79C7" w:rsidRPr="00814718" w:rsidRDefault="004C79C7" w:rsidP="004C79C7">
      <w:pPr>
        <w:spacing w:line="260" w:lineRule="exact"/>
        <w:jc w:val="both"/>
      </w:pPr>
      <w:r>
        <w:rPr>
          <w:color w:val="000000"/>
        </w:rPr>
        <w:t xml:space="preserve">Článek 65 se zrušuje.</w:t>
      </w:r>
    </w:p>
    <w:p w14:paraId="056FD88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ED23EF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2C61245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13B7D608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0E9AB92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 čl. 67 odst. 1 první odrážce se slova „akciová“ nahrazují slovy „obchodní“.</w:t>
      </w:r>
    </w:p>
    <w:p w14:paraId="60BD517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9EA8B88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Ve třetí odrážce se slova „akciová“ nahrazují slovy „nebo obchodní sociální dohoda“.</w:t>
      </w:r>
    </w:p>
    <w:p w14:paraId="15F7C9AF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E00F9EA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Ve čtvrté a páté odrážce se slovo „akciová“ nahrazuje slovem „obchodní“.</w:t>
      </w:r>
    </w:p>
    <w:p w14:paraId="668080D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ADAA099" w14:textId="77777777" w:rsidR="004C79C7" w:rsidRPr="00344821" w:rsidRDefault="004C79C7" w:rsidP="004C79C7">
      <w:pPr>
        <w:spacing w:line="260" w:lineRule="exact"/>
        <w:jc w:val="both"/>
        <w:rPr>
          <w:lang w:val="it-IT"/>
        </w:rPr>
      </w:pPr>
    </w:p>
    <w:p w14:paraId="6050032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8957C2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C7E817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251F75A0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2F0489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71E0EBE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 článku 72 se šestá odrážka prvního odstavce mění takto:</w:t>
      </w:r>
    </w:p>
    <w:p w14:paraId="77285DD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2A52AF7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„— koncesionář porušuje tento zákon a pravidla zvláštních hazardních her přijatých na jeho základě, což bylo stanoveno rozhodnutím nebo jiným aktem orgánu dohledu a koncesionář neodstraňuje nedostatky ve lhůtě stanovené rozhodnutím nebo jiným aktem orgánu dohledu, kterým se nařizuje odstranění porušení, nebo bylo zjištěno, že toto porušení nelze odstranit jinými kontrolními opatřeními,“.</w:t>
      </w:r>
    </w:p>
    <w:p w14:paraId="756E3D8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13BC1F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Osmá odrážka se mění takto:</w:t>
      </w:r>
    </w:p>
    <w:p w14:paraId="0C8D94E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E96FA4D" w14:textId="77777777" w:rsidR="004C79C7" w:rsidRPr="002D006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„—</w:t>
      </w:r>
      <w:bookmarkStart w:id="2" w:name="_Hlk62803003"/>
      <w:r>
        <w:t xml:space="preserve"> koncesionář nesplní povinnosti vyplývající z povinných příspěvků, daní a jiných poplatků ve stanovené lhůtě</w:t>
      </w:r>
      <w:bookmarkEnd w:id="2"/>
      <w:r>
        <w:t xml:space="preserve">,“.</w:t>
      </w:r>
    </w:p>
    <w:p w14:paraId="710D2A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11B922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9C2AA0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C01896F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62025EAF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0FF7470E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V článku 75 se zrušuje odstavec 3.</w:t>
      </w:r>
    </w:p>
    <w:p w14:paraId="1C6D91A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2792B3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Stávající čtvrtý odstavec se stává třetím odstavcem.</w:t>
      </w:r>
      <w:r>
        <w:rPr>
          <w:color w:val="000000"/>
        </w:rPr>
        <w:t xml:space="preserve"> </w:t>
      </w:r>
    </w:p>
    <w:p w14:paraId="6D7B2F9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9DCF165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Ve stávajícím pátém odstavci, který se stává čtvrtým odstavcem, se slova „při sazbě 5 % základu“ nahrazují slovy „v sazbě stanovené vládou v rozhodnutí o udělení koncese a nesmí být nižší než 5 % základu“.</w:t>
      </w:r>
    </w:p>
    <w:p w14:paraId="1C25853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6733F9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Dosavadní odstavec 6, který se označuje jako odstavec 5, se mění takto:</w:t>
      </w:r>
    </w:p>
    <w:p w14:paraId="6E5AF2F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228FF7F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„Koncesionář musí vypočítat a zaplatit koncesní poplatek do pěti pracovních dnů od konce měsíce za předchozí měsíc.“.</w:t>
      </w:r>
    </w:p>
    <w:p w14:paraId="69DE837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866BF1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8BD415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F80E06D" w14:textId="77777777" w:rsidR="004C79C7" w:rsidRPr="00344821" w:rsidRDefault="004C79C7" w:rsidP="004C79C7">
      <w:pPr>
        <w:numPr>
          <w:ilvl w:val="0"/>
          <w:numId w:val="1"/>
        </w:numPr>
        <w:spacing w:line="260" w:lineRule="exact"/>
        <w:jc w:val="center"/>
      </w:pPr>
      <w:r>
        <w:t xml:space="preserve">Článek</w:t>
      </w:r>
      <w:r>
        <w:t xml:space="preserve"> </w:t>
      </w:r>
    </w:p>
    <w:p w14:paraId="1E2EA16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DF36E51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Znění čl. 85 písm. a) se mění takto:</w:t>
      </w:r>
    </w:p>
    <w:p w14:paraId="7EDC219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E00B98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„Správci kasin, krupiéři, herní manažeři, osoby vykonávající vnitřní kontrolu v kasinu a hlavní a pomocní pokladní v kasinech musí splňovat následující podmínky pro práci v oblasti herních činností:</w:t>
      </w:r>
    </w:p>
    <w:p w14:paraId="5CDA41A3" w14:textId="77777777" w:rsidR="004C79C7" w:rsidRPr="004F17D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C150300" w14:textId="77777777" w:rsidR="004C79C7" w:rsidRPr="004F17D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</w:rPr>
      </w:pPr>
      <w:r>
        <w:rPr>
          <w:color w:val="000000"/>
        </w:rPr>
        <w:t xml:space="preserve">musí mít požadované vzdělání a splňovat další podmínky a požadavky na postavení stanovené koncesionářem prostřednictvím obecného zákona;</w:t>
      </w:r>
    </w:p>
    <w:p w14:paraId="0D20E95A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</w:rPr>
      </w:pPr>
      <w:r>
        <w:rPr>
          <w:color w:val="000000"/>
        </w:rPr>
        <w:t xml:space="preserve">—</w:t>
      </w:r>
      <w:r>
        <w:rPr>
          <w:color w:val="000000"/>
        </w:rPr>
        <w:tab/>
      </w:r>
      <w:r>
        <w:rPr>
          <w:color w:val="000000"/>
        </w:rPr>
        <w:t xml:space="preserve">nesmí být odsouzeni k trestu odnětí svobody za trestný čin proti životu a zdraví, lidskému zdraví, majetku, hospodářství, právním úkonům, úřední povinnosti a veřejné moci nebo veřejnému pořádku a míru.“.</w:t>
      </w:r>
    </w:p>
    <w:p w14:paraId="42A4C6B6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4668039E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1F5F9386" w14:textId="77777777" w:rsidR="004C79C7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Článek</w:t>
      </w:r>
    </w:p>
    <w:p w14:paraId="30AB4E54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36E8AD68" w14:textId="77777777" w:rsidR="004C79C7" w:rsidRPr="0013410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Zrušuje se článek 85.b.</w:t>
      </w:r>
    </w:p>
    <w:p w14:paraId="17512DCC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2056BBB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A6CDFDB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Článek</w:t>
      </w:r>
    </w:p>
    <w:p w14:paraId="7DD4B61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45B6367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V čl. 92 odst. 1 se slova „akciová společnost nebo společnost s ručením omezeným se sídlem na území Republiky Slovinsko“ nahrazují slovy „společnost s udělenou koncesí“.</w:t>
      </w:r>
    </w:p>
    <w:p w14:paraId="210163C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D5D785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DECADF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F198D0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3243177C" w14:textId="77777777" w:rsidR="004C79C7" w:rsidRDefault="004C79C7" w:rsidP="004C79C7">
      <w:pPr>
        <w:spacing w:after="160" w:line="256" w:lineRule="auto"/>
        <w:jc w:val="center"/>
        <w:rPr>
          <w:rFonts w:eastAsia="Calibri"/>
          <w:szCs w:val="20"/>
          <w:lang w:val="sl-SI"/>
        </w:rPr>
      </w:pPr>
    </w:p>
    <w:p w14:paraId="52E8CBC2" w14:textId="77777777" w:rsidR="004C79C7" w:rsidRPr="000A6261" w:rsidRDefault="004C79C7" w:rsidP="004C79C7">
      <w:pPr>
        <w:spacing w:after="160" w:line="256" w:lineRule="auto"/>
        <w:jc w:val="both"/>
      </w:pPr>
      <w:r>
        <w:t xml:space="preserve">V čl. 94 odst. 1 a 2 se částka „208 000 EUR“ nahrazuje částkou „250 000 EUR“.</w:t>
      </w:r>
    </w:p>
    <w:p w14:paraId="47DDB7E7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FE4FE60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2EFF5A1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5307E40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V čl. 97 odst. 1 se číslo „50“ nahrazuje číslem „100“.</w:t>
      </w:r>
    </w:p>
    <w:p w14:paraId="006818D2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348CF347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1E5DAD1C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V článku 98 se zrušuje odstavec 3.</w:t>
      </w:r>
    </w:p>
    <w:p w14:paraId="0AC6C386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Dosavadní odstavec 4, který se označuje jako odstavec 3, se mění takto:</w:t>
      </w:r>
      <w:r>
        <w:t xml:space="preserve"> </w:t>
      </w:r>
    </w:p>
    <w:p w14:paraId="06478F93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„Koncesionář vypočítává a uhradí koncesní poplatek za herní salon ve výši stanovené vládním rozhodnutím o udělení koncese a nesmí být nižší než 20 %, a to do pěti pracovních dnů po skončení měsíce předcházejícího měsíce.“.</w:t>
      </w:r>
    </w:p>
    <w:p w14:paraId="025BAE1B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Odstavec 5 se mění takto:</w:t>
      </w:r>
    </w:p>
    <w:p w14:paraId="12330206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„Koncesionář musí vypočítat a zaplatit koncesní poplatek do pěti pracovních dnů od konce měsíce za předchozí měsíc.“.</w:t>
      </w:r>
      <w:r>
        <w:t xml:space="preserve"> </w:t>
      </w:r>
    </w:p>
    <w:p w14:paraId="49E16D3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6827709B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4C17C8C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77EEF75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V článku 107 se odstavec 1 mění takto:</w:t>
      </w:r>
    </w:p>
    <w:p w14:paraId="6BB541EE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„Nad pořádáním hazardních her dohlíží finanční správa Republiky Slovinsko (dále jen „orgán dohledu“) na základě ustanovení tohoto zákona a předpisů vydaných na jeho základě.“.</w:t>
      </w:r>
    </w:p>
    <w:p w14:paraId="23AF2CE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25AE4C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44066820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44D56D50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V čl. 108 odst. 1 úvodní větě se za slova „úkolem orgánu dohledu“ doplňuje slovo „především“.</w:t>
      </w:r>
    </w:p>
    <w:p w14:paraId="4ACF8029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5748687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3259B685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36BBDF1D" w14:textId="77777777" w:rsidR="004C79C7" w:rsidRDefault="004C79C7" w:rsidP="004C79C7">
      <w:pPr>
        <w:spacing w:after="160" w:line="256" w:lineRule="auto"/>
        <w:jc w:val="both"/>
      </w:pPr>
      <w:r>
        <w:t xml:space="preserve">V čl. 110 odst. 1 se za slova „pořádá hazardní hru“ doplňuje čárka a slova „je-li právnická osoba považována za středně velkou nebo velkou společnost podle práva, kterým se řídí společnosti, od 100 000 EUR do 500 000 EUR“.</w:t>
      </w:r>
    </w:p>
    <w:p w14:paraId="606B2A5C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0A44E890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109A8753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134638AC" w14:textId="77777777" w:rsidR="004C79C7" w:rsidRDefault="004C79C7" w:rsidP="004C79C7">
      <w:pPr>
        <w:spacing w:after="160" w:line="256" w:lineRule="auto"/>
        <w:jc w:val="both"/>
      </w:pPr>
      <w:r>
        <w:t xml:space="preserve">V čl. 111 odst. 1 úvodní větě se za slova „právnická osoba“ doplňuje čárka a slova „a s pokutou ve výši 15 000 až 120 000 EUR právnickou osobou, je-li podle práva společností považována za střední nebo velkou společnost“.</w:t>
      </w:r>
    </w:p>
    <w:p w14:paraId="07F8D6D6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705673A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3F9EE7E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E33E2BC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V čl. 112 odst. 1 úvodní větě se za slova „právnická osoba“ doplňuje čárka a slova „a s pokutou ve výši 15 000 až 120 000 EUR, právnickou osobou, je-li podle práva společností považována za střední nebo velkou společnost“.</w:t>
      </w:r>
    </w:p>
    <w:p w14:paraId="378E2143" w14:textId="77777777" w:rsidR="004C79C7" w:rsidRPr="007D60E5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Bod 2 se mění takto:</w:t>
      </w:r>
    </w:p>
    <w:p w14:paraId="629ECE72" w14:textId="77777777" w:rsidR="004C79C7" w:rsidRPr="007D60E5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„2. nepropojuje informační systém, v němž pořádá on-line sázení nebo on-line hazardní hry, s informačním systémem orgánu dohledu a neposkytuje orgánu dohledu přístup k programům, údajům a systémovým záznamům (čl. 3a odst. 2);“.</w:t>
      </w:r>
    </w:p>
    <w:p w14:paraId="0162D3B8" w14:textId="77777777" w:rsidR="004C79C7" w:rsidRPr="007D60E5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Bod 3 se mění takto:</w:t>
      </w:r>
    </w:p>
    <w:p w14:paraId="4760E753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„3. umožňuje účast na on-line sázení nebo on-line hrách osobám mladším 18 let (čl. 3.a odst. 4);</w:t>
      </w:r>
    </w:p>
    <w:p w14:paraId="6B973ECE" w14:textId="77777777" w:rsidR="004C79C7" w:rsidRPr="00011B6B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Doplňuje se nový bod 5.a, který zní:</w:t>
      </w:r>
    </w:p>
    <w:p w14:paraId="24516078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„5.a neuvádí výstražnou značku na první stránce on-line služby:</w:t>
      </w:r>
      <w:r>
        <w:t xml:space="preserve"> </w:t>
      </w:r>
      <w:r>
        <w:t xml:space="preserve">„Hazardní hry nebo sázení jsou povoleny pouze osobám starším 18 let.</w:t>
      </w:r>
      <w:r>
        <w:t xml:space="preserve"> </w:t>
      </w:r>
      <w:r>
        <w:t xml:space="preserve">Hazardní hry mohou být návykové.„nebo pokud prohlášení nepokrývá alespoň 5 % velikosti první stránky on-line služby (čl. 52a odst. 5);“.</w:t>
      </w:r>
    </w:p>
    <w:p w14:paraId="60EEAA57" w14:textId="77777777" w:rsidR="004C79C7" w:rsidRPr="00DB5611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Bod 14 se mění takto:</w:t>
      </w:r>
    </w:p>
    <w:p w14:paraId="3F09C823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„Umožňuje osobám mladším 18 let účastnit se sázení nebo navštívit kasino nebo hernu (čl. 52a odst. 3 a článek 83);“.</w:t>
      </w:r>
    </w:p>
    <w:p w14:paraId="754FBC3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0EF420C3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69994B5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0CEAC29E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2538D93A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V čl. 113 odst. 1 se v úvodní větě za slova „právnická osoba“ doplňuje čárka a slova „s pokutou ve výši 4 000 EUR až 30 000 EUR, právnickou osobou, je-li podle práva rozhodného pro společnosti považována za střední nebo velkou společnost“.</w:t>
      </w:r>
    </w:p>
    <w:p w14:paraId="10F257E5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Bod 21 se vypouští.</w:t>
      </w:r>
      <w:r>
        <w:t xml:space="preserve"> </w:t>
      </w:r>
    </w:p>
    <w:p w14:paraId="3C22AD28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Dosavadní body 22 až 27 se označují jako body 21 až 26.</w:t>
      </w:r>
    </w:p>
    <w:p w14:paraId="19599D84" w14:textId="77777777" w:rsidR="004C79C7" w:rsidRPr="00002DA8" w:rsidRDefault="004C79C7" w:rsidP="004C79C7">
      <w:pPr>
        <w:spacing w:after="160" w:line="256" w:lineRule="auto"/>
        <w:jc w:val="both"/>
        <w:rPr>
          <w:lang w:val="it-IT"/>
        </w:rPr>
      </w:pPr>
    </w:p>
    <w:p w14:paraId="1DFC9D7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7F31566F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22CDE4B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FCC658C" w14:textId="77777777" w:rsidR="004C79C7" w:rsidRPr="00304712" w:rsidRDefault="004C79C7" w:rsidP="004C79C7">
      <w:pPr>
        <w:spacing w:after="160" w:line="256" w:lineRule="auto"/>
        <w:jc w:val="both"/>
      </w:pPr>
      <w:r>
        <w:t xml:space="preserve">V čl. 114 odst. 1 úvodní větě se za slova „právní subjekt“ doplňuje čárka a slova „s pokutou ve výši 3 000 EUR, právnickou osobou, je-li podle práva společností považována za střední nebo velkou společnost“.</w:t>
      </w:r>
    </w:p>
    <w:p w14:paraId="6F608B9D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65D90B7B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Článek</w:t>
      </w:r>
    </w:p>
    <w:p w14:paraId="529A5ADA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069C4FFD" w14:textId="77777777" w:rsidR="004C79C7" w:rsidRDefault="004C79C7" w:rsidP="004C79C7">
      <w:pPr>
        <w:spacing w:after="160" w:line="256" w:lineRule="auto"/>
        <w:jc w:val="both"/>
      </w:pPr>
      <w:r>
        <w:t xml:space="preserve">V čl. 115 odst. 1 se v úvodní větě za slova „právnická osoba“ doplňuje čárka a slova „s pokutou ve výši 2 000 EUR až 12 000 EUR, právnickou osobou, je-li podle práva rozhodného pro společnosti považována za střední nebo velkou společnost“.</w:t>
      </w:r>
    </w:p>
    <w:p w14:paraId="35B55AE0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Bod 13 se vypouští.</w:t>
      </w:r>
      <w:r>
        <w:t xml:space="preserve"> </w:t>
      </w:r>
    </w:p>
    <w:p w14:paraId="096C2589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Dosavadní bod 14 se označuje jako bod 13.</w:t>
      </w:r>
    </w:p>
    <w:p w14:paraId="14E8AA4D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CDA01EC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2888C2F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B76AB90" w14:textId="77777777" w:rsidR="004C79C7" w:rsidRPr="001B57C0" w:rsidRDefault="004C79C7" w:rsidP="004C79C7">
      <w:pPr>
        <w:spacing w:line="264" w:lineRule="auto"/>
        <w:jc w:val="center"/>
      </w:pPr>
      <w:r>
        <w:t xml:space="preserve">PŘECHODNÁ A ZÁVĚREČNÁ USTANOVENÍ</w:t>
      </w:r>
    </w:p>
    <w:p w14:paraId="32A0678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4EB0E3C3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31E8661" w14:textId="77777777" w:rsidR="004C79C7" w:rsidRPr="00884CCC" w:rsidRDefault="004C79C7" w:rsidP="004C79C7">
      <w:pPr>
        <w:numPr>
          <w:ilvl w:val="0"/>
          <w:numId w:val="1"/>
        </w:numPr>
        <w:spacing w:line="264" w:lineRule="auto"/>
        <w:jc w:val="center"/>
      </w:pPr>
      <w:r>
        <w:t xml:space="preserve">Článek</w:t>
      </w:r>
    </w:p>
    <w:p w14:paraId="75162F92" w14:textId="77777777" w:rsidR="004C79C7" w:rsidRDefault="004C79C7" w:rsidP="004C79C7">
      <w:pPr>
        <w:spacing w:line="264" w:lineRule="auto"/>
        <w:jc w:val="both"/>
        <w:rPr>
          <w:rFonts w:eastAsia="Calibri"/>
          <w:b/>
          <w:szCs w:val="20"/>
          <w:lang w:val="sl-SI"/>
        </w:rPr>
      </w:pPr>
    </w:p>
    <w:p w14:paraId="6F2BE973" w14:textId="77777777" w:rsidR="004C79C7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Řízení o udělení nebo prodloužení koncese na pořádání zvláštních hazardních her, která probíhají v den vstupu tohoto zákona v platnost, nebo podání odvolání proti konečnému rozhodnutí v těchto řízeních se provádějí a vyplňují v souladu se zákonem o hazardních hrách (Úřední věstník Republiky Slovinsko, č. 14/11 – oficiální konsolidované znění, 108/12, 11/14 – změna a 40/14 – ZIN-B) a nařízeními vydanými na jeho základě.</w:t>
      </w:r>
    </w:p>
    <w:p w14:paraId="02A7D2E6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B52673E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34F9D61" w14:textId="77777777" w:rsidR="004C79C7" w:rsidRPr="007D60E5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  <w:rPr>
          <w:szCs w:val="20"/>
          <w:rFonts w:eastAsia="Calibri"/>
        </w:rPr>
      </w:pPr>
      <w:r>
        <w:t xml:space="preserve">Článek</w:t>
      </w:r>
    </w:p>
    <w:p w14:paraId="4055535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46B779E" w14:textId="77777777" w:rsidR="004C79C7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Loterija Slovenije, d. d. a Športna loterija, d. d., kterým byla trvale udělena koncese na pořádání určitých klasických hazardních her v souladu s ustanoveními zákona o hazardních hrách (Úřední věstník Republiky Slovinsko, č. 14/11 – oficiální konsolidované znění, 108/12, 11/14 – změna a 40/14 – ZIN-B), mohou pořádat tyto hry v souladu s uzavřenou koncesní smlouvou až do uplynutí platnosti koncese na určitou hru.</w:t>
      </w:r>
    </w:p>
    <w:p w14:paraId="49D8ACA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8649515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65B7F741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5D957465" w14:textId="77777777" w:rsidR="004C79C7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  <w:rPr>
          <w:szCs w:val="20"/>
          <w:rFonts w:eastAsia="Calibri"/>
        </w:rPr>
      </w:pPr>
      <w:r>
        <w:t xml:space="preserve">Článek</w:t>
      </w:r>
    </w:p>
    <w:p w14:paraId="499F233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9174E6B" w14:textId="77777777" w:rsidR="004C79C7" w:rsidRPr="005B5003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Koncesionáři musí sladit vlastnickou strukturu s ustanovením pozměněného čl. 55 písm. a) zákona do 12 měsíců od vstupu tohoto zákona v platnost.</w:t>
      </w:r>
    </w:p>
    <w:p w14:paraId="0E2863B9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E8665A2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44F5BEE2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2A8C56F" w14:textId="77777777" w:rsidR="004C79C7" w:rsidRPr="00721D12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  <w:rPr>
          <w:szCs w:val="20"/>
          <w:rFonts w:eastAsia="Calibri"/>
        </w:rPr>
      </w:pPr>
      <w:r>
        <w:t xml:space="preserve">Článek</w:t>
      </w:r>
    </w:p>
    <w:p w14:paraId="3FAB0B4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FDCF92A" w14:textId="77777777" w:rsidR="004C79C7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Předpisy vydané na základě platného zákona o hazardních hrách (Úřední věstník Republiky Slovinsko, č. 14/11 – oficiální konsolidované znění, 108/12, 11/14 – změna a 40/14 – ZIN-B) budou harmonizovány s ustanoveními tohoto zákona do šesti měsíců od vstupu tohoto zákona v platnost.</w:t>
      </w:r>
    </w:p>
    <w:p w14:paraId="7B4F8D95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5F7785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1D0EBD6" w14:textId="77777777" w:rsidR="004C79C7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</w:pPr>
      <w:r>
        <w:t xml:space="preserve">Článek</w:t>
      </w:r>
    </w:p>
    <w:p w14:paraId="76F4541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64B1787" w14:textId="77777777" w:rsidR="004C79C7" w:rsidRPr="00344821" w:rsidRDefault="004C79C7" w:rsidP="004C79C7">
      <w:pPr>
        <w:spacing w:line="264" w:lineRule="auto"/>
        <w:jc w:val="both"/>
      </w:pPr>
      <w:r>
        <w:t xml:space="preserve">Dnem vstupu tohoto zákona v platnost přestávají platit pravidla pro licence na práce ve zvláštních herních operacích (Úřední věstník Republiky Slovinsko č. 45/02, 77/02 a 109/12).</w:t>
      </w:r>
    </w:p>
    <w:p w14:paraId="59D264CB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77195E9" w14:textId="77777777" w:rsidR="004C79C7" w:rsidRPr="00344821" w:rsidRDefault="004C79C7" w:rsidP="004C79C7">
      <w:pPr>
        <w:tabs>
          <w:tab w:val="left" w:pos="230"/>
        </w:tabs>
        <w:spacing w:line="264" w:lineRule="auto"/>
        <w:jc w:val="both"/>
      </w:pPr>
      <w:r>
        <w:tab/>
      </w:r>
    </w:p>
    <w:p w14:paraId="5B910780" w14:textId="77777777" w:rsidR="004C79C7" w:rsidRDefault="004C79C7" w:rsidP="004C79C7">
      <w:pPr>
        <w:tabs>
          <w:tab w:val="left" w:pos="230"/>
        </w:tabs>
        <w:spacing w:line="264" w:lineRule="auto"/>
        <w:jc w:val="both"/>
        <w:rPr>
          <w:rFonts w:eastAsia="Calibri"/>
          <w:szCs w:val="20"/>
          <w:lang w:val="sl-SI"/>
        </w:rPr>
      </w:pPr>
    </w:p>
    <w:p w14:paraId="65D99D14" w14:textId="77777777" w:rsidR="004C79C7" w:rsidRDefault="004C79C7" w:rsidP="004C79C7">
      <w:pPr>
        <w:numPr>
          <w:ilvl w:val="0"/>
          <w:numId w:val="1"/>
        </w:numPr>
        <w:spacing w:line="264" w:lineRule="auto"/>
        <w:jc w:val="center"/>
      </w:pPr>
      <w:r>
        <w:t xml:space="preserve">Článek</w:t>
      </w:r>
    </w:p>
    <w:p w14:paraId="686BF176" w14:textId="77777777" w:rsidR="004C79C7" w:rsidRDefault="004C79C7" w:rsidP="004C79C7">
      <w:pPr>
        <w:spacing w:line="264" w:lineRule="auto"/>
        <w:jc w:val="both"/>
      </w:pPr>
      <w:r>
        <w:t xml:space="preserve"> </w:t>
      </w:r>
    </w:p>
    <w:p w14:paraId="101B3CF9" w14:textId="5AFFAC9A" w:rsidR="004C79C7" w:rsidRPr="00344821" w:rsidRDefault="004C79C7" w:rsidP="004C79C7">
      <w:pPr>
        <w:spacing w:line="264" w:lineRule="auto"/>
        <w:jc w:val="both"/>
      </w:pPr>
      <w:r>
        <w:t xml:space="preserve">Toto nařízení vstupuje v platnost patnáctý den po jeho zveřejnění v Úředním věstníku Republiky Slovinsko.</w:t>
      </w:r>
      <w:r>
        <w:t xml:space="preserve"> </w:t>
      </w:r>
    </w:p>
    <w:p w14:paraId="7FFECEA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bookmarkEnd w:id="0"/>
    <w:p w14:paraId="692DC737" w14:textId="77777777" w:rsidR="00B21BC5" w:rsidRPr="004C79C7" w:rsidRDefault="00B21BC5">
      <w:pPr>
        <w:rPr>
          <w:lang w:val="sl-SI"/>
        </w:rPr>
      </w:pPr>
    </w:p>
    <w:sectPr w:rsidR="00B21BC5" w:rsidRPr="004C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multilevel"/>
    <w:tmpl w:val="0B3E9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l-S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6DED"/>
    <w:multiLevelType w:val="hybridMultilevel"/>
    <w:tmpl w:val="C2FAA1AA"/>
    <w:lvl w:ilvl="0" w:tplc="C484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67997"/>
    <w:multiLevelType w:val="hybridMultilevel"/>
    <w:tmpl w:val="AB04681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C7"/>
    <w:rsid w:val="001709BC"/>
    <w:rsid w:val="00473EA7"/>
    <w:rsid w:val="004C79C7"/>
    <w:rsid w:val="0065179E"/>
    <w:rsid w:val="00B21BC5"/>
    <w:rsid w:val="00E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69B5"/>
  <w15:chartTrackingRefBased/>
  <w15:docId w15:val="{AEAFB800-EA13-4196-9723-501EBF0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9C7"/>
    <w:pPr>
      <w:suppressAutoHyphens/>
      <w:spacing w:after="0" w:line="260" w:lineRule="atLeast"/>
    </w:pPr>
    <w:rPr>
      <w:rFonts w:ascii="Arial" w:eastAsia="Times New Roman" w:hAnsi="Arial" w:cs="Arial"/>
      <w:sz w:val="20"/>
      <w:szCs w:val="24"/>
      <w:lang w:val="cs-CZ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79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Jerina Mandič</dc:creator>
  <cp:keywords/>
  <dc:description/>
  <cp:lastModifiedBy>Jelka Jerina Mandič</cp:lastModifiedBy>
  <cp:revision>4</cp:revision>
  <dcterms:created xsi:type="dcterms:W3CDTF">2021-06-07T08:40:00Z</dcterms:created>
  <dcterms:modified xsi:type="dcterms:W3CDTF">2021-06-22T08:43:00Z</dcterms:modified>
</cp:coreProperties>
</file>