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0D5B658F" w:rsidR="00930B99" w:rsidRPr="00FA450C" w:rsidRDefault="00FA450C" w:rsidP="00FA450C">
      <w:pPr>
        <w:spacing w:line="276" w:lineRule="auto"/>
        <w:ind w:right="30"/>
        <w:jc w:val="center"/>
        <w:rPr>
          <w:rFonts w:ascii="Courier New" w:hAnsi="Courier New"/>
          <w:sz w:val="20"/>
        </w:rPr>
      </w:pPr>
      <w:r>
        <w:rPr>
          <w:rFonts w:ascii="Courier New" w:hAnsi="Courier New"/>
          <w:sz w:val="20"/>
        </w:rPr>
        <w:t xml:space="preserve">1. </w:t>
      </w:r>
      <w:r w:rsidR="00930B99" w:rsidRPr="00FA450C">
        <w:rPr>
          <w:rFonts w:ascii="Courier New" w:hAnsi="Courier New"/>
          <w:sz w:val="20"/>
        </w:rPr>
        <w:t>---</w:t>
      </w:r>
      <w:r>
        <w:rPr>
          <w:rFonts w:ascii="Courier New" w:hAnsi="Courier New"/>
          <w:sz w:val="20"/>
        </w:rPr>
        <w:t>-</w:t>
      </w:r>
      <w:r w:rsidR="00930B99" w:rsidRPr="00FA450C">
        <w:rPr>
          <w:rFonts w:ascii="Courier New" w:hAnsi="Courier New"/>
          <w:sz w:val="20"/>
        </w:rPr>
        <w:t>--IND- 2019 0472 SK- LV- ------ 20200804 --- --- FINAL</w:t>
      </w:r>
    </w:p>
    <w:p w14:paraId="572C0DAD" w14:textId="6B08D733" w:rsidR="00B05472" w:rsidRPr="00B05472" w:rsidRDefault="00B05472" w:rsidP="00B05472">
      <w:pPr>
        <w:spacing w:line="276" w:lineRule="auto"/>
        <w:ind w:right="30"/>
        <w:jc w:val="center"/>
        <w:rPr>
          <w:sz w:val="40"/>
        </w:rPr>
      </w:pPr>
      <w:r w:rsidRPr="00B05472">
        <w:rPr>
          <w:sz w:val="40"/>
        </w:rPr>
        <w:t>SLOVĀKIJAS REPUBLIKAS</w:t>
      </w:r>
    </w:p>
    <w:p w14:paraId="0F594CBF" w14:textId="11E8E6DF" w:rsidR="009A7616" w:rsidRPr="000269C4" w:rsidRDefault="00F72AF9" w:rsidP="00A358E1">
      <w:pPr>
        <w:spacing w:line="276" w:lineRule="auto"/>
        <w:ind w:right="30"/>
        <w:jc w:val="center"/>
        <w:rPr>
          <w:sz w:val="56"/>
          <w:szCs w:val="20"/>
        </w:rPr>
      </w:pPr>
      <w:r>
        <w:rPr>
          <w:sz w:val="56"/>
        </w:rPr>
        <w:t>C</w:t>
      </w:r>
      <w:r w:rsidR="00B05472" w:rsidRPr="00B05472">
        <w:t xml:space="preserve"> </w:t>
      </w:r>
      <w:r w:rsidR="00B05472" w:rsidRPr="00B05472">
        <w:rPr>
          <w:sz w:val="56"/>
        </w:rPr>
        <w:t xml:space="preserve">LIKUMU </w:t>
      </w:r>
      <w:r>
        <w:rPr>
          <w:noProof/>
          <w:lang w:val="en-US" w:eastAsia="en-US" w:bidi="hi-IN"/>
        </w:rP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w:t>
      </w:r>
      <w:r w:rsidR="00B05472" w:rsidRPr="00B05472">
        <w:rPr>
          <w:sz w:val="56"/>
        </w:rPr>
        <w:t xml:space="preserve">KRĀJUMS </w:t>
      </w:r>
      <w:r w:rsidR="00B05472">
        <w:rPr>
          <w:sz w:val="56"/>
        </w:rPr>
        <w:t xml:space="preserve"> </w:t>
      </w:r>
    </w:p>
    <w:p w14:paraId="4D443B8A" w14:textId="77777777" w:rsidR="009A7616" w:rsidRPr="000269C4" w:rsidRDefault="00F72AF9" w:rsidP="00A358E1">
      <w:pPr>
        <w:spacing w:line="276" w:lineRule="auto"/>
        <w:ind w:right="30"/>
        <w:jc w:val="center"/>
        <w:rPr>
          <w:sz w:val="36"/>
          <w:szCs w:val="20"/>
        </w:rPr>
      </w:pPr>
      <w:r>
        <w:rPr>
          <w:sz w:val="36"/>
        </w:rPr>
        <w:t>2020. sējums</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Publicēts: 2020. gada 24. janvārī</w:t>
      </w:r>
      <w:r>
        <w:rPr>
          <w:sz w:val="20"/>
        </w:rPr>
        <w:tab/>
        <w:t>Slovākijas Republikas likumu krājumā publicētā versija</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Dokumenta saturs ir juridiski saistošs.</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rFonts w:ascii="Times New Roman" w:hAnsi="Times New Roman" w:cs="Times New Roman"/>
          <w:b/>
        </w:rPr>
      </w:pPr>
      <w:r>
        <w:rPr>
          <w:rFonts w:ascii="Times New Roman" w:hAnsi="Times New Roman"/>
          <w:b/>
        </w:rPr>
        <w:t>17</w:t>
      </w:r>
    </w:p>
    <w:p w14:paraId="3ED77704" w14:textId="72B3A323" w:rsidR="009A7616" w:rsidRPr="00515DDB" w:rsidRDefault="00F72AF9" w:rsidP="00A358E1">
      <w:pPr>
        <w:spacing w:line="276" w:lineRule="auto"/>
        <w:ind w:right="30"/>
        <w:jc w:val="center"/>
        <w:rPr>
          <w:b/>
          <w:sz w:val="20"/>
          <w:szCs w:val="20"/>
        </w:rPr>
      </w:pPr>
      <w:r>
        <w:rPr>
          <w:b/>
          <w:sz w:val="20"/>
        </w:rPr>
        <w:t>R Ī K O J U M S,</w:t>
      </w:r>
    </w:p>
    <w:p w14:paraId="6AFDB39C" w14:textId="77777777" w:rsidR="009A7616" w:rsidRPr="000269C4" w:rsidRDefault="00F72AF9" w:rsidP="00A358E1">
      <w:pPr>
        <w:spacing w:line="276" w:lineRule="auto"/>
        <w:ind w:right="30"/>
        <w:jc w:val="center"/>
        <w:rPr>
          <w:b/>
          <w:sz w:val="20"/>
          <w:szCs w:val="20"/>
        </w:rPr>
      </w:pPr>
      <w:r>
        <w:rPr>
          <w:b/>
          <w:sz w:val="20"/>
        </w:rPr>
        <w:t>ko izdevusi Slovākijas Republikas Transporta un būvniecības ministrija</w:t>
      </w:r>
    </w:p>
    <w:p w14:paraId="21E05BBD" w14:textId="77777777" w:rsidR="009A7616" w:rsidRPr="000269C4" w:rsidRDefault="00F72AF9" w:rsidP="00A358E1">
      <w:pPr>
        <w:spacing w:line="276" w:lineRule="auto"/>
        <w:ind w:right="30"/>
        <w:jc w:val="center"/>
        <w:rPr>
          <w:sz w:val="20"/>
          <w:szCs w:val="20"/>
        </w:rPr>
      </w:pPr>
      <w:r>
        <w:rPr>
          <w:sz w:val="20"/>
        </w:rPr>
        <w:t>(2020. gada 14. janvāris)</w:t>
      </w:r>
    </w:p>
    <w:p w14:paraId="372C2313" w14:textId="77777777" w:rsidR="009A7616" w:rsidRPr="000269C4" w:rsidRDefault="00F72AF9" w:rsidP="00A358E1">
      <w:pPr>
        <w:spacing w:line="276" w:lineRule="auto"/>
        <w:ind w:right="30"/>
        <w:jc w:val="center"/>
        <w:rPr>
          <w:b/>
          <w:sz w:val="20"/>
          <w:szCs w:val="20"/>
        </w:rPr>
      </w:pPr>
      <w:r>
        <w:rPr>
          <w:b/>
          <w:sz w:val="20"/>
        </w:rPr>
        <w:t>ar kuru groza Slovākijas Republikas Satiksmes, būvniecības un reģionālās attīstības ministrijas Rīkojumu Nr. 162/2013 Z. z., ar ko nosaka būvizstrādājumu grupu sarakstus un būvizstrādājumu ekspluatācijas īpašību novērtējuma sistēmas, kas grozīts ar Rīkojumu Nr. 177/2016 Z. z.</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Slovākijas Republikas Satiksmes un būvniecības ministrija saskaņā ar 13. panta 2. punktu Likumā Nr. 133/2013 Z. z. par būvizstrādājumiem un grozījumiem dažos likumos izdod šādu rīkojumu.</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I pants</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Slovākijas Republikas Satiksmes, būvniecības un reģionālās attīstības ministrijas Rīkojumu Nr. 162/2013 Z. z., ar ko nosaka būvizstrādājumu grupu sarakstus un būvizstrādājumu ekspluatācijas īpašību novērtējuma sistēmas, kas grozīts ar Rīkojumu Nr. 177/2016 Z. z., groza šādi:</w:t>
      </w:r>
    </w:p>
    <w:p w14:paraId="1C438DD6"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pēc 7.a panta pievieno jaunu 7.b pantu šādā redakcijā:</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“7.b pants</w:t>
      </w:r>
    </w:p>
    <w:p w14:paraId="1A6ADF6C" w14:textId="77777777" w:rsidR="009A7616" w:rsidRPr="000269C4" w:rsidRDefault="00F72AF9" w:rsidP="00A358E1">
      <w:pPr>
        <w:spacing w:line="276" w:lineRule="auto"/>
        <w:ind w:right="30"/>
        <w:jc w:val="center"/>
        <w:rPr>
          <w:b/>
          <w:sz w:val="20"/>
          <w:szCs w:val="20"/>
        </w:rPr>
      </w:pPr>
      <w:r>
        <w:rPr>
          <w:b/>
          <w:sz w:val="20"/>
        </w:rPr>
        <w:t>Pārejas noteikumi attiecībā uz grozījumiem, kuri stājas spēkā 2020. gada 1. martā</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Būvizstrādājumu ekspluatācijas īpašību novērtējumus, kas ir uzsākti, bet nav pabeigti līdz 2020. gada 29. februārim, veic saskaņā ar esošajiem noteikumiem līdz ne vēlāk kā 2020. gada 31. augustam.</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Novērtējumus 0409., 0410., 0511., 0517., 0522., 0523., 0524., 0525., 0702., 0716., 1005., 1201., 1607., 1901., 2205., 2206., 3101., 3311., 3314., 3805., 4106., 4601., 4611. un 4614. grupas būvizstrādājumu ekspluatācijas īpašībām veic noteiktajā veidā līdz 2020. gada 31. augustam.”;</w:t>
      </w:r>
    </w:p>
    <w:p w14:paraId="13B81801"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rīkojuma 1. pielikumu izsaka šādi:</w:t>
      </w:r>
    </w:p>
    <w:p w14:paraId="187D9104" w14:textId="77777777" w:rsidR="009A7616" w:rsidRPr="000269C4" w:rsidRDefault="00F72AF9" w:rsidP="00A358E1">
      <w:pPr>
        <w:pageBreakBefore/>
        <w:spacing w:line="276" w:lineRule="auto"/>
        <w:ind w:right="29"/>
        <w:jc w:val="right"/>
        <w:rPr>
          <w:b/>
          <w:sz w:val="20"/>
          <w:szCs w:val="20"/>
        </w:rPr>
      </w:pPr>
      <w:r>
        <w:rPr>
          <w:b/>
          <w:sz w:val="20"/>
        </w:rPr>
        <w:lastRenderedPageBreak/>
        <w:t>“1. pielikums</w:t>
      </w:r>
    </w:p>
    <w:p w14:paraId="24311834" w14:textId="77777777" w:rsidR="009A7616" w:rsidRPr="000269C4" w:rsidRDefault="00F72AF9" w:rsidP="00A358E1">
      <w:pPr>
        <w:spacing w:line="276" w:lineRule="auto"/>
        <w:ind w:right="30"/>
        <w:jc w:val="right"/>
        <w:rPr>
          <w:b/>
          <w:sz w:val="20"/>
          <w:szCs w:val="20"/>
        </w:rPr>
      </w:pPr>
      <w:r>
        <w:rPr>
          <w:b/>
          <w:sz w:val="20"/>
        </w:rPr>
        <w:t>Rīkojumam Nr. 162/2013 Z. z.</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BŪVIZSTRĀDĀJUMU GRUPAS AR DEFINĒTĀM EKSPLUATĀCIJAS ĪPAŠĪBU NOVĒRTĒŠANAS SISTĒMĀM</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Izstrādājumu izmantošanas joma</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Nr.</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Izstrādājumu grupas nosaukums</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Grupas klasifikācija</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PAS</w:t>
            </w:r>
            <w:r>
              <w:rPr>
                <w:sz w:val="20"/>
                <w:vertAlign w:val="superscript"/>
              </w:rPr>
              <w:t>a</w:t>
            </w:r>
            <w:r>
              <w:rPr>
                <w:sz w:val="20"/>
              </w:rPr>
              <w:t>)</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Izstrādājumi ēku pamatiem un grunts un pamatu būvei</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Ģeosintētiskie materiāli (membrānas un tekstili), ģeokompozīti, ģeorežģi, ģeomembrānas un ģeotīkli, ko izmanto atdalīšanai, aizsardzībai, drenāžai, filtrēšanai vai grunts nostiprināšanai</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Mērķim, kam piemēro UDN, sadalījumā pa DK veidiem:</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DK ražošanas laikā var mainīties saskaņā ar 4. panta 2. punkta a) apakšpunktu</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DK bez pārbaudes saskaņā ar 4. panta 1. punktu</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DK, kas atšķiras no iepriekš minētajām, saskaņā ar 4. panta 2. punkta b) apakšpunktu</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Stabilizācijas un hidroizolācijas maisījumi ēku pamatiem, kā arī autoceļu vai dzelzceļu pamatnēm</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Paneļu sagataves un saistītie konstrukcijas elementi</w:t>
            </w:r>
            <w:r>
              <w:rPr>
                <w:sz w:val="20"/>
                <w:vertAlign w:val="superscript"/>
              </w:rPr>
              <w:t>b</w:t>
            </w:r>
            <w:r>
              <w:rPr>
                <w:sz w:val="20"/>
              </w:rPr>
              <w:t>)</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Pamatu sijas un pamatnes</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Izstrādājumi stiprināšanai akmenī un nesošajos grunts slāņos</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Enkuri gruntī un akmenī</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Izstrādājumi atbalsta sienām un hidrauliskajām konstrukcijām</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Atbalsta sienu elementi no betona</w:t>
            </w:r>
            <w:r>
              <w:rPr>
                <w:sz w:val="20"/>
                <w:vertAlign w:val="superscript"/>
              </w:rPr>
              <w:t>c</w:t>
            </w:r>
            <w:r>
              <w:rPr>
                <w:sz w:val="20"/>
              </w:rPr>
              <w:t>)</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Akmeņi groziem</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Pinumi groziem</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Grozu bloki</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Akmeņi hidrauliskām konstrukcijām</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Atbilstoši hidrauliskās konstrukcijas kategorijai:</w:t>
            </w:r>
            <w:r>
              <w:rPr>
                <w:sz w:val="20"/>
                <w:vertAlign w:val="superscript"/>
              </w:rPr>
              <w:t>9</w:t>
            </w:r>
            <w:r>
              <w:rPr>
                <w:sz w:val="20"/>
              </w:rPr>
              <w:t>)</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I, II un III kategorija</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IV kategorija</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Plēves pret mitrumu, ūdeni un radonu</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lastRenderedPageBreak/>
              <w:t>Hidroizolācijas un pretradona sloksnes un folijas virszemes stāviem (bez pamatnes) un pazemes (pamatnes) zonām</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Hidroizolācijas sloksnes ķieģeļu sienām</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Tvaika necaurlaidīgas un tvaika caurlaidīgas kārtas sienām un jumtiem</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Jumta seguma folijas un citas jumta seguma plēves</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Jumta pamatnes kārtas</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Hidroizolācijas pārklājuma līdzekļi virszemes stāviem, ēku pazemes zonām, zem bruģa un flīzēm</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lastRenderedPageBreak/>
              <w:t>Pamatmērķiem</w:t>
            </w:r>
            <w:r>
              <w:rPr>
                <w:sz w:val="20"/>
                <w:vertAlign w:val="superscript"/>
              </w:rPr>
              <w:t>d</w:t>
            </w:r>
            <w:r>
              <w:rPr>
                <w:sz w:val="20"/>
              </w:rPr>
              <w:t>)</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 xml:space="preserve">Mērķim, kam piemēro </w:t>
            </w:r>
            <w:r>
              <w:rPr>
                <w:sz w:val="20"/>
              </w:rPr>
              <w:lastRenderedPageBreak/>
              <w:t>UDN, sadalījumā pa DK veidiem, vai nepieciešama ĀUI pārbaude:</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(A1 līdz E) saskaņā ar 4. panta 1. punktu,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Izstrādājumi, kam nepieciešama ĀUI pārbaude</w:t>
            </w:r>
            <w:r>
              <w:rPr>
                <w:sz w:val="20"/>
                <w:vertAlign w:val="superscript"/>
              </w:rPr>
              <w:t>f</w:t>
            </w:r>
            <w:r>
              <w:rPr>
                <w:sz w:val="20"/>
              </w:rPr>
              <w:t>)</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Izstrādājumi, kam nav nepieciešama ĀUI pārbaude</w:t>
            </w:r>
            <w:r>
              <w:rPr>
                <w:sz w:val="20"/>
                <w:vertAlign w:val="superscript"/>
              </w:rPr>
              <w:t>f)</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Hidroizolācijas sloksnes betona tiltu klājumiem</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Hidroizolācijas komplekti/sistēmas tiltu klājumiem</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Hidroizolācijas un izplešanās sloksnes</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Mērķim, kam piemēro UDN, sadalījumā pa DK veidiem, vai nepieciešama ĀUI pārbaude:</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(A1 līdz E) saskaņā ar 4. panta 1. punktu,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Sloksnes, folijas, pārklājumi vai sistēmas telpās esošu peldbaseinu hidroizolācijai</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Mērķim, kam piemēro UDN, sadalījumā pa DK veidiem, vai nepieciešama ĀUI pārbaude:</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 xml:space="preserve">(A1, A2, B, C) saskaņā ar 4. panta </w:t>
            </w:r>
            <w:r>
              <w:rPr>
                <w:sz w:val="20"/>
              </w:rPr>
              <w:lastRenderedPageBreak/>
              <w:t>2. punkta b) apakšpunktu,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lastRenderedPageBreak/>
              <w:t>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(A1 līdz E) saskaņā ar 4. panta 1. punktu,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Izstrādājumi autoceļiem, gājēju celiņiem un citām satiksmes zonām</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Dabiskie un modificētie bitumeni un bitumena emulsijas ceļu būvei un ceļu virsmas apstrādei</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Bitumena maisījumi ceļu būvei un satiksmes zonu virsmas apstrādei</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Mērķim, kam piemēro UDN, sadalījumā pa DK veidiem:</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(A1FL, A2FL, BFL, CFL) saskaņā ar 4. panta 2. punkta a) apakšpunktu</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(A1FL, A2FL, BFL, CFL) saskaņā ar 4. panta 2. punkta b) apakšpunktu,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(A1FL līdz EFL) saskaņā ar 4. panta 1. punktu,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Bīdāmās tapas un segumi betona</w:t>
            </w:r>
            <w:r>
              <w:rPr>
                <w:sz w:val="20"/>
                <w:vertAlign w:val="superscript"/>
              </w:rPr>
              <w:t>c</w:t>
            </w:r>
            <w:r>
              <w:rPr>
                <w:sz w:val="20"/>
              </w:rPr>
              <w:t>) autoceļiem</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Tiltu deformācijas šuves</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Rūpnieciski ražoti tiltu margu posmi</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Deformācijas šuves satiksmes zonām, izņemot tiltus</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Segumi un tepes ietvēm, izņemot ķīmiskās ražotnes, autoceļus un citas satiksmes zonas, lidostu skrejceļus un notekūdeņu attīrīšanas iekārtas</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Mērķim, kam piemēro UDN, sadalījumā pa DK veidiem:</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(A1 līdz E) saskaņā ar 4. panta 1. punktu,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Plāksnes, bruģa bloki un apmales no dabiskā akmens ārējai bruģēšanai</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Betona bruģa bloki, flīzes un apmales ārējai bruģēšanai</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Bruģakmeņi</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 xml:space="preserve">Bruģa elementi, tostarp bruģa bloki, bruģakmeņi, akmens apmales </w:t>
            </w:r>
            <w:r>
              <w:rPr>
                <w:sz w:val="20"/>
              </w:rPr>
              <w:lastRenderedPageBreak/>
              <w:t>(izņemot 0508. un 0509. grupas izstrādājumus), stikla un betona virsgaismas logi, metāla plākšņu grīdas, lokšņu restu vai režģu plāksnes, grīdu režģi un kāpņu kāpšļi, cietās flīzes, plāksnes, mozaīkas un betona mozaīku flīzes</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Apstādījumu daļas nelielas slodzes satiksmes zonām</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Transportlīdzekļu ierobežotājsistēmas — barjeras, triecienslāpētāji, pārvietojamās barjeras, kabeļi un margas</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Ierobežotājsistēmas gājēju aizsardzībai</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Luksofori, pastāvīgās brīdinājuma gaismas un satiksmes bākas</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Vertikālās ceļa zīmes, maināmās ceļa zīmes, stabi ceļa zīmēm un gaismas signālierīces, atstarojošie virzienrādītāji, barjeru stabi un norāžu ierīces, kas paredzētas pastāvīgai uzstādīšanai</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Saliekamās horizontālās ceļa zīmes un ceļa atstarotāji, kā arī atstarojošie un optiskie elementi horizontālajiem ceļa apzīmējumiem</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Pārklājuma vielas horizontālajiem ceļa apzīmējumiem, karsti uzklājams termoplasts, auksti uzklājama plastika ar pretslīdēšanas masu vai bez tās un ar vai bez iepriekš iejauktām stikla pērlītēm vai laista tirgū ar norādi par stikla pērlīšu vai pretslīdēšanas masu veidu un proporcijām</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Stikla pērlītes, pretslīdēšanas masas un to maisījumi, ko izmanto kā uzberamus materiālus horizontālām ceļa zīmēm</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Trokšņa slāpēšanas sienas un ierīces</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Pretapžilbes ierīces pretimbraucošiem transportlīdzekļiem un ārējiem gaismas avotiem</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Atstarojošie elementi, kas ierobežo dzīvnieku nokļūšanu uz ceļa</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Izstrādājumi neredzīgajiem paredzētu norādošu, brīdinošu un signalizējošu joslu izveidei</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Līmes un vielas pastāvīgi uzstādāmu barjeru un norāžu ierīču, saliekamu horizontālo ceļa zīmju un apzīmējumu līmēšanai</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Īpaši izstrādājumi satiksmes zonu virsmas apstrādei</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Mērķim, kam piemēro UDN, sadalījumā pa DK veidiem:</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(A1FL, A2FL, BFL, CFL) saskaņā ar 4. panta 2. punkta a) apakšpunktu</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(A1FL, A2FL, BFL, CFL) saskaņā ar 4. panta 2. punkta b) apakšpunktu,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(A1FL līdz EFL) saskaņā ar 4. panta 1. punktu,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Stabi</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Apgaismojuma stabi no tērauda, alumīnija un polimēriem, kas armēti ar šķiedrām</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Apgaismojuma stabi no dzelzsbetona un spriegbetona</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Koka stabi gaisvadu elektrolīnijām</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lastRenderedPageBreak/>
              <w:t>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Citi saliekami stabi vai saliekamas to konstrukcijas daļas gaisvadu elektrolīnijām, elektrovilces līnijām, telekomunikāciju aprīkojumam, vēja turbīnām un citām līdzīgām iekārtām</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Notekūdeņu tehnoloģijām paredzētie izstrādājumi</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Caurules un veidgabali no nestiegrota betona, betona, kas stiegrots ar tērauda šķiedrām, un dzelzsbetona notekcaurulēm (ar hermetizāciju vai bez tās)</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Cita veida caurules, veidgabali un blīvējumi, plūsmas regulatori, slūžas un virpuļvārsti kanalizācijas caurulēm</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Caurules un veidgabali ēku novadcaurulēm</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Kanalizācijas cauruļu skatakas un lūkas</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Skataku lūku pakāpieni, kāpnes un margas</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Ventilācijas cauruļvada gaisa padeves vārsti ēku novadcaurulēm</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Ēku un inženiertehnisko būvju notekūdeņu hidrauliskie aizslēgi un separatori</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Mērķim, kam piemēro UDN, sadalījumā pa DK veidiem:</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DK ražošanas laikā var mainīties saskaņā ar 4. panta 2. punkta a) apakšpunktu</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DK bez pārbaudes saskaņā ar 4. panta 1. punktu</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DK, kas atšķiras no iepriekš minētajām, saskaņā ar 4. panta 2. punkta b) apakšpunktu</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Notekūdeņu sūkņu staciju sistēmas un efluenta pacelšanas iekārtas</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Sistēmas un elementi sadzīves notekūdeņu attīrīšanas iekārtām un aprīkojums attīrīšanai uz vietas</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Septiktvertnes</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Saliekami drenāžas kanāli (notekcaurules) ceļiem</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Mērķim, kam piemēro UDN, sadalījumā pa DK veidiem:</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DK ražošanas laikā var mainīties saskaņā ar 4. panta 2. punkta a) apakšpunktu</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DK bez pārbaudes saskaņā ar 4. panta 1. punktu</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DK, kas atšķiras no iepriekš minētajām, saskaņā ar 4. panta 2. punkta b) apakšpunktu</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Lūku vāki un lietus ūdens noteku režģi ceļiem</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DK ražošanas laikā var mainīties saskaņā ar 4. panta 2. punkta a) apakšpunktu</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DK bez pārbaudes saskaņā ar 4. panta 1. punktu</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DK, kas atšķiras no iepriekš minētajām, saskaņā ar 4. panta 2. punkta b) apakšpunktu</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Notekūdeņu savākšanas tvertnes</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DK ražošanas laikā var mainīties saskaņā ar 4. panta 2. punkta a) apakšpunktu</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DK bez pārbaudes saskaņā ar 4. panta 1. punktu</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DK, kas atšķiras no iepriekš minētajām, saskaņā ar 4. panta 2. punkta b) apakšpunktu</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Grīdas notekas</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DK ražošanas laikā var mainīties saskaņā ar 4. panta 2. punkta a) apakšpunktu</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DK bez pārbaudes saskaņā ar 4. panta 1. punktu</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DK, kas atšķiras no iepriekš minētajām, saskaņā ar 4. panta 2. punkta b) apakšpunktu</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Betona kastu caurtekas</w:t>
            </w:r>
            <w:r>
              <w:rPr>
                <w:sz w:val="20"/>
                <w:vertAlign w:val="superscript"/>
              </w:rPr>
              <w:t>c</w:t>
            </w:r>
            <w:r>
              <w:rPr>
                <w:sz w:val="20"/>
              </w:rPr>
              <w:t>)</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Atbilstoši mērķim</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Konstrukcijas</w:t>
            </w:r>
            <w:r>
              <w:rPr>
                <w:sz w:val="20"/>
                <w:vertAlign w:val="superscript"/>
              </w:rPr>
              <w:t>b</w:t>
            </w:r>
            <w:r>
              <w:rPr>
                <w:sz w:val="20"/>
              </w:rPr>
              <w:t>) — lielās caurtekas</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Nesošās — mazās caurtekas</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Drenu caurules un infiltrācijas bloki</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Celtniecības gultņi</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Sfēriskie un cilindriskie gultņi ar PTFE</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 xml:space="preserve">Citi gultņi ēku un inženiertehnisko būvju celtniecībai, ja gultņu deformācija padarītu ēku vai tās daļu neizmantojamu vai gandrīz </w:t>
            </w:r>
            <w:r>
              <w:rPr>
                <w:sz w:val="20"/>
              </w:rPr>
              <w:lastRenderedPageBreak/>
              <w:t>neizmantojamu</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Gultņi citu ēku būvei</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Seismiskās drošības iekārtas</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Pildvielas</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Pildvielas betonam</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Pildvielas javai</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Atbilstoši mērķim:</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mūrjavai</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citai javai</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Vieglās pildvielas betonam, javai un injekcijas javai</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Atbilstoši mērķim:</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betonam, mūrjavai un injekcijas javai</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citai javai</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Pildvielas gulšņu pamatnes kārtām un dzelzceļa uzbēruma būvei</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Atbilstoši līnijas veidam:</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ātrgaitas līnijām</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citām līnijām</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Pildvielas necementētiem materiāliem un hidrauliski cementētiem materiāliem ceļu būvei</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Atbilstoši mērķim:</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I, II, III un IV</w:t>
            </w:r>
            <w:r>
              <w:rPr>
                <w:sz w:val="20"/>
                <w:vertAlign w:val="superscript"/>
              </w:rPr>
              <w:t>10</w:t>
            </w:r>
            <w:r>
              <w:rPr>
                <w:sz w:val="20"/>
              </w:rPr>
              <w:t>) satiksmes slodzes klases ceļu būvei un lidostu skrejceļu būvei</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V un VI</w:t>
            </w:r>
            <w:r>
              <w:rPr>
                <w:sz w:val="20"/>
                <w:vertAlign w:val="superscript"/>
              </w:rPr>
              <w:t>10</w:t>
            </w:r>
            <w:r>
              <w:rPr>
                <w:sz w:val="20"/>
              </w:rPr>
              <w:t>) satiksmes slodzes klases ceļu būvei</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Hidrauliski cementēti un necementēti maisījumi ceļu un citu satiksmes zonu būvei</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Atbilstoši mērķim:</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I, II, III un IV10) satiksmes slodzes klases ceļu būvei un lidostu skrejceļu būvei</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V un VI</w:t>
            </w:r>
            <w:r>
              <w:rPr>
                <w:sz w:val="20"/>
                <w:vertAlign w:val="superscript"/>
              </w:rPr>
              <w:t>10</w:t>
            </w:r>
            <w:r>
              <w:rPr>
                <w:sz w:val="20"/>
              </w:rPr>
              <w:t>) satiksmes slodzes klases ceļu būvei</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Pildvielas bitumena maisījumiem un ceļu, lidostu un citu satiksmes zonu virsmas apstrādei</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Atbilstoši mērķim:</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abrazīviem slāņiem</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citiem slāņiem</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Cementi, kaļķi un citas saistvielas</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Cementi un parastā veidā samaisīti cementi betona, būvjavas, injekcijas javas un citu maisījumu sagatavošanai</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Īpašie cementi, kas iztur zemas temperatūras, baltie cementi, cementi, kas iztur sēra un jūras ūdens iedarbību, cementi ar zemu sārma saturu, kalcija alumināta cementi ar ļoti zemu hidratācijas siltumu, domnu cementi ar zemu sākotnējo izturību, mūrnieku cementi un ceļa cementi betona, būvjavas, injekcijas javas un citu maisījumu sagatavošanai</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Būvkaļķi, tostarp neveldzētie, dolomīta un hidrauliskie kaļķi betona, būvjavas, injekcijas javas un citu maisījumu sagatavošanai</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Hidrauliskās saistvielas maisījumu sagatavošanai satiksmes zonu pamatnes kārtām un hidrauliskās saistvielas javu izgatavošanai</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Hibrīda cementi betona, būvjavas, injekcijas javas un citu maisījumu sagatavošanai</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lastRenderedPageBreak/>
              <w:t>Betoni, javas, aizjavošanas maisījumi, piedevas un piemaisījumi</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Betons, kas sagatavots stacionārās vai pārvietojamās betona maisīšanas iekārtās</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Izsmidzināms betons</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Maisījumi injekcijas javām</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Rūpnieciski ražota mūrēšanas būvjava un citi mūrēšanas materiāli</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Atbilstoši tipam:</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piedāvātā būvjava</w:t>
            </w:r>
            <w:r>
              <w:rPr>
                <w:sz w:val="20"/>
                <w:vertAlign w:val="superscript"/>
              </w:rPr>
              <w:t>g</w:t>
            </w:r>
            <w:r>
              <w:rPr>
                <w:sz w:val="20"/>
              </w:rPr>
              <w:t>)</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java ar iepriekš noteiktu sastāvu</w:t>
            </w:r>
            <w:r>
              <w:rPr>
                <w:sz w:val="20"/>
                <w:vertAlign w:val="superscript"/>
              </w:rPr>
              <w:t>g</w:t>
            </w:r>
            <w:r>
              <w:rPr>
                <w:sz w:val="20"/>
              </w:rPr>
              <w:t>)</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citi materiāli</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Rūpnieciski ražota java iekšējiem un ārējiem pārklājumiem, izmantojot neorganiskas saistvielas, tostarp termoizolācijas java</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Rūpnieciski ražota java citiem pārklājumiem</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Piemaisījumi betonam un javai, tostarp injekcijas javai</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Atbilstoši tipam:</w:t>
            </w:r>
            <w:r>
              <w:rPr>
                <w:sz w:val="20"/>
                <w:vertAlign w:val="superscript"/>
              </w:rPr>
              <w:t>h</w:t>
            </w:r>
            <w:r>
              <w:rPr>
                <w:sz w:val="20"/>
              </w:rPr>
              <w:t>)</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I tips</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I tips</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Piedevas betonam, būvjavai un injekcijas javai un piedevas injekcijas javai stiegrojuma iepriekš saspriegšanai</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Izstrādājumi dzelzsbetonam un iepriekš saspriegtam betonam</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Lietņi, stieņi, robotas tērauda sloksnes, pinumi un telpiski (režģoti) pastiprinājumi no tērauda vai kompozītmateriāliem, kā arī izstrādājumi, kas ražoti, tos rūpnieciski formējot</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Šķiedras, kas paredzētas betona un būvjavas, tostarp injekcijas javas, izturības palielināšanai (izkliedētai pastiprināšanai)</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Atbilstoši mērķim:</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konstrukciju</w:t>
            </w:r>
            <w:r>
              <w:rPr>
                <w:sz w:val="20"/>
                <w:vertAlign w:val="superscript"/>
              </w:rPr>
              <w:t>b</w:t>
            </w:r>
            <w:r>
              <w:rPr>
                <w:sz w:val="20"/>
              </w:rPr>
              <w:t>)</w:t>
            </w:r>
            <w:r>
              <w:rPr>
                <w:sz w:val="20"/>
                <w:vertAlign w:val="superscript"/>
              </w:rPr>
              <w:t xml:space="preserve"> </w:t>
            </w:r>
            <w:r>
              <w:rPr>
                <w:sz w:val="20"/>
              </w:rPr>
              <w:t>betoniem un javām</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citiem betoniem un javām</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Iepriekš saspriegti izstrādājumi, jo īpaši vadi, kabeļi, vītņoti stieņi, kā arī rievoti, plakani vai gludi un iepriekš saspriegti kabeļi</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Sistēmas konstrukciju iepriekšējai papildu saspriegšanai, izņemot caurules un apvalkus</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Caurules un apvalki iepriekš saspriegtu izstrādājumu aizsardzībai un apsaimniekošanai</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Metāla profili, plakani metāla izstrādājumi, lējumi un kalumi</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Karsti velmēti, auksti velmēti vai citādi izgatavoti metāla šķērsgriezumi (profili) dažādās formās (T, L, H, U, Z, I), kanāli, dobtie profili, cauruļvadi, plakanie izstrādājumi (plāksnes, loksnes, sloksnes), stieņi (izņemot pastiprinošos un iepriekš saspriegtos), lējumi un kalumi, kas nav aizsargāti vai ir aizsargāti pret koroziju ar pārklājumu, izmantošanai metāla konstrukciju būvē vai ēku būvniecībā kombinācijās ar metāla vai citiem materiāliem</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Mūra elementi un papildu izstrādājumi</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Mūra elementi ar vai bez iestrādātiem termoizolācijas materiāliem (ārējiem vai iekšējiem), izņemot veidņus, bruģa elementus, skursteņu čaulas un viena stāva augstuma paneļus</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Atbilstoši kategorijai:</w:t>
            </w:r>
            <w:r>
              <w:rPr>
                <w:sz w:val="20"/>
                <w:vertAlign w:val="superscript"/>
              </w:rPr>
              <w:t>i</w:t>
            </w:r>
            <w:r>
              <w:rPr>
                <w:sz w:val="20"/>
              </w:rPr>
              <w:t>)</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I kategorija</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II kategorija</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Mērķim, kam piemēro UDN, sadalījumā pa DK veidiem</w:t>
            </w:r>
            <w:r>
              <w:rPr>
                <w:sz w:val="20"/>
                <w:vertAlign w:val="superscript"/>
              </w:rPr>
              <w:t>j</w:t>
            </w:r>
            <w:r>
              <w:rPr>
                <w:sz w:val="20"/>
              </w:rPr>
              <w:t>):</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 xml:space="preserve">(A1, A2, B, C) </w:t>
            </w:r>
            <w:r>
              <w:rPr>
                <w:sz w:val="20"/>
              </w:rPr>
              <w:lastRenderedPageBreak/>
              <w:t>saskaņā ar 4. panta 2. punkta a) apakšpunktu</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lastRenderedPageBreak/>
              <w:t>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(A1 līdz E) saskaņā ar 4. panta 1. punktu,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Papildu konstrukcijas daļas sienām, jo īpaši stiprinājumi, enkuri, kronšteini, balsta stieņi, atbalsta leņķi, leņķveida kronšteini, pārsedzes un tērauda pastiprinājumi nesošajiem salaidumiem un savienojumiem</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Iebūvētas apšuvuma sistēmas</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Apšuvuma sistēmas, izmantojot dobtus blokus (apšuvuma veidgabalus) vai paneļus, kas savstarpēji savienoti ar atsaitēm no izolējošiem materiāliem vai kombinējot izolējošos un citus materiālus un kas pildīti ar betonu vai dzelzsbetonu un tiek izmantoti nesošo vai nenesošo iekšējo un ārējo sienu būvniecībai</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 (A1 līdz E) saskaņā ar 4. panta 1. punktu,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Apšuvuma sistēmas, izmantojot betona apšuvuma veidgabalus vai betona paneļus, kas savstarpēji savienoti ar atsaitēm</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Atbilstoši nestspējai:</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Nesoša sistēma</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Nenesoša sistēma</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Ēku un inženiertehnisko būvju nesošie elementi</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Konstrukciju</w:t>
            </w:r>
            <w:r>
              <w:rPr>
                <w:sz w:val="20"/>
                <w:vertAlign w:val="superscript"/>
              </w:rPr>
              <w:t>b)</w:t>
            </w:r>
            <w:r>
              <w:rPr>
                <w:sz w:val="20"/>
              </w:rPr>
              <w:t xml:space="preserve"> saliekamās sijas, šķērssijas, kolonnas un plātnes no betona</w:t>
            </w:r>
            <w:r>
              <w:rPr>
                <w:sz w:val="20"/>
                <w:vertAlign w:val="superscript"/>
              </w:rPr>
              <w:t>c</w:t>
            </w:r>
            <w:r>
              <w:rPr>
                <w:sz w:val="20"/>
              </w:rPr>
              <w:t>) vai mūra elementiem un metāla, aizsargātas vai neaizsargātas pret koroziju ar pārklājumu, metinātas vai nemetinātas</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Konstrukciju</w:t>
            </w:r>
            <w:r>
              <w:rPr>
                <w:sz w:val="20"/>
                <w:vertAlign w:val="superscript"/>
              </w:rPr>
              <w:t>b</w:t>
            </w:r>
            <w:r>
              <w:rPr>
                <w:sz w:val="20"/>
              </w:rPr>
              <w:t>) sijas, šķērssijas, kolonnas un plātnes no līmēta saplākšņa</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Konstrukciju</w:t>
            </w:r>
            <w:r>
              <w:rPr>
                <w:sz w:val="20"/>
                <w:vertAlign w:val="superscript"/>
              </w:rPr>
              <w:t>b</w:t>
            </w:r>
            <w:r>
              <w:rPr>
                <w:sz w:val="20"/>
              </w:rPr>
              <w:t>) sijas, šķērssijas, kolonnas un plātnes no dabiskas koksnes</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Atbilstoši DK:</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 xml:space="preserve">(A1, A2, B, C) saskaņā ar 4. panta 2. punkta b) apakšpunktu, D, E, (A1 līdz E) </w:t>
            </w:r>
            <w:r>
              <w:rPr>
                <w:sz w:val="20"/>
              </w:rPr>
              <w:lastRenderedPageBreak/>
              <w:t>saskaņā ar 4. panta 1. punktu,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lastRenderedPageBreak/>
              <w:t>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Vieglās saliktās sijas un kolonnas no koka ar vismaz vienu konstrukcijas elementu no koka</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Saliekami konstrukcijas</w:t>
            </w:r>
            <w:r>
              <w:rPr>
                <w:sz w:val="20"/>
                <w:vertAlign w:val="superscript"/>
              </w:rPr>
              <w:t>b</w:t>
            </w:r>
            <w:r>
              <w:rPr>
                <w:sz w:val="20"/>
              </w:rPr>
              <w:t>) koka paneļi slēgtu vai atklātu kasešu formā, apvalkoti no iekšpuses vai ārpuses, kas var saturēt plēvi, izolāciju, savienojošus un stiprinošus elementus, sienu, grīdu, jumtu u. c. būvniecībai</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Betona</w:t>
            </w:r>
            <w:r>
              <w:rPr>
                <w:sz w:val="20"/>
                <w:vertAlign w:val="superscript"/>
              </w:rPr>
              <w:t>c</w:t>
            </w:r>
            <w:r>
              <w:rPr>
                <w:sz w:val="20"/>
              </w:rPr>
              <w:t>) paneļi ar vai bez balstiem dzelzceļa un tramvaja līnijām</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Konstrukcijas</w:t>
            </w:r>
            <w:r>
              <w:rPr>
                <w:sz w:val="20"/>
                <w:vertAlign w:val="superscript"/>
              </w:rPr>
              <w:t>b</w:t>
            </w:r>
            <w:r>
              <w:rPr>
                <w:sz w:val="20"/>
              </w:rPr>
              <w:t>) sendvičpaneļi ar metāla apvalku</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Citi raksturlielumi</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DK ražošanas laikā var mainīties saskaņā ar 4. panta 2. punkta a) apakšpunktu</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DK bez pārbaudes saskaņā ar 4. panta 1. punktu</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DK, kas atšķiras no iepriekš minētajām, saskaņā ar 4. panta 2. punkta b) apakšpunktu</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Ēku, telpu un būvkonstrukciju sistēmas</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Ēku sistēmas ar koka karkasa konstrukcijām vai baļķu konstrukcijām</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Ēku sistēmas ar metāla konstrukcijām vai betona</w:t>
            </w:r>
            <w:r>
              <w:rPr>
                <w:sz w:val="20"/>
                <w:vertAlign w:val="superscript"/>
              </w:rPr>
              <w:t>c</w:t>
            </w:r>
            <w:r>
              <w:rPr>
                <w:sz w:val="20"/>
              </w:rPr>
              <w:t>) karkasa konstrukcijām</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Saliekamas būvkonstrukcijas, izņemot saliekamas garāžas</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Aukstās uzglabāšanas sistēmas bez dzesēšanas sistēmas uzstādīšanai ēkas iekšpusē</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Saliekamās garāžas</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Koka plātnes un paneļi un salikti vieglie paneļi</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Koka plātnes, kas veidotas kā dabisks koks, laminēti finierēti zāģmateriāli (LVL), kas sasaistīti ar plaknēm, kopā salīmētas plātnes, orientētās kokskaidu plātnes (OSB) un skaidu plates, kas savienotas ar cementu vai sveķiem, kā arī šķiedru plates, kas izgatavotas ar mitro vai sauso metodi, iespējams, ar ķimikāliju piejaukumu, lai uzlabotu ugunsizturību un izturību pret biotisku iedarbību</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Atbilstoši mērķim un degamībai:</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konstrukcijas</w:t>
            </w:r>
            <w:r>
              <w:rPr>
                <w:sz w:val="20"/>
                <w:vertAlign w:val="superscript"/>
              </w:rPr>
              <w:t>b</w:t>
            </w:r>
            <w:r>
              <w:rPr>
                <w:sz w:val="20"/>
              </w:rPr>
              <w:t>) elementi</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 (A1 līdz E) saskaņā ar 4. panta 1. punktu,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Nenesošie elementi</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Pašbalstoši izolācijas paneļi (sendvičpaneļi) ar abpusējām metāla loksnēm</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 vai nepieciešama ĀUI pārbaude:</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 (A1FL, A2FL, BFL, CFL) saskaņā ar 4. panta 2. punkta a) apakšpunktu</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 (A1FL, A2FL, BFL, CFL) saskaņā ar 4. panta 2. punkta b) apakšpunktu,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 (A1FL līdz EFL) saskaņā ar 4. panta 1. punktu,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Izstrādājumi, kam nepieciešama ĀUI pārbaude</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Lai sadalītu ugunsdrošības sekcijas</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Lietošanai saskaņā ar BVN</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 xml:space="preserve">Pašbalstoši saliktie vieglie paneļi (izņemot 1802. grupas izstrādājumiem), kas sastāv no apvalka (izgatavota no dažādiem organiskiem, minerāliem vai metāliskiem materiāliem) ārpusē vai </w:t>
            </w:r>
            <w:r>
              <w:rPr>
                <w:sz w:val="20"/>
              </w:rPr>
              <w:lastRenderedPageBreak/>
              <w:t>iekšpusē, var būt savienoti ar iekšēju karkasu vai izolējošu kodolu un ir paredzēti iekšējo un ārējo sienu, griestu un jumtu būvniecībai, kā arī sienu flīzēšanai</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lastRenderedPageBreak/>
              <w:t>Pamatmērķiem</w:t>
            </w:r>
            <w:r>
              <w:rPr>
                <w:sz w:val="20"/>
                <w:vertAlign w:val="superscript"/>
              </w:rPr>
              <w:t>d</w:t>
            </w:r>
            <w:r>
              <w:rPr>
                <w:sz w:val="20"/>
              </w:rPr>
              <w:t>)</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 xml:space="preserve">Mērķim, kam piemēro UDN, sadalījumā pa DK </w:t>
            </w:r>
            <w:r>
              <w:rPr>
                <w:sz w:val="20"/>
              </w:rPr>
              <w:lastRenderedPageBreak/>
              <w:t>veidiem, vai nepieciešama ĀUI pārbaude:</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 (A1FL, A2FL, BFL, CFL) saskaņā ar 4. panta 2. punkta a) apakšpunktu</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 (A1FL, A2FL, BFL, CFL) saskaņā ar 4. panta 2. punkta b) apakšpunktu,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 (A1FL līdz EFL) saskaņā ar 4. panta 1. punktu,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Izstrādājumi, kam nepieciešama ĀUI pārbaude</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Lai sadalītu ugunsdrošības sekcijas</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Lietošanai saskaņā ar BVN</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Termoizolācijas izstrādājumi un sistēmas</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Tādas termoizolācijas sistēmas sienu ārējai izolācijai (ETICS), kuru pamatā ir mehāniski piestiprināti vai pielīmēti termoizolācijas paneļi</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Mērķim, kam piemēro UDN, sadalījumā pa DK veidiem:</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(A1, A2, B, C) saskaņā ar 4. panta 2. punkta b) apakšpunktu, D, E, (A1 līdz E) saskaņā ar 4. panta 1. punktu,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 xml:space="preserve">Termoizolācijas sistēmas sienu ārējai termoizolēšanai (ārsienu siltināšanas paneļi), kas sastāv no ārējiem flīžu elementiem, </w:t>
            </w:r>
            <w:r>
              <w:rPr>
                <w:sz w:val="20"/>
              </w:rPr>
              <w:lastRenderedPageBreak/>
              <w:t>termoizolācijas kārtas un stiprinājuma elementiem. Flīzes var piegādāt jau piestiprinātas pie izolācijas kārtas, vai arī šos elementus var piestiprināt būvlaukumā. Tie ir pievienoti tā, lai starp izolācijas kārtu un sienu nebūtu gaisa spraugas</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lastRenderedPageBreak/>
              <w:t>Pamatmērķiem</w:t>
            </w:r>
            <w:r>
              <w:rPr>
                <w:sz w:val="20"/>
                <w:vertAlign w:val="superscript"/>
              </w:rPr>
              <w:t>d</w:t>
            </w:r>
            <w:r>
              <w:rPr>
                <w:sz w:val="20"/>
              </w:rPr>
              <w:t>)</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 xml:space="preserve">Mērķim, kam piemēro </w:t>
            </w:r>
            <w:r>
              <w:rPr>
                <w:sz w:val="20"/>
              </w:rPr>
              <w:lastRenderedPageBreak/>
              <w:t>UDN, sadalījumā pa DK veidiem:</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Termoizolācijas izstrādājumi, kas veidoti kā plātnes, paklāji, lentes ruļļos vai citādā veidā un paredzēti ēkām</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Termoizolācijas izstrādājumi, ko veido vai klāj uz vietas no beramiem, ar gaisu pildītiem vai putu materiāliem un paredzēti ēkām</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Dažāda veida termoizolācijas izstrādājumi, kas paredzēti ēku un rūpniecisko iekārtu tehniskajai aprīkošanai</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Termoizolācijas izstrādājumi autoceļiem, dzelzceļa sliedēm un citām būvniecības vajadzībām (ko lieto kā vieglo iepildāmo un antifrīza izolāciju, kā arī grunts sānspiediena samazināšanai pie atbalsta sienām un tiltu abatmentiem, slodzes izkliedēšanai uz grāvjos apraktām caurulēm utt.).</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Mērķim, kam piemēro UDN, sadalījumā pa DK veidiem:</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(A1 līdz E) saskaņā ar 4. panta 1. punktu,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Vieglās apšuvuma un pašbalstošās jumta sistēmas</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Fasādes sienas</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Konstrukcijas</w:t>
            </w:r>
            <w:r>
              <w:rPr>
                <w:sz w:val="20"/>
                <w:vertAlign w:val="superscript"/>
              </w:rPr>
              <w:t>b</w:t>
            </w:r>
            <w:r>
              <w:rPr>
                <w:sz w:val="20"/>
              </w:rPr>
              <w:t>) līmētās sienas ar stiklotu fasādi vai tās pašas sistēmas jumti ar minimālu slīpumu 7°, ar mehānisku paša svara un citu spēku (piemēram, vēja un sniega) pārnesi uz noslēgtu atbalsta karkasu un pēc tam uz ēkas konstrukciju</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Atbilstoši tipam:</w:t>
            </w:r>
            <w:r>
              <w:rPr>
                <w:sz w:val="20"/>
                <w:vertAlign w:val="superscript"/>
              </w:rPr>
              <w:t>k</w:t>
            </w:r>
            <w:r>
              <w:rPr>
                <w:sz w:val="20"/>
              </w:rPr>
              <w:t>)</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I un III tips</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II un IV tips</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Pašbalstošas caurspīdīga jumta sistēmas, izņemot stiklotās sistēmas</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 vai nepieciešama ĀUI pārbaude:</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 xml:space="preserve">(A1, A2, B, C) saskaņā ar 4. panta </w:t>
            </w:r>
            <w:r>
              <w:rPr>
                <w:sz w:val="20"/>
              </w:rPr>
              <w:lastRenderedPageBreak/>
              <w:t>2. punkta a) apakšpunktu</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lastRenderedPageBreak/>
              <w:t>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Izstrādājumi, kam nepieciešama ĀUI pārbaude</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Izstrādājumi, kam nav nepieciešama ĀUI pārbaude</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Jumta kompozītsegumi, jumta logi un virsgaismas logi</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Jumta kārniņi, paneļi, karnīzes, šindeļi un veidgabali — keramikas, betona, šķiedru cementa, šīfera, akmens, plastmasas, bitumena utt.</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Plakani un reljefi paneļi no metāla loksnēm, plastmasas utt.</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Rūpnieciski ražoti jumta kompozītpaneļi un sendvičpaneļi ar izolāciju vai bez tās</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Jumta logi un gaismas atveres</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IV (4) III (3)</w:t>
            </w:r>
            <w:r>
              <w:rPr>
                <w:sz w:val="20"/>
                <w:vertAlign w:val="superscript"/>
              </w:rPr>
              <w:t>l</w:t>
            </w:r>
            <w:r>
              <w:rPr>
                <w:sz w:val="20"/>
              </w:rPr>
              <w:t>)</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Mērķim, kam piemēro UDN, sadalījumā pa DK veidiem, vai nepieciešama ĀUI pārbaude:</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(A1 līdz E) saskaņā ar 4. panta 1. punktu,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Izstrādājumi, kam nepieciešama ĀUI pārbaude</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Izstrādājumi, kam nav nepieciešama ĀUI pārbaude</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Lietošanai ugunsdrošības sekcijās</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Lietošanai, lai pastiprinātu jumta izturību</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Lietošanai saskaņā ar BVN</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Jumta plēves un lietie izstrādājumi</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 xml:space="preserve">Tvaika necaurlaidīgas un tvaika caurlaidīgas kārtas, jumta pamata </w:t>
            </w:r>
            <w:r>
              <w:rPr>
                <w:sz w:val="20"/>
              </w:rPr>
              <w:lastRenderedPageBreak/>
              <w:t>kārtas un jumta seguma folija, citi jumta plēves segumi</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lastRenderedPageBreak/>
              <w:t xml:space="preserve">Piezīme. Izstrādājumi, kas </w:t>
            </w:r>
            <w:r>
              <w:rPr>
                <w:sz w:val="20"/>
              </w:rPr>
              <w:lastRenderedPageBreak/>
              <w:t>pieder pie 0403., 0404. un 0405. grupas</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lastRenderedPageBreak/>
              <w:t>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Jumta hidroizolācijas sistēmas, ko uzklāj šķidrā stāvoklī</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 vai nepieciešama ĀUI pārbaude:</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Izstrādājumi, kam nepieciešama ĀUI pārbaude</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Izstrādājumi, kam nav nepieciešama ĀUI pārbaude</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Lietošanai saskaņā ar BVN</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Jumta hidroizolācijas sistēmas, ko uzklāj būvlaukumā, izmantojot kausētu bitumenu vai putu strūklu</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 vai nepieciešama ĀUI pārbaude:</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Izstrādājumi, kam nepieciešama ĀUI pārbaude</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Izstrādājumi, kam nav nepieciešama ĀUI pārbaude</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Lietošanai saskaņā ar BVN</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lastRenderedPageBreak/>
              <w:t>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Mehāniski piestiprinātas elastīgas un hidroizolētas seguma sistēmas, tostarp sistēmas piestiprināšanai, savienošanai un apmaļu izveidei, iespējams, ar termoizolāciju</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Hidroizolācijas un/vai siltumizolācijas līmētās jumtu sistēmas</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Apvērsto jumtu izolācijas komplekti</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Jumta piederumi un citi jumta izstrādājumi</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Jumta piekļuves sistēmas, jo īpaši jumta pieslienamās kāpnes un pakāpieni, piekļuves platformas, jumta drošības āķi un enkuru elementi, kas paredzēti jumtu uzturēšanai un remontam</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Jumta kārniņi, kores dakstiņi, ieliekumu panelējums, jumta seguma skavas, parapets un sofītu jumta paneļi</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Cietas plakanas vai reljefa bāzes plates zem jumta kompozītsegumiem</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Lietošanai saskaņā ar BVN</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Durvis, vārti un to aprīkojums</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Ugunsdrošās/dūmu durvis un vārtiņi ar aprīkojumu vai bez tā ugunsdrošības nodalījumu konstrukciju atdalīšanai</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Durvis un vārtiņi uz evakuācijas ceļiem, ar aprīkojumu vai bez tā</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Būvniecības aprīkojums (eņģes, slēdzenes, aizvēršanas ierīces utt.) ugunsdrošajām/dūmu durvīm un durvīm uz evakuācijas ceļiem</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Durvis un vārtiņi ar aprīkojumu vai bez tā, kuru deklarētais lietošanas veids ir atkarīgs no atbilstības īpašām prasībām, jo īpaši attiecībā uz skaņas un siltuma izolāciju un hermētiskumu, kā arī lietošanas drošumu</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Durvis un vārtiņi ar aprīkojumu vai bez tā iekšējai lietošanai starp vienādas vides zonām</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Logi</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Ugunsdrošie/dūmu logi ar aprīkojumu vai bez tā ugunsdrošības nodalījumu konstrukciju atdalīšanai</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Logi uz evakuācijas ceļiem, ar aprīkojumu vai bez tā</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Citi logi, ar aprīkojumu vai bez tā</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Slēģi un žalūzijas</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Slēģi un žalūzijas lietošanai ārā, ar aprīkojumu vai bez tā</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Speciālie stikla izstrādājumi, stiklam līdzīgie materiāli un stiklojuma materiāli</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 xml:space="preserve">Plakani vai izliekti stikla paneļi, profilēts stikls ar stieples ieliktni vai bez tā, stikla izolācijas paketes, stikla stiprinājumi un stikla </w:t>
            </w:r>
            <w:r>
              <w:rPr>
                <w:sz w:val="20"/>
              </w:rPr>
              <w:lastRenderedPageBreak/>
              <w:t>paneļi stikla sistēmām, stikla bloku sienas paneļi</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lastRenderedPageBreak/>
              <w:t>Pamatmērķiem</w:t>
            </w:r>
            <w:r>
              <w:rPr>
                <w:sz w:val="20"/>
                <w:vertAlign w:val="superscript"/>
              </w:rPr>
              <w:t>d</w:t>
            </w:r>
            <w:r>
              <w:rPr>
                <w:sz w:val="20"/>
              </w:rPr>
              <w:t>)</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 xml:space="preserve">Atbilstoši konkrētajām </w:t>
            </w:r>
            <w:r>
              <w:rPr>
                <w:sz w:val="20"/>
              </w:rPr>
              <w:lastRenderedPageBreak/>
              <w:t>īpašībām vai izmantošanas nolūkam:</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ugunsizturīgas</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ložu necaurlaidīgas un/vai sprādzienizturīgas</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droši (traumas risks)</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ar siltuma un/vai skaņas izolāciju</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 vai nepieciešama ĀUI pārbaude:</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Izstrādājumi, kam nepieciešama ĀUI pārbaude</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Plakanas un izliektas stiklam līdzīgu materiālu loksnes</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Atbilstoši konkrētajām īpašībām vai izmantošanas nolūkam:</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ugunsizturīgas</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ložu necaurlaidīgas un/vai sprādzienizturīgas</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droši (traumas risks)</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ar siltuma un/vai skaņas izolāciju</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 vai nepieciešama ĀUI pārbaude:</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Izstrādājumi, kam nepieciešama ĀUI pārbaude</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Stiklojuma cementi, izņemot cementus akvārijiem, konstrukcijas</w:t>
            </w:r>
            <w:r>
              <w:rPr>
                <w:sz w:val="20"/>
                <w:vertAlign w:val="superscript"/>
              </w:rPr>
              <w:t>b</w:t>
            </w:r>
            <w:r>
              <w:rPr>
                <w:sz w:val="20"/>
              </w:rPr>
              <w:t>)</w:t>
            </w:r>
            <w:r>
              <w:rPr>
                <w:sz w:val="20"/>
                <w:vertAlign w:val="superscript"/>
              </w:rPr>
              <w:t xml:space="preserve"> </w:t>
            </w:r>
            <w:r>
              <w:rPr>
                <w:sz w:val="20"/>
              </w:rPr>
              <w:t>stiklojumam, stikla izolācijas cementēšanai, horizontālā stiklojuma ar slīpumu līdz &lt; 70 un organiskā stikla cementēšanai, kas izgatavots no polikarbonāta, polimetilmetakrilāta utt.</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 xml:space="preserve">(A1, A2, B, C) saskaņā ar 4. panta 2. punkta </w:t>
            </w:r>
            <w:r>
              <w:rPr>
                <w:sz w:val="20"/>
              </w:rPr>
              <w:lastRenderedPageBreak/>
              <w:t>a) apakšpunktu</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lastRenderedPageBreak/>
              <w:t>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Cementi organiskā stikla cementēšanai, kas izgatavots no polikarbonāta, polimetilmetakrilāta utt.</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Saliekamās kāpnes un kāpņu sistēmas</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Pilnīgi nokomplektētas saliekamo kāpņu sistēmas (izņemot bēniņu un mansarda kāpnes)</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Mērķim, kam piemēro UDN, sadalījumā pa DK veidiem:</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(A1 līdz E) saskaņā ar 4. panta 1. punktu,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Rūpnieciski izgatavotas betona kāpnes</w:t>
            </w:r>
            <w:r>
              <w:rPr>
                <w:sz w:val="20"/>
                <w:vertAlign w:val="superscript"/>
              </w:rPr>
              <w:t>c</w:t>
            </w:r>
            <w:r>
              <w:rPr>
                <w:sz w:val="20"/>
              </w:rPr>
              <w:t>)</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Betona, betona mozaīkas u. c. materiālu plāksnes kāpņu pakāpieniem telpās un ārā</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Atbilstoši nestspējai:</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Nesoša sistēma</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Nenesoša sistēma</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Šķērssienu sistēmas un cementi starpsienām un iekšējām sienām</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Pašbalstošas šķērssienu sistēmas stacionāriem un noņemamiem veidgabaliem</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Lai atdalītu ugunsdrošības nodalījumus</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Drošas (traumas risks)</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Lietošanai saskaņā ar BVN</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 xml:space="preserve">(A1, A2, B, C) saskaņā ar 4. panta </w:t>
            </w:r>
            <w:r>
              <w:rPr>
                <w:sz w:val="20"/>
              </w:rPr>
              <w:lastRenderedPageBreak/>
              <w:t>2. punkta b) apakšpunktu,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lastRenderedPageBreak/>
              <w:t>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Cements starpsienām un iekšējām sienām</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Ģipša izstrādājumi sienām, starpsienām un griestiem</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Ģipša veidgabali un līmes nenesošām starpsienām, sienu flīzes un ugunsdrošība (veidgabali nav paredzēti griestiem)</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Ugunsdrošībai</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Ģipškartona un griestu elementi ar plānu virsmas apdari, šķiedru ģipša paneļi un kompozītmateriālu paneļi (lamināti), kā arī ģipša plāksnes, tostarp saistītie papildu izstrādājumi</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Konstrukcijas elementu ugunsdrošībai un ugunsdrošības nodalījumu atdalīšanai</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Koka karkasa sienu un koka spāru pastiprināšanai</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Izstrādājumi flīzēm un grīdām</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lastRenderedPageBreak/>
              <w:t xml:space="preserve">Bruģa elementi, flīzes, mozaīkas, lamināta grīdas dēļi un parkets, </w:t>
            </w:r>
            <w:r>
              <w:rPr>
                <w:sz w:val="20"/>
              </w:rPr>
              <w:lastRenderedPageBreak/>
              <w:t>seguma pinumi un lins, grīdas režģi un kāpņu kāpšļi, cietās lamināta grīdas, koksnes izstrādājumi lietošanai iekštelpās, tostarp iekšējiem koplietošanas ceļiem</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Grīdas pacēlumu un iedobumu sistēmas lietošanai iekštelpās, tostarp iekšējiem koplietošanas ceļiem</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lastRenderedPageBreak/>
              <w:t>Atbilstoši DK:</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(A1FL, A2FL, BFL, CFL) saskaņā ar 4. panta 2. punkta a) apakšpunktu</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(A1FL, A2FL, BFL, CFL) saskaņā ar 4. panta 2. punkta b) apakšpunktu,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(A1FL līdz EFL) saskaņā ar 4. panta 1. punktu,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Lietošanai saskaņā ar BVN</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Segumi zem grīdām, līmeņošanas vielas, lietās grīdas un beramie materiāli grīdām, grīdu pārsegumiem, tostarp iekšējiem koplietošanas ceļiem</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Iekšējai lietošanai saskaņā ar DK:</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(A1FL, A2FL, BFL, CFL) saskaņā ar 4. panta 2. punkta a) apakšpunktu</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Homogēni un heterogēni elastīgie materiāli grīdām, ko piegādā kā flīzes, loksnēs vai ruļļos, kā tekstilmateriālus, plastiku, gumiju, linoleju, korķi, antistatiskās loksnes, elastīgās laminētās grīdas un elastīgās flīzes</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(A1FL, A2FL, BFL, CFL) saskaņā ar 4. panta 2. punkta b) apakšpunktu, DFL, EFL, (A1FL līdz EFL) saskaņā ar 4. panta 1. punktu,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Lietošanai ārā</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Pārklāšanas līdzekļi grīdu virsmas apstrādei</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Izstrādājumi sienu un griestu apšūšanai, tostarp piekarināmās lejupvērstās būvdetaļas un piederumi</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Apšuvums ruļļos, flīzes, šindeļi, dēļi (izņemot betonam</w:t>
            </w:r>
            <w:r>
              <w:rPr>
                <w:sz w:val="20"/>
                <w:vertAlign w:val="superscript"/>
              </w:rPr>
              <w:t>c</w:t>
            </w:r>
            <w:r>
              <w:rPr>
                <w:sz w:val="20"/>
              </w:rPr>
              <w:t>)), paneļi un formas sienu un griestu apšuvumam iekštelpās un ārā</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Piekarināmo lejupvērsto būvdetaļu sistēmas griestiem iekštelpās un ārā</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Ugunsdrošībai</w:t>
            </w:r>
            <w:r>
              <w:rPr>
                <w:sz w:val="20"/>
                <w:vertAlign w:val="superscript"/>
              </w:rPr>
              <w:t>m</w:t>
            </w:r>
            <w:r>
              <w:rPr>
                <w:sz w:val="20"/>
              </w:rPr>
              <w:t>)</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Armēšanai</w:t>
            </w:r>
            <w:r>
              <w:rPr>
                <w:sz w:val="20"/>
                <w:vertAlign w:val="superscript"/>
              </w:rPr>
              <w:t>n</w:t>
            </w:r>
            <w:r>
              <w:rPr>
                <w:sz w:val="20"/>
              </w:rPr>
              <w:t>)</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Drošas (traumas risks)</w:t>
            </w:r>
            <w:r>
              <w:rPr>
                <w:sz w:val="20"/>
                <w:vertAlign w:val="superscript"/>
              </w:rPr>
              <w:t>o</w:t>
            </w:r>
            <w:r>
              <w:rPr>
                <w:sz w:val="20"/>
              </w:rPr>
              <w:t>)</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Lietošanai saskaņā ar BVN</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Profili, kas paredzēti sienu un griestu apšuvuma piestiprināšanai, un piekarināmie rāmji piekarināmo lejupvērsto būvdetaļu piestiprināšanai</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Javas un līmes apšuvuma elementiem iekštelpās un ārā</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Ārsienu apšuvuma sistēmas aizsardzībai pret laika apstākļu iedarbību un potenciālai ārsienu termoizolācijas uzlabošanai, izņemot tos minēto sistēmu elementus, ko piegādā atsevišķi, un izņemot sistēmas, kas pieder pie 1901., 1902. un 2002. grupas</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 xml:space="preserve">Saliekamie metāla karkasi smagu lejupvērstu būvdetaļu </w:t>
            </w:r>
            <w:r>
              <w:rPr>
                <w:sz w:val="20"/>
              </w:rPr>
              <w:lastRenderedPageBreak/>
              <w:t>piekāršanai, ar pretkorozijas pārklājumu vai bez tā, metināti vai nemetināti</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lastRenderedPageBreak/>
              <w:t>Atbilstoši DK:</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 (A1 līdz E) saskaņā ar 4. panta 1. punktu,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Savienotājelementi, metināšanas materiāli un līmes</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Savienotājelementi ēku metāla konstrukcijas</w:t>
            </w:r>
            <w:r>
              <w:rPr>
                <w:sz w:val="20"/>
                <w:vertAlign w:val="superscript"/>
              </w:rPr>
              <w:t>b</w:t>
            </w:r>
            <w:r>
              <w:rPr>
                <w:sz w:val="20"/>
              </w:rPr>
              <w:t>) daļām, jo īpaši kniedes, bultskrūves, tapas un skrūves ar uzgriežņiem un paplāksnēm</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Savienojuma materiāli koka konstrukcijas</w:t>
            </w:r>
            <w:r>
              <w:rPr>
                <w:sz w:val="20"/>
                <w:vertAlign w:val="superscript"/>
              </w:rPr>
              <w:t>b</w:t>
            </w:r>
            <w:r>
              <w:rPr>
                <w:sz w:val="20"/>
              </w:rPr>
              <w:t>) izstrādājumiem, jo īpaši saspraudes kokam, šķeltie gredzenveida stiprinājumi, savienotāji, cilindriskie tērauda un koka savienotāji, kokskrūves, bultskrūves un naglas</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Šķērsuzliktņi un kopņu plāksnes ar saspiestām galviņām koka konstrukcijas</w:t>
            </w:r>
            <w:r>
              <w:rPr>
                <w:sz w:val="20"/>
                <w:vertAlign w:val="superscript"/>
              </w:rPr>
              <w:t>b</w:t>
            </w:r>
            <w:r>
              <w:rPr>
                <w:sz w:val="20"/>
              </w:rPr>
              <w:t>) izstrādājumiem</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Trīsdimensiju savienojuma plāksnes ar tapām koka konstrukcijas</w:t>
            </w:r>
            <w:r>
              <w:rPr>
                <w:sz w:val="20"/>
                <w:vertAlign w:val="superscript"/>
              </w:rPr>
              <w:t>b</w:t>
            </w:r>
            <w:r>
              <w:rPr>
                <w:sz w:val="20"/>
              </w:rPr>
              <w:t>) izstrādājumiem</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Metāla enkuri betonam (vieglām sistēmām paredzētie tipi) vieglo piekarināmo griestu, iekārt utt. piestiprināšanai vai atbalstīšanai</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Metāla enkuri lietošanai betonā (lielas slodzes tipi), kas paredzēti betona konstrukcijas</w:t>
            </w:r>
            <w:r>
              <w:rPr>
                <w:sz w:val="20"/>
                <w:vertAlign w:val="superscript"/>
              </w:rPr>
              <w:t>b</w:t>
            </w:r>
            <w:r>
              <w:rPr>
                <w:sz w:val="20"/>
              </w:rPr>
              <w:t>) elementu vai smagu detaļu, piemēram, apšuvuma un piekarināmo griestu, piestiprināšanai vai atbalstīšanai</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Metāla injekcijas (pildītie) enkuri, kas paredzēti mūrim, lai piestiprinātu vai atbalstītu konstrukcijas</w:t>
            </w:r>
            <w:r>
              <w:rPr>
                <w:sz w:val="20"/>
                <w:vertAlign w:val="superscript"/>
              </w:rPr>
              <w:t>b</w:t>
            </w:r>
            <w:r>
              <w:rPr>
                <w:sz w:val="20"/>
              </w:rPr>
              <w:t>) elementus, kas uzlabo ēkas vai smago elementu, piemēram, apšuvumu un iekārtu, stabilitāti</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Plastmasas enkuri betonam un mūrim lietošanai sistēmās, piemēram, fasādes sistēmās, tostarp termoizolācijas sistēmās, lai piestiprinātu vai atbalstītu elementus, kas uzlabo minēto sistēmu stabilitāti</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Materiāli ēku metāla konstrukcijas</w:t>
            </w:r>
            <w:r>
              <w:rPr>
                <w:sz w:val="20"/>
                <w:vertAlign w:val="superscript"/>
              </w:rPr>
              <w:t>b</w:t>
            </w:r>
            <w:r>
              <w:rPr>
                <w:sz w:val="20"/>
              </w:rPr>
              <w:t>) daļu metināšanai</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Metāla tapskrūves, skrūves, kas nav tapskrūves, un kniedes ar paplāksnēm, lai piestiprinātu vieglās fasādes sistēmas un slīpos jumta segumus</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Stiprinājumi, kas izgatavoti no plastmasas detaļām vai plākšņu starplikām, un tapskrūves un vītņu skrūves jumta sistēmas kārtu hidroizolācijai un termoizolācijai</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Deformācijas tapas, kas nodrošina kustības iespēju starp savienotajiem dēļiem vai starp dēļiem un sienām</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Līmes lietošanai ēku un inženiertehnisko būvju konstrukcijas</w:t>
            </w:r>
            <w:r>
              <w:rPr>
                <w:sz w:val="20"/>
                <w:vertAlign w:val="superscript"/>
              </w:rPr>
              <w:t>b</w:t>
            </w:r>
            <w:r>
              <w:rPr>
                <w:sz w:val="20"/>
              </w:rPr>
              <w:t>) daļās</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Stiprinājumi, ko izmanto būvlaukumos, lai nepieļautu cilvēku kritienus no augstuma vai apturētu to kritienus no augstuma</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bCs/>
                <w:sz w:val="20"/>
              </w:rPr>
              <w:t>Caurules, tvertnes un piederumi dzeramajam ūdenim</w:t>
            </w:r>
            <w:r>
              <w:rPr>
                <w:b/>
                <w:bCs/>
                <w:sz w:val="20"/>
                <w:vertAlign w:val="superscript"/>
              </w:rPr>
              <w:t>11</w:t>
            </w:r>
            <w:r>
              <w:rPr>
                <w:b/>
                <w:bCs/>
                <w:sz w:val="20"/>
              </w:rPr>
              <w:t>)</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Cauruļvadu un uzglabāšanas sistēmas, kas veidotas no 3402.–3409. grupas izstrādājumiem</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Caurules dzeramā ūdens sadalei zem spiediena un bez spiediena ēku iekšpusē vai ārpusē, kas uzstādītas uz grunts vai pazemē</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Savienojošās šļūtenes</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Tvertnes zem spiediena un bez spiediena, tostarp karstā ūdens tvertnes, kas uzstādītas uz grunts vai pazemē</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Aizsargierīces un drošības ierīces, piemēram, noplūdes detektori, aizsardzība pret tvertnes pārplūšanu utt.</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Veidgabali, savienojumi, lodmetāli, līmes un hermētiķi cietu, elastīgu un lokāmu cauruļu hermētiskai savienošanai</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Armatūra</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Sūkņi un ūdens skaitītāji</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Plēves, sveķi, pārklājumi, pildvielas un smērvielas</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Caurules, tvertnes un piederumi centralizētai ūdensapgādei un ūdens padevei</w:t>
            </w:r>
            <w:r>
              <w:rPr>
                <w:b/>
                <w:sz w:val="20"/>
                <w:vertAlign w:val="superscript"/>
              </w:rPr>
              <w:t>11</w:t>
            </w:r>
            <w:r>
              <w:rPr>
                <w:b/>
                <w:sz w:val="20"/>
              </w:rPr>
              <w:t>), gāzei un šķidrajiem kurināmajiem</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Izstrādājumi centralizētās ūdensapgādes ūdens pārvietošanai, sadalei un uzglabāšanai, piemēram, caurules, savienojošās šļūtenes, tvertnes, noplūdes detektori, aizsardzība pret tvertnes pārplūšanu, veidgabali, savienojumi, lodmetāli, līmes, hermētiķi, cauruļu turētāji (bez enkuriem), sūkņi, armatūra un drošības ierīces, kā arī cauruļvadu un tvertņu sistēmas, kas veidotas no minētajiem izstrādājumiem</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Apkures sistēmām</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r>
              <w:rPr>
                <w:sz w:val="20"/>
                <w:vertAlign w:val="superscript"/>
              </w:rPr>
              <w:t>p</w:t>
            </w:r>
            <w:r>
              <w:rPr>
                <w:sz w:val="20"/>
              </w:rPr>
              <w:t>):</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 xml:space="preserve">(A1, A2, B, C) saskaņā ar 4. panta 2. punkta </w:t>
            </w:r>
            <w:r>
              <w:rPr>
                <w:sz w:val="20"/>
              </w:rPr>
              <w:lastRenderedPageBreak/>
              <w:t>a) apakšpunktu</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lastRenderedPageBreak/>
              <w:t>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Izstrādājumi gāzes vai šķidrā kurināmā pārvietošanai no ārējas tvertnes, sadalei un uzglabāšanai, pēdējā spiediena samazināšanas stacija vai pirmais sadales vārsts (vienmēr ārpus ēkas) pēc ieplūšanas sistēmā, lai uzsildītu ūdeni vai apkurinātu vai atdzesētu ēku, piemēram, caurules, savienojošās šļūtenes, tvertnes, noplūdes detektori, aizsardzība pret tvertnes pārplūšanu, veidgabali, savienojumi, hermētiķi, lodmetāli, līmes, cauruļu turētāji (bez enkuriem), armatūra un drošības ierīces, kā arī cauruļvadu un tvertņu sistēmas, kas veidotas no minētajiem izstrādājumiem</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Mērķim, kam piemēro UDN</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Iekārtām zonās, kur nepieciešama ugunsizturība</w:t>
            </w:r>
            <w:r>
              <w:rPr>
                <w:sz w:val="20"/>
                <w:vertAlign w:val="superscript"/>
              </w:rPr>
              <w:t>q</w:t>
            </w:r>
            <w:r>
              <w:rPr>
                <w:sz w:val="20"/>
              </w:rPr>
              <w:t>)</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Izstrādājumi elektroenerģijas sadalei, pārvaldībai un sakariem</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Kabeļi elektroenerģijas sadalei, pārvaldībai un sakariem</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Mērķim, kam UDN piemēro ugunsizturībai</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Lietošanai saskaņā ar BVN</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Režģi, renes, kanāli, izlices, tīkli un priekškari kabeļu likšanai un izstrādājumi elektrības sadales kabeļu piestiprināšanai, pārvaldībai un sakariem</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Izstrādājumi elektrības sadales kabeļu savienošanai (kastes un pilnīgi pārsegi), pārvaldībai un sakariem</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Zemsprieguma elektrības sadalītāji elektroenerģijas sadalei, pārvaldībai un sakariem</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Mērķim, kam UDN piemēro ugunsizturībai</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Kabeļu piederumi (kabeļu uzstādīšanas caurules, loksnes, kanāli, kārbas u. c.)</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Mērķim, kam piemēro UDN attiecībā uz liesmu izplatīšanos, un mērķim, kam piemēro BVN attiecībā uz halogēnu elementu saturu</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Dūmvadi</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 xml:space="preserve">Dūmvadu sistēmas metāla izstrādājumi (izņemot dūmvadu aprīkojumu), māla/keramikas vai betona dūmvadu ieliktņi, </w:t>
            </w:r>
            <w:r>
              <w:rPr>
                <w:sz w:val="20"/>
              </w:rPr>
              <w:lastRenderedPageBreak/>
              <w:t>veidgabali un elementi uz ārsienām, materiāli sienu ieliktņiem un saliekami tērauda izstrādājumi, kā arī atsevišķi uzstādītu dūmvadu ieliktņi</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Dūmvadu sistēmas ar plastmasas ieliktņiem</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II+ (2+) IV (4)</w:t>
            </w:r>
            <w:r>
              <w:rPr>
                <w:sz w:val="20"/>
                <w:vertAlign w:val="superscript"/>
              </w:rPr>
              <w:t>r</w:t>
            </w:r>
            <w:r>
              <w:rPr>
                <w:sz w:val="20"/>
              </w:rPr>
              <w:t>)</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Dūmvadu aprīkojums, izņemot plastmasas aprīkojumu</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Apkures iekārtas un ugunsdrošības elementi</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Ierīces, kurās izmanto cieto kurināmo, lai apkurinātu dzīvojamās zonas, piemēram, plītis, krāsnis un iebūvētās ierīces (kamīni utt.).</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Ierīces, kurās cieto kurināmo izmanto ēdiena gatavošanai sadzīvē</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Sildītāji, kuros dedzina šķidro vai gāzveida kurināmo</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Sildītāji bez sava enerģijas avota, jo īpaši radiatori, konvektori, karstā gaisa konvektori ar ventilatoriem, apsildes lentas un spraugas, izstarojoši griestu paneļi un citi stacionārie sildītāji, kā arī sienu un grīdu apkures sistēmas</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Ugunsizturīgi elementi, javas un flīžu elementi tādu iebūvētu cietā kurināmā ierīču izbūvei, kas paredzētas dzīvojamo telpu apkurei</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Sanitārās iekārtas un materiāli</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Izlietnes, tvertnes, komunālās notekcaurules, bidē, vannas, burbuļvannas un dušas paliktņi</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Dušas un vannas aizkari un aizsargpārklājumi</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Tualetes bloks</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Pisuāri, tualetes podi, sausās, ķīmiskās un komposta tualetes, kā arī macerācijas tualetes un tualetes pamatnes</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Skalojamās kastes</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Sekciju tipa sabiedriskās tualetes un saliekamās tualetes</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Atbilstoši DK:</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 xml:space="preserve">(A1, A2, B, C) </w:t>
            </w:r>
            <w:r>
              <w:rPr>
                <w:sz w:val="20"/>
              </w:rPr>
              <w:lastRenderedPageBreak/>
              <w:t>saskaņā ar 4. panta 2. punkta a) apakšpunktu</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lastRenderedPageBreak/>
              <w:t>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Cementi savienošanai ar sanitāro iekārtu elementiem, izņemot cementus, ko lieto rūpnieciski, dzeramā ūdens sadalei, saskarē ar pārtiku un zem ūdens, piemēram, peldbaseinos, kanalizācijas caurulēs u. c.</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Izstrādājumi aizsardzībai pret uguni un sprādzienu slāpēšanai</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Izstrādājumi aizsardzībai pret uguni vai ugunsizturības uzlabošanai, jo īpaši krāsas, pārklājumi vai apšuvumi, izņemot ģipša izstrādājumus, minerālvates izstrādājumus un saliekamos dzelzsbetona elementus</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Izstrādājumi uguns izplatīšanās novēršanai vai ierobežošanai, piemēram, cementi, hermētiķi, putas, elastomēri utt., ko uzklāj būvlaukumā vai kas ir gatavā veidā, piemēram, plāksnes, loksnes, spilveni, maisi, spoles, uzmavas utt., ugunsdrošības šķēršļu blīvslēgi, lineāru savienojumu blīvējumi, ugunsizturīgas caurules un ugunsdrošības šķēršļi</w:t>
            </w:r>
            <w:r>
              <w:rPr>
                <w:sz w:val="20"/>
                <w:vertAlign w:val="superscript"/>
              </w:rPr>
              <w:t>12</w:t>
            </w:r>
            <w:r>
              <w:rPr>
                <w:sz w:val="20"/>
              </w:rPr>
              <w:t>), piemēram, uguns slāpētāji, blīvējumi un ugunsdrošības šķēršļi</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Ventilācijas iekārtas siltuma un sadegšanas produktu dabiskai vai piespiedu izvadīšanai</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Ventilācijas sistēmas un diferenciālā spiediena sistēmas, lai izvadītu sadegšanas produktus un siltumu, vai to sastāvdaļas, piemēram, dūmu aizkari, slāpētāji, ventilācijas caurules, detektori, kontrolpultis un avārijas slēdži, tostarp barošanas avoti</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Sprādzienu slāpēšanas sistēmas un to sastāvdaļas</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lastRenderedPageBreak/>
              <w:t>Stacionārās ugunsdzēšanas iekārtas</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Hidranti un ugunsdzēšanas iekārtas</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Izsmidzināšanas iekārtu un citu līdzīgu ugunsdzēšanas iekārtu sastāvdaļas</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Gāzes ugunsdzēšanas iekārtu sastāvdaļas</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Pulverveida ugunsdzēšanas iekārtu sastāvdaļas</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Putu ugunsdzēšanas iekārtu sastāvdaļas</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Aerosola ugunsdzēšanas iekārtu sastāvdaļas</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t>Ugunsgrēka signalizācijas sastāvdaļas un iekārtas</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Elektriskā ugunsgrēka signalizācija — skaņas signalizācijas iekārta</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Elektriskā ugunsgrēka signalizācija — energoapgādes iekārtas</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Elektriskā ugunsgrēka signalizācija — karstuma detektori</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Elektriskā ugunsgrēka signalizācija — dūmu detektori, kas izmanto izkliedētu gaismu, atstarotu gaismu vai jonizāciju</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Elektriskā ugunsgrēka signalizācija — tiešsaistes dūmu detektori, kas izmanto optisko staru</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Ugunsgrēka signalizācijas sastāvdaļas, kas nepieder pie 4201.–4205. grupas, — dūmu, karstuma un liesmu detektori, ugunsgrēka signalizācijas vadības pultis, aprīkojums brīdinājuma signālu pārraidei, tostarp aizsardzība pret īssavienojuma ceļiem, brīdinājuma signāli, ievades/izvades</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iekārtas, spiedpogu signāli un saistītais energoapgādes aprīkojums</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Kombinētās ugunsgrēka signalizācijas un brīdinājuma signālu iekārtas un sistēmas, kas ziņo par ugunsgrēku</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Pārklāšanas un penetrācijas vielas un sistēmas</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Pārklāšanas un penetrācijas vielas ēku konstrukcijas daļu aizsardzībai pret koroziju un plaisāšanu, izņemot betona konstrukciju aizsardzību un ugunsdrošību</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Pārklāšanas sistēmas metāla cauruļvadu sistēmu un tvertņu aizsardzībai pret koroziju</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Pārklāšanas sistēmas termoizolācijas aizsardzībai pret plaisāšanu un pārklāšanas sistēmas pret mitrumu</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Skaņas izolācijas un pretvibrācijas izstrādājumi</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Peldošo grīdu sistēmas vibrācijas un trokšņa absorbcijai</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Sienu sistēmas vibrācijas un trokšņa absorbcijai</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 xml:space="preserve">(A1, A2, B, C) </w:t>
            </w:r>
            <w:r>
              <w:rPr>
                <w:sz w:val="20"/>
              </w:rPr>
              <w:lastRenderedPageBreak/>
              <w:t>saskaņā ar 4. panta 2. punkta b) apakšpunktu,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lastRenderedPageBreak/>
              <w:t>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Pretvibrācijas elementi stiprinājuma iekārtām</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bCs/>
                <w:sz w:val="20"/>
              </w:rPr>
              <w:t>Izstrādājumi betona</w:t>
            </w:r>
            <w:r>
              <w:rPr>
                <w:b/>
                <w:bCs/>
                <w:sz w:val="20"/>
                <w:vertAlign w:val="superscript"/>
              </w:rPr>
              <w:t>c</w:t>
            </w:r>
            <w:r>
              <w:rPr>
                <w:b/>
                <w:bCs/>
                <w:sz w:val="20"/>
              </w:rPr>
              <w:t>) konstrukciju remontam un aizsardzībai</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Izstrādājumi betona</w:t>
            </w:r>
            <w:r>
              <w:rPr>
                <w:sz w:val="20"/>
                <w:vertAlign w:val="superscript"/>
              </w:rPr>
              <w:t>c</w:t>
            </w:r>
            <w:r>
              <w:rPr>
                <w:sz w:val="20"/>
              </w:rPr>
              <w:t>) konstrukciju remontam, piemēram, iedobumu aizpildīšanai, blīvējuma plaisām utt.</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Izstrādājumi betona</w:t>
            </w:r>
            <w:r>
              <w:rPr>
                <w:sz w:val="20"/>
                <w:vertAlign w:val="superscript"/>
              </w:rPr>
              <w:t>c</w:t>
            </w:r>
            <w:r>
              <w:rPr>
                <w:sz w:val="20"/>
              </w:rPr>
              <w:t>)</w:t>
            </w:r>
            <w:r>
              <w:rPr>
                <w:sz w:val="20"/>
                <w:vertAlign w:val="superscript"/>
              </w:rPr>
              <w:t xml:space="preserve"> </w:t>
            </w:r>
            <w:r>
              <w:rPr>
                <w:sz w:val="20"/>
              </w:rPr>
              <w:t>konstrukciju papildu nostiprināšanai, piemēram, metāla vai kompozītmateriālu stieņi, kas pielīmēti apstrādātai siju virsmai utt.</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Izstrādājumi betona</w:t>
            </w:r>
            <w:r>
              <w:rPr>
                <w:sz w:val="20"/>
                <w:vertAlign w:val="superscript"/>
              </w:rPr>
              <w:t xml:space="preserve">c) </w:t>
            </w:r>
            <w:r>
              <w:rPr>
                <w:sz w:val="20"/>
              </w:rPr>
              <w:t>konstrukciju aizsardzībai, piemēram, betona virsmu impregnēšanai, stiprinājumu pretkorozijas aizsardzībai utt.</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Atbilstoši mērķim:</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konstrukcijas</w:t>
            </w:r>
            <w:r>
              <w:rPr>
                <w:sz w:val="20"/>
                <w:vertAlign w:val="superscript"/>
              </w:rPr>
              <w:t>b</w:t>
            </w:r>
            <w:r>
              <w:rPr>
                <w:sz w:val="20"/>
              </w:rPr>
              <w:t>) daļām</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citām daļām</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Atbilstoši DK:</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Īpašie izstrādājumi</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Rūpnieciski ražotas betona</w:t>
            </w:r>
            <w:r>
              <w:rPr>
                <w:sz w:val="20"/>
                <w:vertAlign w:val="superscript"/>
              </w:rPr>
              <w:t>c</w:t>
            </w:r>
            <w:r>
              <w:rPr>
                <w:sz w:val="20"/>
              </w:rPr>
              <w:t>) šahtas šķidrajiem materiāliem un tvertnes cietajiem atkritumiem, ko uzstāda uz grunts vai pazemē</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Rūpnieciski ražoti betona</w:t>
            </w:r>
            <w:r>
              <w:rPr>
                <w:sz w:val="20"/>
                <w:vertAlign w:val="superscript"/>
              </w:rPr>
              <w:t>c</w:t>
            </w:r>
            <w:r>
              <w:rPr>
                <w:sz w:val="20"/>
              </w:rPr>
              <w:t>) izstrādājumi ēku nenospriegotajām un nenesošajām daļām, izņemot caurules, tvertnes un nožogojuma elementus, piemēram, telekomunikāciju kastes, nelieli ievadi mezgliem, nenesoši sienu elementi, sienu paneļi utt.</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Rūpnieciski ražoti betona</w:t>
            </w:r>
            <w:r>
              <w:rPr>
                <w:sz w:val="20"/>
                <w:vertAlign w:val="superscript"/>
              </w:rPr>
              <w:t>c</w:t>
            </w:r>
            <w:r>
              <w:rPr>
                <w:sz w:val="20"/>
              </w:rPr>
              <w:t>) elementi nožogojumam</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Rūpnieciski ražoti mājokļu santehnikas mezgli ar ugunsdrošības šķēršļiem</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Sistēmas aizsardzībai pret krītošiem akmeņiem inženiertehniskajās būvēs</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Ugunsdzēsības pacēlāji</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Mitru mūru glābšanas sistēmas</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Sistēmas balkonu un lodžiju iestiklošanai</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Izstrādājumi spēļu laukumu virsmām</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Iekšējai lietošanai saskaņā ar DK:</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(A1FL, A2FL, BFL, CFL) saskaņā ar 4. panta 2. punkta a) apakšpunktu</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saskaņā ar 4. panta 2. punkta b) apakšpunktu, </w:t>
            </w:r>
            <w:r>
              <w:rPr>
                <w:sz w:val="20"/>
              </w:rPr>
              <w:lastRenderedPageBreak/>
              <w:t>DFL, EFL, (A1FL līdz EFL) saskaņā ar 4. panta 1. punktu,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lastRenderedPageBreak/>
              <w:t>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Lietošanai ārā</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Hidroizolācijas pārklājumu vai flīzējumu sistēmas mitru telpu grīdām un sienām, piemēram, vannas istabās, dušas telpās un veļas mazgātavās</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Cements un tā izstrādājumi ēku ārsienu paplašināšanai</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a) apakšpunktu</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(A1, A2, B, C) saskaņā ar 4. panta 2. punkta b) apakšpunktu,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(A1 līdz E) saskaņā ar 4. panta 1. punktu,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Aizsargmargas ēkām</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Hidroizolācijas un termoizolācijas sistēmas, kas paredzētas balkonu, lodžiju un terašu (balkonu sistēmas) būvniecībai un pārbūvei</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DK ražošanas laikā var mainīties saskaņā ar 4. panta 2. punkta a) apakšpunktu</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DK bez pārbaudes saskaņā ar 4. panta 1. punktu</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DK, kas atšķiras no iepriekš minētajām, saskaņā ar 4. panta 2. punkta b) apakšpunktu</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Ventilācijas kanāli un caurules ēku ventilācijas un siltuma rekuperācijas iekārtām</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Pamatmērķiem</w:t>
            </w:r>
            <w:r>
              <w:rPr>
                <w:sz w:val="20"/>
                <w:vertAlign w:val="superscript"/>
              </w:rPr>
              <w:t>d</w:t>
            </w:r>
            <w:r>
              <w:rPr>
                <w:sz w:val="20"/>
              </w:rPr>
              <w:t>)</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Mērķim, kam piemēro UDN, sadalījumā pa DK veidiem:</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DK ražošanas laikā var mainīties saskaņā ar 4. panta 2. punkta a) apakšpunktu</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 xml:space="preserve">DK bez pārbaudes </w:t>
            </w:r>
            <w:r>
              <w:rPr>
                <w:sz w:val="20"/>
              </w:rPr>
              <w:lastRenderedPageBreak/>
              <w:t>saskaņā ar 4. panta 1. punktu</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lastRenderedPageBreak/>
              <w:t>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DK, kas atšķiras no iepriekš minētajām, saskaņā ar 4. panta 2. punkta b) apakšpunktu</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Izmantotie saīsinājumi:</w:t>
      </w:r>
    </w:p>
    <w:p w14:paraId="33AEF175" w14:textId="0B56540E" w:rsidR="00814F6F" w:rsidRPr="000269C4" w:rsidRDefault="00F72AF9" w:rsidP="00A358E1">
      <w:pPr>
        <w:pStyle w:val="BodyText"/>
        <w:spacing w:line="276" w:lineRule="auto"/>
        <w:ind w:left="450" w:right="30"/>
        <w:rPr>
          <w:sz w:val="20"/>
          <w:szCs w:val="20"/>
        </w:rPr>
      </w:pPr>
      <w:r>
        <w:rPr>
          <w:sz w:val="20"/>
        </w:rPr>
        <w:t>ETICS — ārējās siltumizolācijas kompozītās sistēmas;</w:t>
      </w:r>
    </w:p>
    <w:p w14:paraId="5971D39E" w14:textId="77777777" w:rsidR="009A7616" w:rsidRPr="000269C4" w:rsidRDefault="00F72AF9" w:rsidP="00A358E1">
      <w:pPr>
        <w:pStyle w:val="BodyText"/>
        <w:spacing w:line="276" w:lineRule="auto"/>
        <w:ind w:left="450" w:right="30"/>
        <w:rPr>
          <w:sz w:val="20"/>
          <w:szCs w:val="20"/>
        </w:rPr>
      </w:pPr>
      <w:r>
        <w:rPr>
          <w:sz w:val="20"/>
        </w:rPr>
        <w:t>BVN — bīstamu vielu noteikumi;</w:t>
      </w:r>
    </w:p>
    <w:p w14:paraId="7ED0447D" w14:textId="09E34ACC" w:rsidR="00814F6F" w:rsidRPr="000269C4" w:rsidRDefault="00F72AF9" w:rsidP="00A358E1">
      <w:pPr>
        <w:pStyle w:val="BodyText"/>
        <w:spacing w:line="276" w:lineRule="auto"/>
        <w:ind w:left="450" w:right="30"/>
        <w:rPr>
          <w:sz w:val="20"/>
          <w:szCs w:val="20"/>
        </w:rPr>
      </w:pPr>
      <w:r>
        <w:rPr>
          <w:sz w:val="20"/>
        </w:rPr>
        <w:t>UDN — ugunsdrošības noteikumi;</w:t>
      </w:r>
    </w:p>
    <w:p w14:paraId="16E0656D" w14:textId="77777777" w:rsidR="009A7616" w:rsidRPr="000269C4" w:rsidRDefault="00F72AF9" w:rsidP="00A358E1">
      <w:pPr>
        <w:pStyle w:val="BodyText"/>
        <w:spacing w:line="276" w:lineRule="auto"/>
        <w:ind w:left="450" w:right="30"/>
        <w:rPr>
          <w:sz w:val="20"/>
          <w:szCs w:val="20"/>
        </w:rPr>
      </w:pPr>
      <w:r>
        <w:rPr>
          <w:sz w:val="20"/>
        </w:rPr>
        <w:t>PTFE — politetrafluoretilēns;</w:t>
      </w:r>
    </w:p>
    <w:p w14:paraId="399FBD5F" w14:textId="77777777" w:rsidR="009A7616" w:rsidRPr="000269C4" w:rsidRDefault="00F72AF9" w:rsidP="00A358E1">
      <w:pPr>
        <w:pStyle w:val="BodyText"/>
        <w:spacing w:line="276" w:lineRule="auto"/>
        <w:ind w:left="450" w:right="30"/>
        <w:rPr>
          <w:sz w:val="20"/>
          <w:szCs w:val="20"/>
        </w:rPr>
      </w:pPr>
      <w:r>
        <w:rPr>
          <w:sz w:val="20"/>
        </w:rPr>
        <w:t>ĀUI — ārēja ugunsizturība;</w:t>
      </w:r>
    </w:p>
    <w:p w14:paraId="4030B6E2" w14:textId="6FB91FF1" w:rsidR="00814F6F" w:rsidRPr="000269C4" w:rsidRDefault="00F72AF9" w:rsidP="00A358E1">
      <w:pPr>
        <w:pStyle w:val="BodyText"/>
        <w:spacing w:line="276" w:lineRule="auto"/>
        <w:ind w:left="450" w:right="30"/>
        <w:rPr>
          <w:sz w:val="20"/>
          <w:szCs w:val="20"/>
        </w:rPr>
      </w:pPr>
      <w:r>
        <w:rPr>
          <w:sz w:val="20"/>
        </w:rPr>
        <w:t>EĪNS — ekspluatācijas īpašību novērtēšanas sistēma;</w:t>
      </w:r>
    </w:p>
    <w:p w14:paraId="27E4DFFC" w14:textId="77777777" w:rsidR="009A7616" w:rsidRPr="000269C4" w:rsidRDefault="00F72AF9" w:rsidP="00A358E1">
      <w:pPr>
        <w:pStyle w:val="BodyText"/>
        <w:spacing w:line="276" w:lineRule="auto"/>
        <w:ind w:left="450" w:right="30"/>
        <w:rPr>
          <w:sz w:val="20"/>
          <w:szCs w:val="20"/>
        </w:rPr>
      </w:pPr>
      <w:r>
        <w:rPr>
          <w:sz w:val="20"/>
        </w:rPr>
        <w:t>DK — degamības klasifikācija.</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Paskaidrojumi:</w:t>
      </w:r>
    </w:p>
    <w:p w14:paraId="405EAC7A" w14:textId="146A0E34" w:rsidR="009A7616" w:rsidRPr="000269C4" w:rsidRDefault="00F72AF9" w:rsidP="00A358E1">
      <w:pPr>
        <w:pStyle w:val="BodyText"/>
        <w:spacing w:line="276" w:lineRule="auto"/>
        <w:ind w:left="450" w:right="30"/>
        <w:jc w:val="both"/>
        <w:rPr>
          <w:sz w:val="20"/>
          <w:szCs w:val="20"/>
        </w:rPr>
      </w:pPr>
      <w:r>
        <w:rPr>
          <w:sz w:val="20"/>
          <w:vertAlign w:val="superscript"/>
        </w:rPr>
        <w:t>a</w:t>
      </w:r>
      <w:r>
        <w:rPr>
          <w:sz w:val="20"/>
        </w:rPr>
        <w:t>)</w:t>
      </w:r>
      <w:r w:rsidR="001D09A8">
        <w:rPr>
          <w:sz w:val="20"/>
        </w:rPr>
        <w:t xml:space="preserve"> </w:t>
      </w:r>
      <w:r>
        <w:rPr>
          <w:sz w:val="20"/>
        </w:rPr>
        <w:t>Ekspluatācijas īpašību novērtējuma sistēmas I+, I, II+, III un IV ir sistēmas saskaņā ar 3. panta 1. punktu, kuras piemēro gadījumos, kad uz attiecīgajiem izstrādājumiem attiecas noteiktie standarti vai SK tehniskie novērtējumi. Ja uz attiecīgajiem izstrādājumiem attiecas saskaņotie standarti vai Eiropas tehniskie novērtējumi, tad piemēro ekspluatācijas īpašību novērtējuma sistēmas saskaņā ar 3. panta 4. punktu. Attiecībā uz izstrādājumiem grupās, uz kurām attiecas Eiropas novērtējuma dokumenti saskaņā ar 2. panta 12. punktu Regulā (ES) Nr. 305/2011, iekavās norāda konkrētās ekspluatācijas īpašību novērtējuma sistēmas saskaņā ar 3. panta 4. punktu, kuras piemēro, ja izstrādājums atbilst Eiropas tehniskajam novērtējumam, kas izdots saskaņā ar Eiropas novērtējuma dokumentiem. Tomēr, ja attiecīgais izstrādājums atbilst SK tehniskajam novērtējumam, piemēro konkrētās ekspluatācijas īpašību novērtējuma sistēmas saskaņā ar 3. panta 1. punktu.</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b</w:t>
      </w:r>
      <w:r>
        <w:rPr>
          <w:sz w:val="20"/>
        </w:rPr>
        <w:t>) Termins “konstrukcijas” raksturo izstrādājuma izmantojuma mērķi ēkā, kur tas ir ēkas konstrukcijas sastāvdaļa, kas nodrošina konstrukcijas stabilitāti (nesošā sastāvdaļa), vai pašneses elements, kurš uzņemas arī ārējas slodzes (piemēram, vēja radīto slodzi).</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c</w:t>
      </w:r>
      <w:r>
        <w:rPr>
          <w:sz w:val="20"/>
        </w:rPr>
        <w:t>) Termins “betona” vai “izgatavots no betona” attiecas uz izstrādājumu, kas izgatavots no smaga, viegla vai autoklavēta gāzbetona, pastiprināta vai nepastiprināta.</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d</w:t>
      </w:r>
      <w:r>
        <w:rPr>
          <w:sz w:val="20"/>
        </w:rPr>
        <w:t>) Termins “pamatmērķis” attiecas uz būvizstrādājumiem, kuru īpašais mērķis vai lietošanas veids nav deklarēts attiecībā uz izstrādājumu grupu vai grupām ēkās vai ēku daļās, uz ko attiecas īpašie noteikumi, prasības vai īpašības, kas dokumentā minētas kā pamatmērķis. Ja, ievērojot specifiskās īpašības, piemēro vienu vai vairākas ekspluatācijas īpašību novērtēšanas sistēmas, šo sistēmu vai sistēmas izmanto kopā ar sistēmu, kas paredzēta pamatmērķim; šajā procesā ražotājs izdod tikai vienu ekspluatācijas īpašību deklarāciju.</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e</w:t>
      </w:r>
      <w:r>
        <w:rPr>
          <w:sz w:val="20"/>
        </w:rPr>
        <w:t>) Attiecas uz 0401. un 0404. grupu.</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f</w:t>
      </w:r>
      <w:r>
        <w:rPr>
          <w:sz w:val="20"/>
        </w:rPr>
        <w:t>) Attiecas uz 0404. un 0405. grupu.</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g</w:t>
      </w:r>
      <w:r>
        <w:rPr>
          <w:sz w:val="20"/>
        </w:rPr>
        <w:t>) Piedāvātais javas sastāvs un ražošanas metode ir izvēlēta, lai iegūtu nepieciešamās īpašības (kvalitātes koncepcija). Java ar noteikto sastāvu tiek ražota, izmantojot norādīto formulu (formulas koncepcija).</w:t>
      </w:r>
    </w:p>
    <w:p w14:paraId="559BA2B2" w14:textId="293E8930" w:rsidR="009A7616" w:rsidRPr="000269C4" w:rsidRDefault="00F72AF9" w:rsidP="00297E97">
      <w:pPr>
        <w:pStyle w:val="BodyText"/>
        <w:spacing w:line="276" w:lineRule="auto"/>
        <w:ind w:left="450" w:right="30"/>
        <w:jc w:val="both"/>
        <w:rPr>
          <w:sz w:val="20"/>
          <w:szCs w:val="20"/>
        </w:rPr>
      </w:pPr>
      <w:r>
        <w:rPr>
          <w:sz w:val="20"/>
          <w:vertAlign w:val="superscript"/>
        </w:rPr>
        <w:t>h</w:t>
      </w:r>
      <w:r>
        <w:rPr>
          <w:sz w:val="20"/>
        </w:rPr>
        <w:t>) I tipā izmanto inertu vai gandrīz inertu materiālu piemaisījumus. II tipā izmanto aktīvu materiālu</w:t>
      </w:r>
      <w:r w:rsidR="00297E97">
        <w:rPr>
          <w:sz w:val="20"/>
        </w:rPr>
        <w:t xml:space="preserve"> </w:t>
      </w:r>
      <w:r>
        <w:rPr>
          <w:sz w:val="20"/>
        </w:rPr>
        <w:t>piemaisījumus.</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i</w:t>
      </w:r>
      <w:r>
        <w:rPr>
          <w:sz w:val="20"/>
        </w:rPr>
        <w:t>) I kategorijas mūra elementiem ir garantēta spiedes stiprība, kurā kļūmes varbūtība nepārsniedz 5 %, turpretī II kategorijas mūra elementiem drošuma pakāpe netiek garantēta.</w:t>
      </w:r>
    </w:p>
    <w:p w14:paraId="2AF92FB3" w14:textId="2B605215" w:rsidR="009A7616" w:rsidRPr="000269C4" w:rsidRDefault="00F72AF9" w:rsidP="00A358E1">
      <w:pPr>
        <w:pStyle w:val="BodyText"/>
        <w:spacing w:line="276" w:lineRule="auto"/>
        <w:ind w:left="450" w:right="30"/>
        <w:rPr>
          <w:sz w:val="20"/>
          <w:szCs w:val="20"/>
        </w:rPr>
      </w:pPr>
      <w:r>
        <w:rPr>
          <w:sz w:val="20"/>
          <w:vertAlign w:val="superscript"/>
        </w:rPr>
        <w:t>j</w:t>
      </w:r>
      <w:r>
        <w:rPr>
          <w:sz w:val="20"/>
        </w:rPr>
        <w:t>) Attiecas tikai uz elementiem ar iestrādātiem termoizolācijas materiāliem, kam piemēro</w:t>
      </w:r>
      <w:r w:rsidR="00297E97">
        <w:rPr>
          <w:sz w:val="20"/>
        </w:rPr>
        <w:t xml:space="preserve"> </w:t>
      </w:r>
      <w:r>
        <w:rPr>
          <w:sz w:val="20"/>
        </w:rPr>
        <w:t>ekspluatācijas īpašību novērtēšanas sistēmu atbilstoši elementa kategorijai.</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k</w:t>
      </w:r>
      <w:r>
        <w:rPr>
          <w:sz w:val="20"/>
        </w:rPr>
        <w:t>) I un III tipa sistēmas, iepretim II un IV tipa sistēmām, satur elementus, kas samazina risku gadījumos, kad līmētie savienojumi saplīst.</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l</w:t>
      </w:r>
      <w:r>
        <w:rPr>
          <w:sz w:val="20"/>
        </w:rPr>
        <w:t>) Attiecas uz 2104. grupu.</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lastRenderedPageBreak/>
        <w:t>m</w:t>
      </w:r>
      <w:r>
        <w:rPr>
          <w:sz w:val="20"/>
        </w:rPr>
        <w:t>) Attiecas tikai uz paneļiem un piekarināmām lejupvērstām būvdetaļām.</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n</w:t>
      </w:r>
      <w:r>
        <w:rPr>
          <w:sz w:val="20"/>
        </w:rPr>
        <w:t>) Attiecas tikai uz paneļiem, kuri vienlaicīgi kalpo kā pastiprinājuma elementi sienām vai griestiem.</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o</w:t>
      </w:r>
      <w:r>
        <w:rPr>
          <w:sz w:val="20"/>
        </w:rPr>
        <w:t>) Attiecas tikai uz flīzēm un paneļiem, kas izgatavoti no trausliem materiāliem, flīzēm un paneļiem, kas paredzēti piekarināmām lejupvērstām būvdetaļām.</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p</w:t>
      </w:r>
      <w:r>
        <w:rPr>
          <w:sz w:val="20"/>
        </w:rPr>
        <w:t>) Attiecas tikai uz cauruļu turētājiem, armatūru un drošības aprīkojumu.</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q</w:t>
      </w:r>
      <w:r>
        <w:rPr>
          <w:sz w:val="20"/>
        </w:rPr>
        <w:t>) Attiecas tikai uz tvertnēm.</w:t>
      </w:r>
    </w:p>
    <w:p w14:paraId="303635D7" w14:textId="77777777" w:rsidR="009A7616" w:rsidRPr="000269C4" w:rsidRDefault="00F72AF9" w:rsidP="00A358E1">
      <w:pPr>
        <w:pStyle w:val="BodyText"/>
        <w:spacing w:line="276" w:lineRule="auto"/>
        <w:ind w:left="450" w:right="30"/>
        <w:rPr>
          <w:sz w:val="20"/>
          <w:szCs w:val="20"/>
        </w:rPr>
      </w:pPr>
      <w:r>
        <w:rPr>
          <w:sz w:val="20"/>
        </w:rPr>
        <w:t>r) Attiecas tikai uz pagarinātajiem dūmvadiem.”</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9. un 12. zemsvītras piezīmi izsaka šādi:</w:t>
      </w:r>
    </w:p>
    <w:p w14:paraId="0D693C1F" w14:textId="2638BF30" w:rsidR="009A7616" w:rsidRPr="000269C4" w:rsidRDefault="00F72AF9" w:rsidP="00A358E1">
      <w:pPr>
        <w:spacing w:line="276" w:lineRule="auto"/>
        <w:ind w:right="30"/>
        <w:jc w:val="both"/>
        <w:rPr>
          <w:sz w:val="20"/>
          <w:szCs w:val="20"/>
        </w:rPr>
      </w:pPr>
      <w:r>
        <w:rPr>
          <w:sz w:val="20"/>
        </w:rPr>
        <w:t>“</w:t>
      </w:r>
      <w:r>
        <w:rPr>
          <w:sz w:val="20"/>
          <w:vertAlign w:val="superscript"/>
        </w:rPr>
        <w:t>9</w:t>
      </w:r>
      <w:r>
        <w:rPr>
          <w:sz w:val="20"/>
        </w:rPr>
        <w:t>)</w:t>
      </w:r>
      <w:r w:rsidR="004C7208">
        <w:rPr>
          <w:sz w:val="20"/>
        </w:rPr>
        <w:t xml:space="preserve"> </w:t>
      </w:r>
      <w:bookmarkStart w:id="0" w:name="_GoBack"/>
      <w:bookmarkEnd w:id="0"/>
      <w:r>
        <w:rPr>
          <w:sz w:val="20"/>
        </w:rPr>
        <w:t>Saskaņā ar Slovākijas Republikas Vides ministrijas Rīkojumu Nr. 119/2016 </w:t>
      </w:r>
      <w:r>
        <w:rPr>
          <w:i/>
          <w:iCs/>
          <w:sz w:val="20"/>
        </w:rPr>
        <w:t>Z. z.</w:t>
      </w:r>
      <w:r>
        <w:rPr>
          <w:sz w:val="20"/>
        </w:rPr>
        <w:t>, ar ko nosaka hidraulisko konstrukciju profesionālās tehniskās un drošības uzraudzības veikšanas kārtību un profesionālās tehniskās un drošības pārraudzības veikšanas kārtību.</w:t>
      </w:r>
    </w:p>
    <w:p w14:paraId="19341BC0" w14:textId="77777777" w:rsidR="009A7616" w:rsidRPr="000269C4" w:rsidRDefault="00F72AF9" w:rsidP="00A358E1">
      <w:pPr>
        <w:spacing w:line="276" w:lineRule="auto"/>
        <w:ind w:right="30"/>
        <w:rPr>
          <w:sz w:val="20"/>
          <w:szCs w:val="20"/>
        </w:rPr>
      </w:pPr>
      <w:r>
        <w:rPr>
          <w:sz w:val="20"/>
          <w:vertAlign w:val="superscript"/>
        </w:rPr>
        <w:t>10</w:t>
      </w:r>
      <w:r>
        <w:rPr>
          <w:sz w:val="20"/>
        </w:rPr>
        <w:t>) STN 73 6114 Ceļu segums. Projektēšanas pamatnoteikumi (73 6114).</w:t>
      </w:r>
    </w:p>
    <w:p w14:paraId="7F1947D9" w14:textId="77777777" w:rsidR="009A7616" w:rsidRPr="000269C4" w:rsidRDefault="00F72AF9" w:rsidP="00A358E1">
      <w:pPr>
        <w:spacing w:line="276" w:lineRule="auto"/>
        <w:ind w:right="30"/>
        <w:rPr>
          <w:sz w:val="20"/>
          <w:szCs w:val="20"/>
        </w:rPr>
      </w:pPr>
      <w:r>
        <w:rPr>
          <w:sz w:val="20"/>
          <w:vertAlign w:val="superscript"/>
        </w:rPr>
        <w:t>11</w:t>
      </w:r>
      <w:r>
        <w:rPr>
          <w:sz w:val="20"/>
        </w:rPr>
        <w:t>) STN 75 0150 Ūdens apsaimniekošana. Ūdensapgādes terminoloģija (75 0150).</w:t>
      </w:r>
    </w:p>
    <w:p w14:paraId="07E64B64" w14:textId="77777777" w:rsidR="009A7616" w:rsidRPr="000269C4" w:rsidRDefault="00F72AF9" w:rsidP="00A358E1">
      <w:pPr>
        <w:spacing w:line="276" w:lineRule="auto"/>
        <w:ind w:right="30"/>
        <w:rPr>
          <w:sz w:val="20"/>
          <w:szCs w:val="20"/>
        </w:rPr>
      </w:pPr>
      <w:r>
        <w:rPr>
          <w:sz w:val="20"/>
          <w:vertAlign w:val="superscript"/>
        </w:rPr>
        <w:t>12</w:t>
      </w:r>
      <w:r>
        <w:rPr>
          <w:sz w:val="20"/>
        </w:rPr>
        <w:t>) Slovākijas Republikas Iekšlietu ministrijas Rīkojums Nr. 478/2008 </w:t>
      </w:r>
      <w:r>
        <w:rPr>
          <w:i/>
          <w:iCs/>
          <w:sz w:val="20"/>
        </w:rPr>
        <w:t>Z. z.</w:t>
      </w:r>
      <w:r>
        <w:rPr>
          <w:sz w:val="20"/>
        </w:rPr>
        <w:t xml:space="preserve"> par liesmu slāpētāju īpašībām un konkrētiem ekspluatācijas nosacījumiem, kā arī par to regulāro pārbaužu nodrošināšanu.”.</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II pants</w:t>
      </w:r>
    </w:p>
    <w:p w14:paraId="7169D118" w14:textId="77777777" w:rsidR="009A7616" w:rsidRPr="000269C4" w:rsidRDefault="00F72AF9" w:rsidP="00A358E1">
      <w:pPr>
        <w:spacing w:line="276" w:lineRule="auto"/>
        <w:ind w:right="30"/>
        <w:rPr>
          <w:sz w:val="20"/>
          <w:szCs w:val="20"/>
        </w:rPr>
      </w:pPr>
      <w:r>
        <w:rPr>
          <w:sz w:val="20"/>
        </w:rPr>
        <w:t>Šis rīkojums stājas spēkā 2020. gada 1. martā.</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Arpád Érsek m.p.</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2904D4"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t xml:space="preserve">Slovākijas Republikas likumu krājuma publicētājs, satura pārvaldnieks un operators juridiskajam un informācijas portālam Slov-Lex, kas pieejams </w:t>
      </w:r>
      <w:hyperlink r:id="rId11">
        <w:r>
          <w:rPr>
            <w:sz w:val="20"/>
            <w:szCs w:val="20"/>
          </w:rPr>
          <w:t xml:space="preserve">www.slov-lex.sk </w:t>
        </w:r>
      </w:hyperlink>
      <w:r>
        <w:t>, ir</w:t>
      </w:r>
    </w:p>
    <w:p w14:paraId="7AA4EC76" w14:textId="72983B61" w:rsidR="009A7616" w:rsidRPr="000269C4" w:rsidRDefault="00F72AF9" w:rsidP="00A358E1">
      <w:pPr>
        <w:spacing w:line="276" w:lineRule="auto"/>
        <w:ind w:right="30"/>
        <w:jc w:val="center"/>
        <w:rPr>
          <w:sz w:val="20"/>
          <w:szCs w:val="20"/>
        </w:rPr>
      </w:pPr>
      <w:r>
        <w:rPr>
          <w:sz w:val="20"/>
        </w:rPr>
        <w:t xml:space="preserve">Slovākijas Republikas Tieslietu ministrija, Župné námestie 13, 813 11 Bratislava, tālr.: +421 2 888 91 131, e-pasts: </w:t>
      </w:r>
      <w:hyperlink r:id="rId12">
        <w:r>
          <w:rPr>
            <w:sz w:val="20"/>
            <w:szCs w:val="20"/>
          </w:rPr>
          <w:t>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BF21D" w14:textId="77777777" w:rsidR="002904D4" w:rsidRDefault="002904D4">
      <w:r>
        <w:separator/>
      </w:r>
    </w:p>
  </w:endnote>
  <w:endnote w:type="continuationSeparator" w:id="0">
    <w:p w14:paraId="48C5A500" w14:textId="77777777" w:rsidR="002904D4" w:rsidRDefault="0029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0B70E" w14:textId="77777777" w:rsidR="002904D4" w:rsidRDefault="002904D4">
      <w:r>
        <w:separator/>
      </w:r>
    </w:p>
  </w:footnote>
  <w:footnote w:type="continuationSeparator" w:id="0">
    <w:p w14:paraId="7F367EDC" w14:textId="77777777" w:rsidR="002904D4" w:rsidRDefault="00290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rFonts w:ascii="Palatino Linotype" w:hAnsi="Palatino Linotype"/>
              <w:w w:val="110"/>
              <w:sz w:val="20"/>
            </w:rPr>
          </w:pP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4C7208">
            <w:rPr>
              <w:rFonts w:ascii="Palatino Linotype" w:hAnsi="Palatino Linotype"/>
              <w:noProof/>
              <w:sz w:val="20"/>
            </w:rPr>
            <w:t>32</w:t>
          </w:r>
          <w:r w:rsidRPr="003703E1">
            <w:rPr>
              <w:rFonts w:ascii="Palatino Linotype" w:hAnsi="Palatino Linotype"/>
              <w:sz w:val="20"/>
            </w:rPr>
            <w:fldChar w:fldCharType="end"/>
          </w:r>
          <w:r>
            <w:t>. lappuse</w:t>
          </w:r>
        </w:p>
      </w:tc>
      <w:tc>
        <w:tcPr>
          <w:tcW w:w="5310" w:type="dxa"/>
        </w:tcPr>
        <w:p w14:paraId="51F58882"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Slovākijas Republikas likumu krājums</w:t>
          </w:r>
        </w:p>
      </w:tc>
      <w:tc>
        <w:tcPr>
          <w:tcW w:w="2208" w:type="dxa"/>
        </w:tcPr>
        <w:p w14:paraId="5382CF92" w14:textId="77777777" w:rsidR="00FE0C19" w:rsidRPr="003E0348" w:rsidRDefault="00FE0C19" w:rsidP="003E0348">
          <w:pPr>
            <w:spacing w:before="60"/>
            <w:ind w:left="20"/>
            <w:jc w:val="right"/>
            <w:rPr>
              <w:b/>
              <w:sz w:val="20"/>
            </w:rPr>
          </w:pPr>
          <w:r>
            <w:rPr>
              <w:b/>
              <w:sz w:val="20"/>
            </w:rPr>
            <w:t>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rFonts w:ascii="Palatino Linotype"/>
              <w:sz w:val="20"/>
            </w:rPr>
          </w:pPr>
          <w:r>
            <w:rPr>
              <w:b/>
              <w:sz w:val="20"/>
            </w:rPr>
            <w:t>17/2020</w:t>
          </w:r>
        </w:p>
      </w:tc>
      <w:tc>
        <w:tcPr>
          <w:tcW w:w="4500" w:type="dxa"/>
        </w:tcPr>
        <w:p w14:paraId="5D7607C8"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Slovākijas Republikas likumu krājums</w:t>
          </w:r>
        </w:p>
      </w:tc>
      <w:tc>
        <w:tcPr>
          <w:tcW w:w="2208" w:type="dxa"/>
        </w:tcPr>
        <w:p w14:paraId="141574CD" w14:textId="77777777" w:rsidR="00FE0C19" w:rsidRPr="003703E1" w:rsidRDefault="00FE0C19" w:rsidP="003E0348">
          <w:pPr>
            <w:spacing w:before="60"/>
            <w:ind w:left="20"/>
            <w:jc w:val="right"/>
            <w:rPr>
              <w:rFonts w:ascii="Palatino Linotype" w:hAnsi="Palatino Linotype"/>
              <w:w w:val="110"/>
              <w:sz w:val="20"/>
            </w:rPr>
          </w:pP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4C7208">
            <w:rPr>
              <w:rFonts w:ascii="Palatino Linotype" w:hAnsi="Palatino Linotype"/>
              <w:noProof/>
              <w:sz w:val="20"/>
            </w:rPr>
            <w:t>33</w:t>
          </w:r>
          <w:r w:rsidRPr="003703E1">
            <w:rPr>
              <w:rFonts w:ascii="Palatino Linotype" w:hAnsi="Palatino Linotype"/>
              <w:sz w:val="20"/>
            </w:rPr>
            <w:fldChar w:fldCharType="end"/>
          </w:r>
          <w:r>
            <w:t>. lappuse</w:t>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abstractNum w:abstractNumId="1" w15:restartNumberingAfterBreak="0">
    <w:nsid w:val="64CC327E"/>
    <w:multiLevelType w:val="hybridMultilevel"/>
    <w:tmpl w:val="C6FA06D6"/>
    <w:lvl w:ilvl="0" w:tplc="4F9EB6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D09A8"/>
    <w:rsid w:val="001E27A3"/>
    <w:rsid w:val="002266FA"/>
    <w:rsid w:val="0026606D"/>
    <w:rsid w:val="00285C62"/>
    <w:rsid w:val="002904D4"/>
    <w:rsid w:val="002954D2"/>
    <w:rsid w:val="00297E97"/>
    <w:rsid w:val="002F5637"/>
    <w:rsid w:val="003173AE"/>
    <w:rsid w:val="003703E1"/>
    <w:rsid w:val="003D6362"/>
    <w:rsid w:val="003D70E5"/>
    <w:rsid w:val="003E0348"/>
    <w:rsid w:val="004363D5"/>
    <w:rsid w:val="0045715B"/>
    <w:rsid w:val="004C7208"/>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D3858"/>
    <w:rsid w:val="00B05472"/>
    <w:rsid w:val="00B76517"/>
    <w:rsid w:val="00B8465B"/>
    <w:rsid w:val="00BE0393"/>
    <w:rsid w:val="00C155AB"/>
    <w:rsid w:val="00C202C6"/>
    <w:rsid w:val="00CB0C3B"/>
    <w:rsid w:val="00E73EEB"/>
    <w:rsid w:val="00E74E1E"/>
    <w:rsid w:val="00E7634A"/>
    <w:rsid w:val="00F43CFB"/>
    <w:rsid w:val="00F72AF9"/>
    <w:rsid w:val="00F90EC5"/>
    <w:rsid w:val="00FA450C"/>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lv-LV"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lv-LV"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1C393-C4D2-47C3-A1E1-AFD1DBC7B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8580</Words>
  <Characters>48910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Ke, Tingting</cp:lastModifiedBy>
  <cp:revision>45</cp:revision>
  <dcterms:created xsi:type="dcterms:W3CDTF">2020-01-30T05:27:00Z</dcterms:created>
  <dcterms:modified xsi:type="dcterms:W3CDTF">2020-08-04T02:35:00Z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