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Ministarska odluka o utvrđivanju kriterija na temelju kojih se utvrđuje kada otpadna plastika koja koji se podvrgava mehaničkoj obradi i koja je namijenjena proizvodnji plastičnih proizvoda prestaje biti otpad u skladu sa Zakonom 7/2022 od 8. travnja o otpadu i onečišćenim tlima za kružno gospodarstvo</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Direktivom 2008/98/EZ Europskog parlamenta i Vijeća od 19. studenoga 2008. o otpadu i stavljanju izvan snage određenih direktiva (dalje u tekstu: Okvirna direktiva o otpadu) i Zakonom 7/2022 od 8. travnja o otpadu i onečišćenim tlima za kružno gospodarstvo, kojim se Direktiva prenosi u španjolsko pravo,</w:t>
      </w:r>
      <w:r>
        <w:t xml:space="preserve"> </w:t>
      </w:r>
      <w:r>
        <w:rPr>
          <w:rFonts w:ascii="Arial" w:hAnsi="Arial"/>
          <w:sz w:val="20"/>
        </w:rPr>
        <w:t>uveden je skup zahtjeva koji moraju biti ispunjeni kako bi se za određenu vrstu</w:t>
      </w:r>
      <w:r>
        <w:rPr>
          <w:rFonts w:ascii="Arial" w:hAnsi="Arial"/>
          <w:color w:val="FF0000"/>
          <w:sz w:val="20"/>
        </w:rPr>
        <w:t xml:space="preserve"> </w:t>
      </w:r>
      <w:r>
        <w:rPr>
          <w:rFonts w:ascii="Arial" w:hAnsi="Arial"/>
          <w:sz w:val="20"/>
        </w:rPr>
        <w:t xml:space="preserve">otpada nakon oporabe moglo smatrati da više ne predstavlja otpad.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Četiri zahtjeva koja moraju biti ispunjena za tu promjenu pravnog statusa jesu da se dobivena tvar ili predmet upotrebljavaju u posebne namjene; za tu tvar ili predmet moraju postojati tržište ili potražnja; dobivena tvar ili predmet ispunjavaju tehničke zahtjeve za posebne namjene i zadovoljavaju postojeće propise i norme koje važe za proizvode; i, konačno, uporaba nastale tvari ili predmeta ne može imati štetni učinak na okoliš ili zdravlje ljudi.</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Člankom 6. Okvirne direktive o otpadu, kako je izmijenjena Direktivom (EU) 2018/851 Europskog parlamenta i Vijeća od 30. svibnja 2018., predviđa se da se pravni koncept prestanka statusa otpada može primjenjivati na razini Europske unije, na razini države članice ili na pojedinačnoj osnovi.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Na prvoj razini Europska komisija može provedbenim aktima ocijeniti je li potrebno utvrditi te kriterije za određene tokove otpada na razini cijele Europske unije. U drugom slučaju, ako nisu utvrđeni na razini zajednice, takve kriterije za određene vrste</w:t>
      </w:r>
      <w:r>
        <w:rPr>
          <w:rFonts w:ascii="Arial" w:hAnsi="Arial"/>
          <w:color w:val="FF0000"/>
          <w:sz w:val="20"/>
        </w:rPr>
        <w:t xml:space="preserve"> </w:t>
      </w:r>
      <w:r>
        <w:rPr>
          <w:rFonts w:ascii="Arial" w:hAnsi="Arial"/>
          <w:sz w:val="20"/>
        </w:rPr>
        <w:t>otpada utvrđuju države članice. U oba se slučaja zahtjevi za prestanak statusa otpada utvrđeni u Direktivi primjenjuju na otpad odobren kao ulazni otpadni materijal za postupak oporabe; dozvoljene postupke i tehnike obrade; kriterije kvalitete koji moraju biti ispunjeni za materijale koji prestaju biti otpad kao rezultat postupka oporabe u skladu s primjenjivim standardima za proizvode, uključujući granične vrijednosti za onečišćujuće tvari, gdje je to potrebno; zahtjeve za sustave gospodarenja da pokažu usklađenost s kriterijima za prestanak statusa otpada, osobito za kontrolu kvalitete i unutarnji nadzor te akreditaciju, gdje je to prikladno; i, konačno, zahtjev za izjavu o sukladnosti.</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U trećem slučaju, kada je riječ o pojedinačnim slučajevima, ako ne postoje kriteriji na razini Europske unije niti na nacionalnoj razini, države članice imaju ovlast odlučiti o tokovima otpada za svaki pojedinačni slučaj. U Direktivi 2018/851 od 30. svibnja navodi se da se za svaki slučaj, prema potrebi, navode isti zahtjevi predviđeni za dvije prethodno opisane mogućnosti. Uz to, u potonjem slučaju također se uzimaju u obzir granične vrijednosti za onečišćujuće tvari i sve moguće štetne posljedice za okoliš i zdravlje ljudi.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Člankom 5. Zakona 7/2022 od 8. travnja predviđeno je da se za određeni otpad koji je podvrgnut postupku oporabe, uključujući recikliranje, ministarskom odlukom mogu utvrditi posebni zahtjevi koje mora ispuniti za prestanak statusa otpada. U tu svrhu preliminarnom studijom koju je provelo Povjerenstvo za koordinaciju otpada, koje je uspostavila Europska unija, mjerodavnom sudskom praksom, uzimaju se u obzir, prema potrebi, načela predostrožnosti i sprečavanja te svi štetni učinci nastalog materijala.</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Valja napomenuti da je isti pristup koji je novom direktivom usvojen za kretanja na razini Unije i na nacionalnoj razini onaj koji se u Španjolskoj primjenjivao u provedbi članka 5. Zakona 7/2022 od 8. travnja ministarskim odlukama o prestanku statusa otpada.</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Kad je riječ o prijedlogu kriterija za prestanak statusa otpada za određenu otpadnu plastiku, Europska komisija na razini Europske unije imenovala je Zajednički istraživački centar (dalje u tekstu: ZIC), koji je proučio predložene kriterije za prestanak statusa otpada za određenu otpadnu plastiku i uključio sve osnovne informacije potrebne za osiguravanje usklađenosti s uvjetima iz članka 6. Direktive 2008/98/EZ od 19. studenoga. Ta je studija objavljena 2014. i u njoj su prikupljene informacije dobivene od stručnjaka i dionika iz država članica.</w:t>
      </w:r>
      <w:r>
        <w:rPr>
          <w:rFonts w:ascii="Arial" w:hAnsi="Arial"/>
          <w:sz w:val="20"/>
          <w:shd w:val="clear" w:color="auto" w:fill="FFFFFF"/>
        </w:rPr>
        <w:t xml:space="preserve"> U tom je dokumentu u</w:t>
      </w:r>
      <w:r>
        <w:rPr>
          <w:rFonts w:ascii="Arial" w:hAnsi="Arial"/>
          <w:sz w:val="20"/>
        </w:rPr>
        <w:t xml:space="preserve"> Prilogu VI. sažet skup kriterija predloženih </w:t>
      </w:r>
      <w:r>
        <w:rPr>
          <w:rFonts w:ascii="Arial" w:hAnsi="Arial"/>
          <w:sz w:val="20"/>
        </w:rPr>
        <w:lastRenderedPageBreak/>
        <w:t>za prestanak statusa otpada takozvane termoplastike (ne uključujući duromere), koji su podijeljeni u nekoliko odjeljaka. Unatoč objavi ove studije, Europska komisija još nije pokrenula zakonodavnu inicijativu za utvrđivanje tih kriterija za tok otpadne plastike na europskoj razini.</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Nakon toga, u okviru prvog akcijskog plana za kružno gospodarstvo, Komisija je početkom 2018. donijela „</w:t>
      </w:r>
      <w:r>
        <w:rPr>
          <w:rFonts w:ascii="Arial" w:hAnsi="Arial"/>
          <w:i/>
          <w:sz w:val="20"/>
        </w:rPr>
        <w:t>Europsku strategiju za plastiku u kružnom gospodarstvu</w:t>
      </w:r>
      <w:r>
        <w:rPr>
          <w:rFonts w:ascii="Arial" w:hAnsi="Arial"/>
          <w:sz w:val="20"/>
        </w:rPr>
        <w:t>“, koja se osobito odnosi na aspekte dizajna, proizvodnje i uporabe plastike, kao i odvojeno prikupljanje i trenutačne mogućnosti za postizanje pravilne obrade te vrste otpada. Osim što sadrži popis konkretnih mjera, strategijom je također istaknuta potreba za smanjenjem neželjenih učinaka na društvo i okoliš koji proizlaze iz upotrebe plastike i otpadne plastike te je njome utvrđen cilj prema kojem se svake godine, od sada do 2025., želi postići uporaba 10 milijuna tona reciklirane plastike za proizvodnju novih proizvoda, čime se potiče recikliranje otpadne plastike u Europskoj uniji.</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Pojam „plastika“ obuhvaća brojne i vrlo raznolike materijale kojima je zajedničko ponavljanje struktura koje se nazivaju monomerima, u obliku dugih lanaca. Na temelju ove osnovne jedinice, temeljnu osnovu svake plastike čine polimer (lanac monomera) i sve kemikalije koje se dodaju kako bi pružile različita svojstva. Ovisno o tim svojstvima, plastika se, među ostalim, može upotrebljavati kao materijal za izolaciju, toplinski i strukturni materijal, materijal za osvjetljenje i zaštitu. Zbog svoje prepoznatljive funkcionalnosti, svestranosti i cijene, plastika ima mnoštvo primjena u različitim područjima, od svakodnevne uporabe spremnika i ambalaže u domaćinstvu, do uporabe u građevinarstvu, automobilskoj industriji, strojevima, elektronici, poljoprivredi, tkaninama, namještaju itd. Kad je riječ o obujmu, potražnja za plastikom za uporabu u ambalaži najveća je u odnosu na druge namjene.</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Uporaba plastike toliko je raširena upravo zbog toga što ima tako raznolika svojstva i što se upotrebljava u toliko različitih primjena, zbog čega je količina stvaranja otpadne plastike vrlo značajna, a njezin trend posljednjih godina raste. Osim svoje raznolikosti, plastiku karakterizira vrlo raznolik raspon u uporabnom vijeku svakog proizvoda, koji se može kretati od nekoliko minuta u određenim potrošačkim proizvodima do mnogo godina u proizvodima koji se koriste u građevinarstvu ili strojevima. Taj aspekt također uvelike utječe na tok otpada, kao i prisutnost određenih kemijskih tvari ili smjesa u nekima od njih.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Pitanje kemijskih tvari ili smjesa u otpadnoj plastici nesumnjivo je iznimno važno za zaštitu okoliša i zdravlje ljudi. Zbog toga tijekom proteklih godina javnost u sve većoj mjeri zahtijeva rješavanje problema povezanog s izravnim onečišćenjem i provedbu najprikladnijih postupaka obrade za gospodarenje tim tokovima otpada. U tom se pogledu Uredbom (EU) 2019/1021 Europskog parlamenta i Vijeća od 20. lipnja 2019. o postojanim organskim onečišćujućim tvarima zahtijeva da se otpad koji se sastoji od bilo koje tvari navedene u njezinu Prilogu IV., koji sadržava ili je onečišćen tvari navedenom u tom Prilogu, u koncentracijama većim od onih utvrđenih u tom Prilogu, mora odlagati ili oporabiti određenim postupcima obrade kojima se jamči uništavanje ili nepovratna transformacija sadržaja postojanih organskih onečišćujućih tvari ako recikliranje nije moguće. Osim toga, primjenjuju se odredbe o proizvodnji, stavljanju na tržište i uporabi tih tvari u proizvodima proizvedenima od plastike koji stječu prestanak statusa otpada.</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Smjernice za pravilno gospodarenje tokovima otpada koji sadržava postojane organske onečišćujuće tvari izrađene su na temelju Baselske konvencije i smjernica nekoliko država članica. Europska komisija objavila je 2019. ambicioznu studiju s naglaskom na preispitivanju ograničenja utvrđenih u prilozima IV. i V. Uredbi (EU) 2019/1021 Europskog parlamenta i Vijeća od 20. lipnja 2019. U toj je studiji istaknuto da se, općenito, rastavljanje i mehaničko odvajanje mogu provesti kao učinkovit prvi korak prema smanjenju količine otpada koji sadrži postojane organske onečišćujuće tvari koje se vraćaju u proizvodne cikluse. Ti su postupci u većoj mjeri uspostavljeni za otpadnu električnu i elektroničku opremu, dok za druge tokove kao što su vozila izvan uporabe i građevinski otpad te otpad od rušenja postoje praktičnije prepreke. U bi se idealnom slučaju odvajanje otpada s postojanim organskim onečišćujućim tvarima iz preostalih podskupova trebalo provesti što je prije moguće unutar lanca obrade otpada.</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lastRenderedPageBreak/>
        <w:t xml:space="preserve">Nakon što postane otpad, uspjeh recikliranja iz tog toka uvelike se razlikuje ovisno o vrsti otpada i njegovu podrijetlu. Prema podacima Komisije, u Europi se trenutačno svake godine prikupi više od 27 milijuna tona otpadne plastike. Od tog godišnjeg iznosa manje od jedne trećine namijenjeno je postrojenjima za recikliranje, dok velike količine završavaju na odlagalištima otpada, spaljuju se ili izvoze. Europska komisija utvrdila je da do 2030. svaka država članica mora postići cilj od 55 % recikliranja plastičnog ambalažnog otpada.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S jedne strane, industriju plastike ili proizvodnje plastike, poznatu kao prerađivačka industrija, treba razlikovati od ostalih sudionika uključenih u ciklus tih materijala kada postanu otpad, odnosno subjekata koji gospodare otpadnom plastikom. U kontekstu prestanka statusa otpada, nakon što se plastični proizvodi stave na tržište, neovisno o tome koliko im se vijek trajanja razlikuje, u nekom će trenutku postati otpad. Zatim se moraju obrađivati u postrojenjima subjekata za gospodarenje otpadnom plastikom koja su posebno ovlaštena za takvu obradu, u skladu sa Zakonom 7/2022 od 8. travnja. U ovom je toku uobičajeno da otpadna plastika prije obrade za konačnu oporabu prolazi kroz druge subjekte za gospodarenje, koji obično provode barem jednu klasifikaciju. Konačno, pravilno obrađeni otpad može se izravno upotrebljavati kao sirovina koju prerađivačka industrija ugrađuje u proizvodnju novih plastičnih proizvoda, neovisno o tome radi li se o gotovim ili polugotovim proizvodima, što čini model kružnog gospodarstva.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Može se dodati potrebna nijansa, a područjem primjene ove Odluke obuhvaćen je samo tok opisan u prethodnom stavku: otpadna plastika koja prolazi kroz jedno ili više postrojenja za obradu otpada prije dolaska u postrojenje za konačnu oporabu. U industrijskom području sve što nastaje kao otpad od proizvodnje plastičnih proizvoda (ostaci, nesukladni proizvodi itd.), dobiveno u samoj tvornici i što je izravno uključeno u prerađivačku industriju bilo bi obuhvaćeno pojmom nusproizvoda, a ne prestanka statusa otpada jer ne prolazi ni kroz jedan subjekt za gospodarenje otpadom. Taj aspekt, koji odgovara samo otpadu u industrijskom okruženju koji nije dosegnuo potrošače, koji se naziva postindustrijskim otpadom, nije reguliran ovom normom.</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To je tok za koji još ne postoji jedinstveni regulatorni okvir na europskoj razini. Samo je Portugal objavio svoje kriterije za prestanak statusa otpada, u skladu s onime što je utvrđeno tehničkom studijom ZIC-a. S obzirom na važnost tog toka otpada i nepostojanje propisa na razini Europske unije, smatra se ključnim da se u našoj zemlji primjenjuje ministarska odluka. To donosi izravne koristi kao poticaj za povećanje odvojenih i učinkovitih količina prikupljanja te vrste otpada; povećanje stopa recikliranja; provedbu bolje obrade otpada i bolju kontrolu kvalitete sirovina oporabljenih odgovarajućim postupcima obrade. Osim toga, prestankom statusa otpada smanjit će se administrativne formalnosti povezane s pošiljkama otpada i nisu potrebni za materijale koji se odnose na okoliš i zdravlje ljudi, za razliku od područja otpada, u kojem je kontrola pošiljaka neophodna.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Svrha je ove Odluke utvrditi kriterije za prestanak statusa otpada posebno za otpadnu termoplastiku koja se mehanički obrađuje koji će vrijediti na čitavom državnom području, kako je predviđeno člankom 5. Zakona 7/2022 od 8. travnja. Riječ je o kriterijima koji se temelje na prethodno navedenom tehničkom dokumentu koji je izradio ZIC.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Stoga je svrha ove Odluke utvrditi koje zahtjeve mora ispuniti otpadna termoplastika koja ispunjava uvjete za mehaničku obradu, zahtjeve koje moraju ispuniti subjekti za gospodarenje otpadom, kriterije kvalitete koje dobiveni materijal mora ispuniti nakon postupka oporabe u skladu s primjenjivim standardima za proizvode, kao i postupak za provjeru usklađenosti s kriterijima za prestanak statusa otpada putem sustava upravljanja.</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Također valja napomenuti da su ovom normom obuhvaćene samo mehaničke obrade, a ne druge obrade, kao što su različite kemijske obrade koje se mogu provesti na istom toku otpada.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Kako bi se osiguralo rješavanje složenog pitanja postojanih organskih onečišćujućih tvari u određenim tokovima otpadne plastike, predlaže se razlikovanje dviju razina. S jedne strane, za kanale u </w:t>
      </w:r>
      <w:r>
        <w:rPr>
          <w:rFonts w:ascii="Arial" w:hAnsi="Arial"/>
          <w:sz w:val="20"/>
        </w:rPr>
        <w:lastRenderedPageBreak/>
        <w:t xml:space="preserve">kojima postoji veća sigurnost u pogledu nepostojanja postojanih organskih onečišćujućih tvari i opasnih tvari, olakšavanje sljedivosti osiguravanjem podrijetla otpada primljenog u svrhu prestanka statusa otpada i osiguravanjem toga da se otpad obrađuje odvojeno bez miješanja s otpadom iz drugih izvora pri svim uključenim posredničkim subjektima za gospodarenje. Konačno, kada otpad konkretnog, prepoznatljivog i sljedivog podrijetla dođe do subjekta koji vrši konačnu oporabu, osiguravanje takve sljedivosti izjavom o sukladnosti izdanom u svakoj pošiljci materijala dobivenog u postrojenju tog subjekta.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S druge strane, za otpad iz sljedećih tokova, među ostalim: opasni otpad, otpad od električne i elektroničke opreme, neupotrebljiva vozila i građevinski otpad i otpad od rušenja, ako je poznata prisutnost opasnih tvari i postojanih organskih onečišćujućih tvari, također se mora nedvosmisleno osigurati podrijetlo otpada, a odvojeno gospodarenje od prethodno navedenog otpada trebalo bi održavati pri svim subjektima za gospodarenje uključenima u lanac dok ne dođu do subjekta koji vrši konačnu oporabu. Time se ne dovodi u pitanje posebna dekontaminacija tog otpada u skladu s odredbama Uredbe (EU) 2019/1021 Europskog parlamenta i Vijeća od 20. lipnja 2019. Pregled implikacija ove Uredbe na otpadnu plastiku i podskupove plastike te postupke koji će se upotrebljavati od slučaja do slučaja naveden je u Prilogu IV. kao smjernica.</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Uz svaku pošiljku materijala od reciklirane plastike koji ispunjava kriterije za prestanak statusa otpada i stoga se više ne smatra otpadom prilaže se odgovarajuća izjava o sukladnosti, u skladu sa sadržajem i naznakama iz Priloga III., ovisno o daljnjem odredištu tog materijala. Stoga je, uz osiguravanje sljedivosti, ovaj zahtjev u pogledu dokumentacije za svaku pošiljku u skladu s obvezama koje proizlaze iz Uredbe Komisije (EZ) br. 282/2008 od 27. ožujka 2008. o materijalima i predmetima od reciklirane plastike koji dolaze u dodir s hranom i o izmjeni Uredbe (EZ) 2023/2006. Budući da bi u tom području materijala koji dolaze u dodir s hranom skupljač otpada trebao prerađivaču pružiti informacije o tome da se materijal od reciklirane plastike proizvodi odobrenim postupkom i navesti njegovo područje primjene, svakom materijalu od reciklirane plastike koji je u skladu s ovom Odlukom i koji je namijenjen proizvodnji materijala ili predmeta koji dolaze u dodir s hranom trebala bi biti priložena izjava o sukladnosti, koja će također morati sadržavati određene dodatne informacije utvrđene u članku 12. stavku 2. Uredbe Komisije (EZ) br. 282/2008 od 27. ožujka, uključujući kako je navedeno u dijelu B Priloga I. toj uredbi, što je također navedeno u dijelu 1. Priloga III. ovoj Odluci.</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Konačno, otpadna plastika obrađena u skladu s odredbama ove Odluke nakon konačne oporabe mora se izravno upotrebljavati u prerađivačkoj industriji. Temeljno pitanje prestanka statusa otpada nastalog materijala ne leži u fizičkom obliku dobivenog materijala, nego u njegovoj sposobnosti da se može izravno upotrebljavati i da može zamijeniti neobrađenu plastičnu sirovinu u prerađivačkoj industriji različitih plastičnih proizvoda.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Budući da je upotreba u svojstvu materijala koji dolazi u dodir s hranom već ograničena i uređena europskim zakonodavstvom, na obrađenu otpadnu plastiku namijenjenu za tu posebnu svrhu primjenjivat će se posebne odredbe Uredbe Komisije (EZ) br. 282/2008 od 27. ožujka, uz sve ostale odredbe utvrđene drugim europskim normama u tom pogledu. Zbog toga se u području primjene ove ministarske odluke moraju razlikovati dva sljedeća odredišta, iako su te dvije vrste materijala također kandidati za odgovarajući prestanak statusa otpada. S jedne strane, materijali koji dolaze u dodir s hranom, koji moraju biti u skladu sa zahtjevima propisanima važećim europskim propisima, kao i, na nacionalnoj razini, Kraljevskim ukazom 846/2011 od 17. lipnja kojim se utvrđuju uvjeti koje sirovine koje se temelje na recikliranim polimernim materijalima moraju ispunjavati za uporabu u materijalima i predmetima koji dolaze u dodir s hranom. S druge strane, za sve ostale materijale od mehanički obrađene plastike namijenjene prerađivačkoj industriji za proizvodnju bilo koje druge vrste plastičnog proizvoda koji moraju biti u skladu s odgovarajućom normom ili tehničkim specifikacijama koje zahtijeva korisnik.</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 xml:space="preserve">Posljedično, ostala otpadna plastika koja nije uključena u Prilog I., kao i mehanički obrađena otpadna plastika koja ne ispunjava druge utvrđene kriterije, i dalje će se smatrati otpadom u smislu Zakona 7/2022 od 8. travnja i stoga se njome mora gospodariti u skladu s pravnim sustavom uspostavljenim tim zakonom. Ako je namijenjena za postrojenja u svrhu energetske oporabe, ta postrojenja moraju ispunjavati odredbe poglavlja IV. Kraljevske uredbe 815/2013 od 18. listopada kojom </w:t>
      </w:r>
      <w:r>
        <w:rPr>
          <w:rFonts w:ascii="Arial" w:hAnsi="Arial"/>
          <w:sz w:val="20"/>
        </w:rPr>
        <w:lastRenderedPageBreak/>
        <w:t>se odobrava Pravilnik o industrijskim emisijama i provedbi Zakona 16/2002 od 1. srpnja o integriranom sprečavanju i kontroli onečišćenja kako bi se osigurala zaštita okoliša koja se propisuje tim propisom.</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Nakon što ova Odluka stupi na snagu, mogućnost da je koriste subjekti za gospodarenje otpadnom plastikom dobrovoljna je; međutim, ako krajnji subjekt za gospodarenje želi staviti na tržište obrađenu otpadnu plastiku kao proizvod, mora biti usklađen s tom normom. Kako bi se moglo utvrditi prihvaća li subjekt za gospodarenje otpadnom plastikom normu, ti subjekti o tome moraju obavijestiti mjerodavnu regionalnu upravu. U tu svrhu moraju poslati obavijest regionalnoj upravi koja je dodijelila odobrenje postrojenja u skladu sa zakonom, za što mogu upotrijebiti predložak iz Priloga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Uzimajući u obzir činjenicu da će kriteriji za prestanak statusa otpada biti obvezujući samo u državi članici koja ih je uspostavila, kako je navela Europska komisija, kada se materijali prenose u drugu državu članicu, odredišna zemlja nema obvezu prihvatiti klasifikaciju materijala kao neotpada na temelju kriterija za prestanak statusa otpada u zemlji podrijetla. Stoga, osim ako zemlja odredišta prethodno i izričito navede da prihvaća navedenu klasifikaciju otpada kao proizvoda, pošiljka se šalje na temelju Uredbe (EZ) br. 1013/2006 Europskog parlamenta i Vijeća od 14. lipnja 2006. o pošiljkama otpada. U svakom slučaju, ako je zemlja podrijetla ili odredišta treća zemlja, odnosno ako nije država članica Europske unije, otprema se vrši u skladu s prethodno navedenom Uredbom.</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Ovaj propis u skladu je s načelima dobre regulative predviđenim u članku 129. Zakona 39/2015 od 1. listopada o zajedničkim upravnim postupcima javnih uprava. U skladu s načelima nužnosti i učinkovitosti, ova se Odluka temelji na odgovarajućoj zaštiti zdravlja ljudi i okoliša, čime se olakšava povratak u proizvodni ciklus plastičnih proizvoda samo onih sigurnih materijala koji ispunjavaju specifikacije potrebne za naknadnu uporabu. Osim toga, temelji se na jasnom utvrđivanju ciljeva i zbog izrazito tehničke prirode postavljenih zahtjeva, smatra se primjerenim instrumentom za postizanje tih ciljeva.</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Pravilo je u skladu s načelom proporcionalnosti jer se njime uređuju bitni aspekti njegove svrhe, odnosno utvrđivanje kada se određena otpadna plastika koja je mehanički i pravilno obrađena više ne može smatrati otpadom, u skladu sa Zakonom 7/2022 od 8. travnja.</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U skladu s načelom pravne sigurnosti, pravilo je u skladu s ostatkom nacionalnog pravnog poretka i pravnog poretka Unije, čime se jamči veća pravna sigurnost uspostavom stabilnog, predvidljivog, integriranog i određenog regulatornog okvira kojim se olakšava njihovo poznavanje i razumijevanje, a time i djelovanje i odlučivanje obuhvaćenih sektora.</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Također je u skladu s načelom transparentnosti jer su se strogo slijedili svi javni postupci informiranja javnosti i postupci saslušanja.</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Konačno, primjenom načela učinkovitosti, ovom se normom osigurava najveća učinkovitost u postizanju njezinih ciljeva uz najniže moguće troškove njezine primjene.</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Ova Ministarska odluka prošla je postupak pružanja informacija u pogledu normi utvrđen Kraljevskim ukazom 1337/1999 od 31. srpnja o pružanju informacija u pogledu normi i tehničkih propisa te pravila o uslugama informacijskog društva, kako bi se ispunile odredbe Direktive (EU) 2015/1535 Europskog parlamenta i Vijeća od 9. rujna 2015. o utvrđivanju postupka pružanja informacija u području tehničkih propisa i pravila o uslugama informacijskog društva.</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Ovlast za provedbu ove Odluke predviđena je člankom 5. Zakona 7/2022 od 8. travnja i njegovom ustavnom osnovom u članku 149. stavku 1. točki 23. španjolskog Ustava, kojim se državi daje isključiva nadležnost u pitanjima temeljnog zakonodavstva o zaštiti okoliša ne dovodeći u pitanje ovlasti autonomnih zajednica da uspostave dodatne standarde zaštite.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lastRenderedPageBreak/>
        <w:t xml:space="preserve">Pri sastavljanju ove Odluke provedeno je savjetovanje s autonomnim zajednicama i predstavničkim tijelima predmetnih sektora; isto tako, podvrgnuta je postupku javnog informiranja te je dostavljena Povjerenstvu za koordinaciju u području otpada i Savjetodavnom vijeću za okoliš; na temelju odredbi Zakona 27/2006 od 18. srpnja, kojim se uređuju prava pristupa informacijama, sudjelovanja javnosti i pristupa pravosuđu u pogledu zaštite okoliša.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Na temelju toga, uz prethodno odobrenje ministra financija i državne službe, na temelju sporazuma/saslušanja Državnog vijeća, utvrđujem sljedeće</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Članak 1. </w:t>
      </w:r>
      <w:r>
        <w:rPr>
          <w:rFonts w:ascii="Arial" w:hAnsi="Arial"/>
          <w:b/>
          <w:i/>
          <w:sz w:val="20"/>
          <w:shd w:val="clear" w:color="auto" w:fill="FFFFFF"/>
        </w:rPr>
        <w:t>Cilj i područje primjene.</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Svrha ove Odluke jest utvrditi kriterije na temelju kojih se utvrđuje kada otpadna plastika koja je podvrgnuta mehaničkoj obradi i koja je namijenjena proizvodnji plastičnih proizvoda prestaje biti otpad u skladu sa Zakonom 7/2022 od 8. travnja o otpadu i onečišćenim tlima za kružno gospodarstvo.</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Otpadna plastika koja nije u skladu s odredbama ove Odluke smatrat će se otpadom i bit će oporabljena ili zbrinuta u skladu sa Zakonom 7/2022 od 8. travnja i svim drugim pravilima koja se primjenjuju na nju.</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Kriteriji utvrđeni u ovoj Odluci primjenjuju se na čitavom španjolskom državnom području.</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Članak 2. </w:t>
      </w:r>
      <w:r>
        <w:rPr>
          <w:rFonts w:ascii="Arial" w:hAnsi="Arial"/>
          <w:b/>
          <w:i/>
          <w:sz w:val="20"/>
        </w:rPr>
        <w:t>Definicije.</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Za potrebe ove Odluke, osim definicija sadržanih u Zakonu 7/2022 od 8. travnja, primjenjuju se sljedeće definicije:</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plastika“: materijal izrađen od polimera kako je definiran u članku 3. stavku 5. Uredbe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kojemu se mogu dodati aditivi ili druge tvari i koji može funkcionirati kao glavna strukturna komponenta konačnih proizvoda, uz iznimku prirodnih polimera koji su kemijski modificirani;</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„otpadna plastika“: proizvod koji je izrađen od plastike ili sadrži plastiku, koji je odbačen ili je namijenjen odlaganju ili se mora zbrinuti. Ovaj pojam obuhvaća postindustrijski i postpotrošački otpad, neobrađeni i obrađeni otpad;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„materijal od reciklirane plastike“: materijal dobiven od otpadne plastike podvrgnute mehaničkoj obradi u odobrenim postrojenjima za gospodarenje, koja se smatra konačnom obradom, koji je sukladan s odredbama ove norme i više se ne smatra otpadom za potrebe </w:t>
      </w:r>
      <w:bookmarkEnd w:id="0"/>
      <w:r>
        <w:rPr>
          <w:rFonts w:ascii="Arial" w:hAnsi="Arial"/>
          <w:sz w:val="20"/>
        </w:rPr>
        <w:t>Zakona 7/2022 od 8. travnja;</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„neplastična komponenta“: svi materijali koji nisu polimeri i kemijski aditivi koji su dio otpadne plastike ili </w:t>
      </w:r>
      <w:r>
        <w:rPr>
          <w:rFonts w:ascii="Arial" w:hAnsi="Arial"/>
          <w:sz w:val="20"/>
        </w:rPr>
        <w:t>materijala od reciklirane plastike</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„proizvođač“: </w:t>
      </w:r>
      <w:r>
        <w:rPr>
          <w:rFonts w:ascii="Arial" w:hAnsi="Arial"/>
          <w:sz w:val="20"/>
        </w:rPr>
        <w:t>odobreni subjekt za gospodarenje otpadom koji vrši postupke konačne obrade u svrhu dobivanja materijala određenih svojstava i koji ga prvi put prenosi kao materijal od reciklirane plastike koji se više ne smatra otpadom;</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„posjednik“: fizička ili pravna osoba koja posjeduje materijal od reciklirane plastike;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(g) „uvoznik“: svaka fizička ili pravna osoba koja unosi</w:t>
      </w:r>
      <w:r>
        <w:rPr>
          <w:rFonts w:ascii="Arial" w:hAnsi="Arial"/>
          <w:color w:val="FF0000"/>
          <w:sz w:val="20"/>
          <w:shd w:val="clear" w:color="auto" w:fill="FFFFFF"/>
        </w:rPr>
        <w:t xml:space="preserve"> </w:t>
      </w:r>
      <w:r>
        <w:rPr>
          <w:rFonts w:ascii="Arial" w:hAnsi="Arial"/>
          <w:sz w:val="20"/>
          <w:shd w:val="clear" w:color="auto" w:fill="FFFFFF"/>
        </w:rPr>
        <w:t xml:space="preserve">materijal od reciklirane plastike koji je prestao biti otpad u skladu s ovom Odlukom u Španjolsku, </w:t>
      </w:r>
      <w:r>
        <w:rPr>
          <w:rFonts w:ascii="Arial" w:hAnsi="Arial"/>
          <w:sz w:val="20"/>
        </w:rPr>
        <w:t>iz države članice Europske unije ili iz treće zemlje</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lastRenderedPageBreak/>
        <w:t xml:space="preserve">(h) „trgovac“: svaka fizička ili pravna osoba uključena u kupnju materijala od reciklirane plastike koji je prestao biti otpad u skladu s ovom Odlukom i u naknadnu prodaju postrojenjima za proizvodnju plastičnih proizvoda, čak i ako ga fizički ne posjeduje;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„kvalificirano osoblje“: osoba koja na temelju iskustva ili osposobljavanja može pravilno ispitati i procijeniti svojstva otpadne plastike i materijala od reciklirane plastike;</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„vizualni pregled“: pregled cjelokupne otpadne plastike ili materijala od reciklirane plastike pomoću osjetila vida i ostalih osjetila ili nespecijalizirane opreme;</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„serija“: jedinica materijala od reciklirane plastike iste kvalitete koji je proizveden u istom postrojenju za obradu i ako su potvrđeni zahtjevi iz stavka 3. Priloga I.;</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„pošiljka“: serija materijala od reciklirane plastike koju je proizvođač namijenio drugom posjedniku i koja se može nalaziti u jednoj ili više prijevoznih jedinica, kao što su spremnici.</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Članak 3. </w:t>
      </w:r>
      <w:r>
        <w:rPr>
          <w:rFonts w:ascii="Arial" w:hAnsi="Arial"/>
          <w:b/>
          <w:i/>
          <w:sz w:val="20"/>
        </w:rPr>
        <w:t>Kriteriji za prestanak statusa otpada.</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Materijal od reciklirane plastike namijenjen proizvodnji plastičnih proizvoda prestaje biti otpad u trenutku kada napusti prostorije proizvođača jer je upućen u prostorije posjednika i koji ispunjava sljedeće zahtjeve:</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otpadna plastika namijenjena obradi mora biti isključivo ona koji ispunjava kriterije iz odjeljka 1. Priloga I.;</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otpadna plastika podvrgnuta je jednom ili više postupaka oporabe u skladu </w:t>
      </w:r>
      <w:r>
        <w:rPr>
          <w:rFonts w:ascii="Arial" w:hAnsi="Arial"/>
          <w:color w:val="000000"/>
          <w:sz w:val="20"/>
          <w:shd w:val="clear" w:color="auto" w:fill="FFFFFF"/>
        </w:rPr>
        <w:t>s</w:t>
      </w:r>
      <w:r>
        <w:rPr>
          <w:rFonts w:ascii="Arial" w:hAnsi="Arial"/>
          <w:sz w:val="20"/>
          <w:shd w:val="clear" w:color="auto" w:fill="FFFFFF"/>
        </w:rPr>
        <w:t xml:space="preserve"> kriterijima utvrđenima u stavku 2. Priloga I.;</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obrađena otpadna plastika ispunjava kriterije iz stavka 3. Priloga I.;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proizvođač ili uvoznik ispunio je obveze utvrđene u člancima 5., 6. i 7. te članku 4., ako je to primjenjivo.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Fizičke ili pravne osobe koje žele nabaviti materijal od reciklirane plastike moraju ispuniti zahtjeve ove norme i moraju obavijestiti autonomnu zajednicu u kojoj se nalazi postrojenje za konačnu obradu, u kojem se dobiva materijal od reciklirane plastike, o tome da su ti kriteriji ispunjeni prije slanja prve pošiljke. Takva se obavijest šalje putem zahtjeva upućenog nadležnom regionalnom tijelu koje je tom postrojenju dodijelilo odobrenje, uključujući barem sadržaj utvrđen u Prilogu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Članak 4. </w:t>
      </w:r>
      <w:r>
        <w:rPr>
          <w:rFonts w:ascii="Arial" w:hAnsi="Arial"/>
          <w:b/>
          <w:i/>
          <w:sz w:val="20"/>
        </w:rPr>
        <w:t>Materijal od reciklirane plastike namijenjen proizvodnji materijala koji dolaze u dodir s hranom.</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U skladu s važećim regulatornim odredbama na europskoj razini, ako je svrha materijala od reciklirane plastike proizvodnja materijala ili predmeta koji dolaze u dodir s hranom, otpad će postići prestanak statusa otpada u prostorijama subjekta za gospodarenje otpadnom plastikom koji ispunjavaju zahtjeve Uredbe Komisije (EZ) br. 282/2008 od 27. ožujka 2008. o recikliranim plastičnim materijalima i predmetima koji dolaze u dodir s hranom i izmjeni Uredbe (EZ) 2023/2006 i sve ostale primjenjive europske odredbe.</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Članak 5. </w:t>
      </w:r>
      <w:r>
        <w:rPr>
          <w:rFonts w:ascii="Arial" w:hAnsi="Arial"/>
          <w:b/>
          <w:i/>
          <w:sz w:val="20"/>
        </w:rPr>
        <w:t>Izjava o sukladnosti.</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lastRenderedPageBreak/>
        <w:t>1. Proizvođač ili uvoznik za svaku pošiljku materijala od reciklirane plastike koji više nije otpad izdaje izjavu o sukladnosti u skladu s odgovarajućim obrascem iz Priloga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2. Proizvođač,</w:t>
      </w:r>
      <w:r>
        <w:rPr>
          <w:rFonts w:ascii="Arial" w:hAnsi="Arial"/>
          <w:color w:val="FF0000"/>
          <w:sz w:val="20"/>
        </w:rPr>
        <w:t xml:space="preserve"> </w:t>
      </w:r>
      <w:r>
        <w:rPr>
          <w:rFonts w:ascii="Arial" w:hAnsi="Arial"/>
          <w:sz w:val="20"/>
        </w:rPr>
        <w:t xml:space="preserve">uvoznik ili trgovac dostavlja izjavu o sukladnosti sljedećem posjedniku pošiljke materijala od reciklirane plastike.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Proizvođač, uvoznik i trgovac dužni su čuvati primjerak izjave o sukladnosti najmanje tri godine nakon datuma izdavanja te je stavljaju na raspolaganje nadležnim tijelima kada se to od njih zatraži.</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Izjava o sukladnosti može se izdati na bilo kojem sredstvu, u papirnatom ili elektroničkom formatu, pod uvjetom da su zajamčeni njezina vjerodostojnost, cjelovitost njezina sadržaja i čitljivost od datuma izdavanja i tijekom čitavog trajanja pohrane.</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Izjava o sukladnosti mora biti priložena svakoj pošiljci. Ako pošiljku čini više prijevoznih jedinica, uz svaku mora biti priložen primjerak izjave o sukladnosti.</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Članak 6. </w:t>
      </w:r>
      <w:r>
        <w:rPr>
          <w:rFonts w:ascii="Arial" w:hAnsi="Arial"/>
          <w:b/>
          <w:i/>
          <w:sz w:val="20"/>
        </w:rPr>
        <w:t>Sustav upravljanja.</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Proizvođač uspostavlja sustav upravljanja kojim može dokazati da su ispunjeni kriteriji iz članka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Sustav upravljanja obuhvaća niz dokumentiranih postupaka za svaki od sljedećih aspekata:</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pregled prilikom prihvata otpada koji se podvrgava postupku oporabe kako je utvrđeno u stavku 1. Priloga I.;</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praćenje postupaka i zahtjeva za obradu opisanih u stavku 2. Priloga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kontrola kvalitete dobivenog materijala, kako je utvrđeno u stavku 3. Priloga I. (uključujući uzorkovanje i analizu);</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primjedbe sljedećeg posjednika o usklađenosti sa zahtjevima nastalog materijala;</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bilježenje rezultata kontrola provedenih u skladu s točkama od (a) do (c);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revizija i ažuriranje sustava upravljanja; i</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osposobljavanje osoblja.</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Sustav upravljanja također mora uključivati posebne zahtjeve kontrole za kriterije utvrđene u Prilogu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Sustav upravljanja obuhvaća metodologiju osmišljavanja uzorkovanja i uzorkovanja za materijal dobiven oporabom, u skladu s tehničkim normama UNE-CEN/TS 16011 EX. Plastika. Reciklirana plastika. Priprema uzoraka, i norma PD CEN/TS 16010</w:t>
      </w:r>
      <w:r>
        <w:t xml:space="preserve"> </w:t>
      </w:r>
      <w:r>
        <w:rPr>
          <w:rFonts w:ascii="Arial" w:hAnsi="Arial"/>
          <w:sz w:val="20"/>
        </w:rPr>
        <w:t>Plastika. Reciklirana plastika. Postupci uzorkovanja za ispitivanje otpadne plastike i reciklata, u ažuriranoj i trenutačnoj inačici.</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Tijelo za ocjenjivanje sukladnosti akreditirano za provedbu takve certifikacije u skladu s Uredbom (EZ) br. 765/2008 Europskog parlamenta i Vijeća od 9. srpnja 2008. o utvrđivanju zahtjeva za akreditaciju i o stavljanju izvan snage Uredbe (EEZ) br. 339/93, potvrđuje da sustav upravljanja koji provodi proizvođač ispunjava zahtjeve iz ovog članka.</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Proizvođač na zahtjev nadležnih tijela omogućuje pristup svojem sustavu upravljanja i odgovarajućoj evidenciji.</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Ako jedan od prethodno navedenih postupaka obrade iz stavka 2. Priloga I. provodi subjekt za gospodarenje otpadom koji nije proizvođač, proizvođač osigurava da subjekt za gospodarenje ima uspostavljen sustav upravljanja kojim se osigurava usklađenost sa zahtjevima utvrđenima u ovom članku.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8. Uvoznik zahtijeva od svojih dobavljača da provode sustav upravljanja koji ispunjava zahtjeve iz stavaka 2., 3. i 4. ovog članka. Taj sustav upravljanja certificira tijelo za ocjenjivanje sukladnosti </w:t>
      </w:r>
      <w:r>
        <w:rPr>
          <w:rFonts w:ascii="Arial" w:hAnsi="Arial"/>
          <w:sz w:val="20"/>
        </w:rPr>
        <w:lastRenderedPageBreak/>
        <w:t>akreditirano za provođenje takve certifikacije u skladu s Uredbom (EZ) br. 765/2008 Europskog parlamenta i Vijeća od 9. srpnja 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Članak 7. </w:t>
      </w:r>
      <w:r>
        <w:rPr>
          <w:rFonts w:ascii="Arial" w:hAnsi="Arial"/>
          <w:b/>
          <w:i/>
          <w:sz w:val="20"/>
        </w:rPr>
        <w:t>Ostale obveze proizvođača.</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Proizvođač kao subjekt za gospodarenje otpadom u svoj kronološki arhiv predviđen člankom 64. Zakona 7/2022 od 8. travnja prilaže informacije o sljedećem: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broju serije;</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datumu isporuke serije;</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identifikaciji klijenta i</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prodanoj količini.</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Osim toga, proizvođač mora navesti podatke o količini obrađenog plastičnog materijala koji se stavlja na tržište kao proizvod i o njegovu odredištu u godišnje izvješće predviđeno člankom 65. stavkom 1. prethodno navedenog zakona.</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Za svaku seriju proizvođač mora čuvati informacije koje omogućuju provjeru ispunjavanja zahtjeva utvrđenih u Prilogu I. najmanje tri godine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Članak 8. </w:t>
      </w:r>
      <w:r>
        <w:rPr>
          <w:rFonts w:ascii="Arial" w:hAnsi="Arial"/>
          <w:b/>
          <w:i/>
          <w:sz w:val="20"/>
        </w:rPr>
        <w:t>Obveze subjekata za gospodarenje otpadom koji interveniraju prije proizvođača.</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Kako bi se osigurala najveća moguća sljedivost, u slučaju otpadne plastike koja potječe iz sljedećih tokova, među ostalim: opasnog otpada, otpadne električne i elektroničke opreme, otpadnih vozila ili građevinskog otpada i otpada od rušenja, subjekti jamče da se taj otpad u njihovom postrojenju obrađuje odvojeno i da se ne miješa s drugim plastičnim otpadom iz drugih izvora.</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Ako je naknadni cilj materijala od reciklirane plastike dobivenog u prostorima proizvođača proizvodnja materijala ili predmeta koji dolaze u dodir s hranom, u skladu s odredbama Uredbe Komisije (EZ) br. 282/2008 od 27. ožujka, subjekti za gospodarenje otpadom koji su intervenirali prije proizvođača moraju ispuniti zahtjeve za prikupljanje i prethodnu obradu utvrđene u ovoj Uredbi, uključujući uvođenje certificiranog sustava upravljanja treće strane.</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Jedina dodatna odredba. Prilagodba odobrenja subjekata za gospodarenje otpadom.</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Za sve krajnje subjekte za gospodarenje otpadom koji su obavijestili nadležno tijelo Autonomne zajednice o sukladnosti s ovom Odlukom u skladu s člankom 3.2., odobrenje njihova postrojenja uključuje postupak konačne oporabe otpadne plastike kodificiranog kao „</w:t>
      </w:r>
      <w:r>
        <w:rPr>
          <w:rFonts w:ascii="Arial" w:hAnsi="Arial"/>
          <w:i/>
          <w:sz w:val="20"/>
        </w:rPr>
        <w:t>R0307 Recikliranje organskog otpada za proizvodnju materijala ili tvari</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Jedina </w:t>
      </w:r>
      <w:bookmarkStart w:id="1" w:name="_Hlk95740687"/>
      <w:r>
        <w:rPr>
          <w:rFonts w:ascii="Arial" w:hAnsi="Arial"/>
          <w:b/>
          <w:sz w:val="20"/>
        </w:rPr>
        <w:t>prijelazna</w:t>
      </w:r>
      <w:bookmarkEnd w:id="1"/>
      <w:r>
        <w:rPr>
          <w:rFonts w:ascii="Arial" w:hAnsi="Arial"/>
          <w:b/>
          <w:sz w:val="20"/>
        </w:rPr>
        <w:t xml:space="preserve"> odredba.</w:t>
      </w:r>
      <w:r>
        <w:rPr>
          <w:rFonts w:ascii="Arial" w:hAnsi="Arial"/>
          <w:sz w:val="20"/>
        </w:rPr>
        <w:t xml:space="preserve"> </w:t>
      </w:r>
      <w:r>
        <w:rPr>
          <w:rFonts w:ascii="Arial" w:hAnsi="Arial"/>
          <w:b/>
          <w:sz w:val="20"/>
        </w:rPr>
        <w:t>Prijelazni sustav.</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U slučaju da su autonomne zajednice dale odobrenja subjektima za gospodarenje i postrojenjima za obradu za dobivanje reciklirane plastike kao proizvoda, postupak oporabe </w:t>
      </w:r>
      <w:r>
        <w:rPr>
          <w:rFonts w:ascii="Arial" w:hAnsi="Arial"/>
          <w:sz w:val="20"/>
          <w:highlight w:val="green"/>
        </w:rPr>
        <w:t>R03 u skladu s prethodnim zakonom</w:t>
      </w:r>
      <w:r>
        <w:rPr>
          <w:rFonts w:ascii="Arial" w:hAnsi="Arial"/>
          <w:sz w:val="20"/>
        </w:rPr>
        <w:t xml:space="preserve">, te fizičke ili pravne osobe i ta postrojenja moraju zatražiti prilagodbu odobrenja u roku od tri mjeseca od objave ove Odluke. </w:t>
      </w:r>
    </w:p>
    <w:p w14:paraId="1FEB5090" w14:textId="77777777" w:rsidR="00576F73" w:rsidRPr="001A0796"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U tim slučajevima te nakon 18 mjeseci od datuma stupanja na snagu ove Odluke, samo reciklirana plastika koja je u skladu s odredbama ove Ministarske odluke smije se stavljati na tržište kao proizvod. To se razdoblje skraćuje na tri mjeseca u slučajevima kada operatori i postrojenja iz prethodnog podstavka nisu zatražili prilagodbu svojeg odobrenja.</w:t>
      </w:r>
    </w:p>
    <w:p w14:paraId="4FD7B471" w14:textId="77777777" w:rsidR="00C942C5" w:rsidRPr="001A0796"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1A0796"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Prva završna odredba. </w:t>
      </w:r>
      <w:r>
        <w:rPr>
          <w:rFonts w:ascii="Arial" w:hAnsi="Arial"/>
          <w:b/>
          <w:i/>
          <w:sz w:val="20"/>
        </w:rPr>
        <w:t>Dodjela nadležnosti.</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lastRenderedPageBreak/>
        <w:t>Ova se Odluka donosi u skladu s odredbama članka 149. stavka 1. točke 23. španjolskog Ustava, kojim se državi daje isključiva nadležnost u području temeljnog zakonodavstva o zaštiti okoliša, ne dovodeći u pitanje ovlasti autonomnih zajednica da utvrđuju dodatne propise o zaštiti.</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Druga završna odredba. </w:t>
      </w:r>
      <w:r>
        <w:rPr>
          <w:rFonts w:ascii="Arial" w:hAnsi="Arial"/>
          <w:b/>
          <w:i/>
          <w:sz w:val="20"/>
        </w:rPr>
        <w:t>Stupanje na snagu.</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Ova Odluka stupa na snagu dvadesetog dana od dana njezine objave u „Službenom listu”.</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PRILOG I. </w:t>
      </w:r>
    </w:p>
    <w:p w14:paraId="3A51BB49" w14:textId="6B25274E" w:rsidR="00614996" w:rsidRDefault="00614996" w:rsidP="003361AE">
      <w:pPr>
        <w:jc w:val="center"/>
        <w:rPr>
          <w:rFonts w:ascii="Arial" w:hAnsi="Arial" w:cs="Arial"/>
          <w:b/>
          <w:bCs/>
          <w:sz w:val="20"/>
          <w:szCs w:val="20"/>
        </w:rPr>
      </w:pPr>
      <w:r>
        <w:rPr>
          <w:rFonts w:ascii="Arial" w:hAnsi="Arial"/>
          <w:b/>
          <w:sz w:val="20"/>
        </w:rPr>
        <w:t>Kriteriji za prestanak statusa otpada</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Otpadna plastika dopuštena za konačnu oporabu</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Otpadna plastika obuhvaćena ovom Odlukom mora biti takozvana termoplastika i moraju biti ispunjeni sljedeći zahtjevi: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Kriteriji</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Zahtjevi za kontrolu</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Kao ulazni materijal za ovaj postupak dopušten je samo otpad s europskom oznakom otpada (EWC) u nastavku</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Unutar postindustrijskog otpada</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Otpadna plastika (</w:t>
            </w:r>
            <w:r>
              <w:rPr>
                <w:rFonts w:ascii="Arial" w:hAnsi="Arial"/>
                <w:sz w:val="16"/>
              </w:rPr>
              <w:t>otpad od proizvodnje, formulacije, opskrbe i uporabe plastike, sintetske gume i umjetnih vlakana)</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Strugotine i otpiljci od plastike (</w:t>
            </w:r>
            <w:r>
              <w:rPr>
                <w:rFonts w:ascii="Arial" w:hAnsi="Arial"/>
                <w:sz w:val="16"/>
              </w:rPr>
              <w:t>otpad od oblikovanja i fizičke i mehaničke površinske obrade metala i plastike</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Unutar otpada koji nastaje nakon potrošnje</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Otpadna plastika (isključujući ambalažu) </w:t>
            </w:r>
            <w:r>
              <w:rPr>
                <w:rFonts w:ascii="Arial" w:hAnsi="Arial"/>
                <w:sz w:val="16"/>
              </w:rPr>
              <w:t>(otpad iz poljoprivrede, vrtlarstva, proizvodnje vodenih kultura, šumarstva, lova i ribarstva)</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Ambalaža od plastike </w:t>
            </w:r>
            <w:r>
              <w:rPr>
                <w:rFonts w:ascii="Arial" w:hAnsi="Arial"/>
                <w:sz w:val="16"/>
              </w:rPr>
              <w:t>(uključujući odvojeno prikupljen komunalni ambalažni otpad)</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Ambalaža koja sadržava ostatke opasnih tvari ili je onečišćena opasnim tvarima</w:t>
            </w:r>
            <w:r>
              <w:rPr>
                <w:rFonts w:ascii="Arial" w:hAnsi="Arial"/>
                <w:sz w:val="16"/>
              </w:rPr>
              <w:t xml:space="preserve"> (samo ako je ambalaža izrađena od plastike)</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Plastika </w:t>
            </w:r>
            <w:r>
              <w:rPr>
                <w:rFonts w:ascii="Arial" w:hAnsi="Arial"/>
                <w:sz w:val="16"/>
              </w:rPr>
              <w:t>(otpad od obrade dotrajalih prijevoznih sredstava na vlastiti pogon ili postupaka održavanja i popravljanja)</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Plastika </w:t>
            </w:r>
            <w:r>
              <w:rPr>
                <w:rFonts w:ascii="Arial" w:hAnsi="Arial"/>
                <w:sz w:val="16"/>
              </w:rPr>
              <w:t>(građevinski otpad i otpad od rušenja)</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Plastika i guma </w:t>
            </w:r>
            <w:r>
              <w:rPr>
                <w:rFonts w:ascii="Arial" w:hAnsi="Arial"/>
                <w:sz w:val="16"/>
              </w:rPr>
              <w:t>(otpad od mehaničke obrade otpada (za plastiku iz postrojenja za mehaničku obradu otpada)</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Plastika</w:t>
            </w:r>
            <w:r>
              <w:rPr>
                <w:rFonts w:ascii="Arial" w:hAnsi="Arial"/>
                <w:sz w:val="16"/>
              </w:rPr>
              <w:t xml:space="preserve"> (od odvojeno prikupljenih podskupova (osim onih utvrđenih u potpoglavlju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 xml:space="preserve">Kad je riječ o poglavljima 18 01 i 18 02, valja pojasniti da se otpadna plastika s oznakama EWC 18 01 03* i 18 02 02* te EWC </w:t>
            </w:r>
            <w:r>
              <w:rPr>
                <w:rFonts w:ascii="Arial" w:hAnsi="Arial"/>
                <w:sz w:val="20"/>
              </w:rPr>
              <w:lastRenderedPageBreak/>
              <w:t>18 01 02 02, 18 01 04 i 18 02 03 također može smatrati prihvatljivim otpadom nakon dezinfekcije.</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Prihvat otpadne plastike (ili dobivenih podskupova plastike) na ulazu u objekt mora kontrolirati stručno osoblje koje vizualnim pregledom i pratećom dokumentacijom može prepoznati koji otpad ne ispunjava utvrđene kriterije.</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Ako je to potrebno, provode se laboratorijska ispitivanja u skladu s primjenjivim zakonodavstvom za utvrđivanje opasnih svojstava otpada.</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Otpad od korištenih proizvoda za osobnu higijenu nije prihvatljiv.</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Otpad klasificiran kao opasan nije prihvatljiv osim ako se dokaže da nakon provedbe potrebnih postupaka obrade takav otpad ne pokazuje nikakva opasna svojstva kako je navedeno u točki 3. sljedećeg stavka.</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Otpadna plastika od duromera nije dopuštena.</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Otpadna plastika (ili podskupovi dobiveni od plastike) koja sadržava postojane organske onečišćujuće tvari u koncentracijama iznad propisane granične vrijednosti utvrđene u skladu s Uredbom (EU) 2019/1021 Europskog parlamenta i Vijeća od 20. lipnja 2019. o postojanim organskim onečišćujućim tvarima nije prihvatljiva.</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Za odredište koje dolazi u dodir s hranom</w:t>
            </w:r>
            <w:r>
              <w:rPr>
                <w:rFonts w:ascii="Arial MT" w:hAnsi="Arial MT"/>
                <w:sz w:val="19"/>
              </w:rPr>
              <w:t xml:space="preserve"> </w:t>
            </w:r>
            <w:r>
              <w:rPr>
                <w:rFonts w:ascii="Arial MT" w:hAnsi="Arial MT"/>
                <w:sz w:val="20"/>
              </w:rPr>
              <w:t>zahtijeva se odsustvo postojanih orga</w:t>
            </w:r>
            <w:r>
              <w:rPr>
                <w:rFonts w:ascii="Arial" w:hAnsi="Arial"/>
                <w:sz w:val="20"/>
              </w:rPr>
              <w:t>nskih onečišćujućih tvari i odsustvo svih ostalih onečišćujućih tvari koje ne jamče zdravstvenu ispravnost hrane tog materijala od reciklirane plastike.</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Postupak za primjenu zahtjeva o značajkama opasnosti i prisutnosti postojanih organskih onečišćujućih tvari treba dokumentirati kao dio sustava upravljanja i potrebno ga je</w:t>
            </w:r>
            <w:r>
              <w:rPr>
                <w:rFonts w:ascii="Arial" w:hAnsi="Arial"/>
                <w:sz w:val="20"/>
                <w:shd w:val="clear" w:color="auto" w:fill="FFFFFF"/>
              </w:rPr>
              <w:t xml:space="preserve"> podvrgnuti reviziji.</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Obrada otpadne plastike</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Otpadna plastika u prostorijama subjekata za gospodarenje otpadom koji interveniraju prije proizvođača i u vlastitim prostorima proizvođača mora biti u skladu sa sljedećim: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Mora se skladištiti odvojeno od svih ostalih vrsta otpada. Ne smije se miješati s ostalim vrstama otpada.</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 xml:space="preserve">Mora se podvrgnuti svim mehaničkim postupcima potrebnima kako bi se osiguralo da je prikladna za izravnu uporabu u proizvodnji novih plastičnih proizvoda (gotovih ili polugotovih), uključujući barem razvrstavanje i drobljenje. Osim toga, mogu se provesti i drugi mehanički postupci koji će biti neophodni ovisno o vrsti otpadne plastike i naknadnoj primjeni za koju je namijenjena, kao što su: </w:t>
      </w:r>
      <w:r>
        <w:rPr>
          <w:rFonts w:ascii="Arial" w:hAnsi="Arial"/>
          <w:sz w:val="20"/>
          <w:shd w:val="clear" w:color="auto" w:fill="FFFFFF"/>
        </w:rPr>
        <w:lastRenderedPageBreak/>
        <w:t>mehaničko smanjenje veličine laminiranjem ili mikroniziranjem, pranje, centrifugiranje, sušenje, filtriranje, aglomeriranje, ekstrudiranje i pjeskarenje.</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 xml:space="preserve">U slučaju da je nakon konačne oporabe naknadni zahtjev obuhvaćen područjem primjene uporabe u dodiru s hranom, uzimaju se u obzir ograničenja utvrđena u Prilogu I. Uredbi Komisije (EZ) br. 282/2008 od 27. ožujka za svaku tehnologiju recikliranja. Ako tehnologija recikliranja još nije uvrštena u Prilog I., ali je objavljeno znanstveno mišljenje Europske agencije za sigurnost hrane (engl. </w:t>
      </w:r>
      <w:r>
        <w:rPr>
          <w:rFonts w:ascii="Arial" w:hAnsi="Arial"/>
          <w:i/>
          <w:iCs/>
          <w:sz w:val="20"/>
        </w:rPr>
        <w:t>European Food Safety Agency</w:t>
      </w:r>
      <w:r>
        <w:rPr>
          <w:rFonts w:ascii="Arial" w:hAnsi="Arial"/>
          <w:sz w:val="20"/>
        </w:rPr>
        <w:t xml:space="preserve"> (EFSA)) o tehnologiji recikliranja, u obzir se uzimaju ograničenja sadržana u tom dokumentu.</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U slučaju otpada navedenog u kriteriju 3. stavka 1. Priloga I., ako je to potrebno, moraju se primijeniti postupci dekontaminacije (utvrđeni, prema potrebi, njihovim posebnim propisima) kako bi se uklonila moguća opasna svojstva.</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Zahtjevi za dobiveni materijal od reciklirane plastike</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Kriteriji</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Zahtjevi za kontrolu</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Ako je to primjenjivo, norme dostupne za karakterizaciju materijala od reciklirane plastike, utvrđene relevantnim tehničkim normama UNE-EN, moraju se upotrebljavati u ažuriranoj i trenutačnoj verziji:</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Za polistiren: UNE-EN 15342 Plastika. Reciklirana plastika. Karakterizacija polistirenskog (PS) reciklata</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Za polietilen: UNE-EN 15344 Plastika. Reciklirana plastika. Karakterizacija polietilenskih (PE) reciklata</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Za polipropilen: UNE-EN 15345 Plastika. Reciklirana plastika. Karakterizacija recikliranog polipropilena (PP)</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Za poli(vinil-klorid): UNE-EN 15346 Plastika. Reciklirana plastika. Karakterizacija recikliranog poli(vinil-klorid) (PVC)</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Za poli(etilen-tereftalat: UNE-EN 15348 Plastika. Reciklirana plastika. Karakterizacija poli(etilen-tereftalatnih) (PET) reciklata</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Ako ne postoji tehnička norma za karakterizaciju, dobiveni materijal mora biti u skladu s tehničkim specifikacijama kupca za izravnu uporabu u prerađivačkoj industriji, za </w:t>
            </w:r>
            <w:r>
              <w:rPr>
                <w:rFonts w:ascii="Arial" w:hAnsi="Arial"/>
              </w:rPr>
              <w:lastRenderedPageBreak/>
              <w:t xml:space="preserve">proizvodnju materijala i predmeta koji dolaze u dodir s hranom ili za proizvodnju bilo kojeg drugog plastičnog proizvoda.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Provjeru sukladnosti s odgovarajućom normom ili specifikacijom svake serije pošiljke obavlja kvalificirano osoblje.</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Kvaliteta proizvoda provjerava se kako slijedi:</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Vizualnim pregledom.</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Fizikalno-kemijskom karakterizacijom: provođenjem laboratorijskih ispitivanja iz normi za svaku vrstu plastike ili tehničkih specifikacija i posebnih industrijskih normi za namjenu za koju je oporabljena plastika namijenjena. U skladu s dodatnim specifikacijama kupca također mogu biti potrebna daljnja laboratorijska ispitivanja.</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Reprezentativni uzorci svake vrste materijala od reciklirane plastike analiziraju se u odgovarajućim vremenskim razmacima i podložni su preispitivanju u slučaju znatnih promjena u operativnom postupku.</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Odgovarajuća učestalost uzorkovanja utvrđuje se uzimajući u obzir čimbenike navedene u nastavku:</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Očekivana varijabilnost (npr. na temelju povijesnih rezultata).</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Inherentni rizik od promjene kvalitete otpadne plastike na ulazu u postrojenje u kojem se provodi postupak mehaničke obrade, osobito visok prosječni sadržaj plastike koja sadržava opasne tvari.</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Inherentna točnost metode uzorkovanja.</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Blizina rezultata graničnim vrijednostima koncentracije, iznad kojih se materijal smatra opasnim ili se njegovo stavljanje na tržište ograničava.</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Blizina rezultata sadržaja neplastične komponente u odnosu na najveću graničnu vrijednost od 2 % ukupnog materijala od reciklirane plastike u suhoj masi.</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Reprezentativni uzorci dobivaju se u skladu s postupcima uzorkovanja opisanima u priručniku o postupcima, koji moraju biti što detaljniji (upotrijebljena metodologija uzorkovanja, učestalost, veličina, vrsta i broj uzoraka, statistički pristup itd.).</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Sadržaj neplastičnih sastavnih dijelova mora biti manji ili jednak 2 % suhe mase.</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Za odredište koje dolazi u dodir s hranom posebno su propisani nepostojanje neplastičnih komponenti, nepostojanje stranih tijela i nepostojanje plastičnih tekstilnih vlakana. Nadalje, ovisno o primjeni za koju je namijenjen i u skladu s tehničkim specifikacijama kupca, ne smije sadržavati druge plastične sastavne dijelove/polimere osim onih koji se proizvode, u skladu s količinama/graničnim vrijednostima utvrđenima u tim specifikacijama.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Kvalificirano osoblje trebalo bi biti osposobljeno u području mogućih vrsta onečišćenja u tokovima otpadne plastike, kao i u pogledu komponenata ili značajki koje omogućuju vizualno prepoznavanje tih onečišćujućih tvari.</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Postupak za provjeru sukladnosti s tehničkim specifikacijama koje se primjenjuju na materijal mora biti dokumentiran </w:t>
            </w:r>
            <w:r>
              <w:rPr>
                <w:rFonts w:ascii="Arial" w:hAnsi="Arial"/>
                <w:sz w:val="20"/>
                <w:shd w:val="clear" w:color="auto" w:fill="FFFFFF"/>
              </w:rPr>
              <w:t xml:space="preserve">kao dio </w:t>
            </w:r>
            <w:r>
              <w:rPr>
                <w:rFonts w:ascii="Arial" w:hAnsi="Arial"/>
                <w:color w:val="auto"/>
                <w:sz w:val="20"/>
              </w:rPr>
              <w:t>sustava upravljanja i treba biti dostupan za potrebe revizije.</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Dobiveni materijal ne klasificira se kao opasan u skladu s Uredbom (EZ) 1272/2008 Europskog parlamenta i Vijeća od 16. prosinca 2008. o razvrstavanju, označivanju i pakiranju tvari i smjesa, o izmjeni i stavljanju izvan snage Direktive 67/548/EEZ i Direktive 1999/45/EZ i o izmjeni Uredbe (EZ) 1907/2006 (Uredba CLP).</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 xml:space="preserve">Na njega se primjenjuju ograničenja za stavljanje na tržište posebno zabrinjavajućih tvari koje ispunjavaju kriterije iz članka 57. Uredbe (EZ) 1907/2006 Europskog parlamenta i Vijeća od 18. prosinca 2006. (Uredba REACH), osim ako podliježu </w:t>
            </w:r>
            <w:r>
              <w:rPr>
                <w:rFonts w:ascii="Arial" w:hAnsi="Arial"/>
              </w:rPr>
              <w:lastRenderedPageBreak/>
              <w:t>autorizaciji ili izuzeću u skladu s odredbama Uredbe.</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Mora biti u skladu s ostalim provedbenim odredbama utvrđenima Uredbom (EZ) 1907/2006 Europskog parlamenta i Vijeća od 18. prosinca 2006. i Uredbom (EZ) 1272/2008 Europskog parlamenta i Vijeća od 16. prosinca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Mora biti u skladu sa zabranama ili ograničenjima uporabe ili stavljanja na tržište postojanih organskih onečišćujućih tvari utvrđenima u Uredbi (EU) 2019/1021 Europskog parlamenta i Vijeća od 20. lipnja 2019. Prema postojećim propisima, odredište u dodiru s hranom zahtijeva odsutnost postojanih organskih onečišćujućih tvari u dobivenom materijalu.</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Podliježu kvalitativnoj i kvantitativnoj karakterizaciji kojom će se provjeriti usklađenost s tim zahtjevima i odredbama Uredbe CLP, Uredbe REACH i Uredbe o postojanim organskim onečišćujućim tvarima.</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Osim provedbe kvantitativne karakterizacije, kvalificirano osoblje provodi vizualni pregled svih serija pošiljke.</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Kvalificirano osoblje trebalo bi biti osposobljeno u području mogućih vrsta onečišćenja u tokovima otpadne plastike, kao i u pogledu komponenata ili značajki koje omogućuju vizualno prepoznavanje tih onečišćujućih tvari.</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Postupak za prepoznavanje opasnih značajki mora biti dokumentiran </w:t>
            </w:r>
            <w:r>
              <w:rPr>
                <w:rFonts w:ascii="Arial" w:hAnsi="Arial"/>
                <w:sz w:val="20"/>
                <w:shd w:val="clear" w:color="auto" w:fill="FFFFFF"/>
              </w:rPr>
              <w:t>kao dio</w:t>
            </w:r>
            <w:r>
              <w:rPr>
                <w:rFonts w:ascii="Arial" w:hAnsi="Arial"/>
                <w:color w:val="auto"/>
                <w:sz w:val="20"/>
              </w:rPr>
              <w:t xml:space="preserve"> sustava upravljanja i treba biti dostupan za potrebe revizije.</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Dobiveni materijal ne smije sadržavati ulja, otapala, boje ili tragove vodene ili masne hrane.</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Osim toga, za odredište koje dolazi u dodir s hranom dobiveni materijal ne smije sadržavati tvari koje ugrožavaju zdravstvenu ispravnost hrane proizvoda koji treba sadržavati.</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Kada se tijekom vizualnog pregleda otkriju znakovi upijanja tekućina koje nisu voda, a koje mogu dovesti do nastanka, primjerice, plijesni ili mirisa, pri čemu ti znakovi nisu zanemarivi, ta se serija mora smatrati otpadom.</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Kvalificirano </w:t>
            </w:r>
            <w:r>
              <w:rPr>
                <w:rFonts w:ascii="Arial" w:hAnsi="Arial"/>
                <w:shd w:val="clear" w:color="auto" w:fill="FFFFFF"/>
              </w:rPr>
              <w:t>osoblje</w:t>
            </w:r>
            <w:r>
              <w:rPr>
                <w:rFonts w:ascii="Arial" w:hAnsi="Arial"/>
              </w:rPr>
              <w:t xml:space="preserve"> treba biti osposobljeno za prepoznavanje tih potencijalnih onečišćujućih tvari, kao i u području komponenata ili značajki materijala koje omogućuju prepoznavanje onečišćujućih tvari.</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Aktivnost prepoznavanja prisutnih onečišćujućih tvari mora biti dokumentirana kao dio </w:t>
            </w:r>
            <w:r>
              <w:rPr>
                <w:rFonts w:ascii="Arial" w:hAnsi="Arial"/>
                <w:sz w:val="20"/>
              </w:rPr>
              <w:t>sustava upravljanja i treba biti dostupna za potrebe revizije</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PRILOG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Minimalni sadržaj obavijesti upućene relevantnom regionalnom tijelu u pogledu usklađenosti s ovom Odlukom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Društvo za gospodarenje otpadom ....... ovlašteno pri NIMA-i ..... na datum ......, čije se prostorije nalaze u ......... ovim dopisom upućenim (</w:t>
      </w:r>
      <w:r>
        <w:rPr>
          <w:rFonts w:ascii="Arial" w:hAnsi="Arial"/>
          <w:i/>
          <w:sz w:val="20"/>
        </w:rPr>
        <w:t>ured.../odjel...</w:t>
      </w:r>
      <w:r>
        <w:rPr>
          <w:rFonts w:ascii="Arial" w:hAnsi="Arial"/>
          <w:sz w:val="20"/>
        </w:rPr>
        <w:t xml:space="preserve">) Autonomne zajednice .......,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PRIJAVLJUJE</w:t>
      </w:r>
      <w:r>
        <w:rPr>
          <w:rFonts w:ascii="Arial" w:hAnsi="Arial"/>
          <w:sz w:val="20"/>
        </w:rPr>
        <w:t xml:space="preserve"> sljedeće:</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Društvo ............ sukladno je sa svim odredbama utvrđenima Ministarskom odlukom o utvrđivanju kriterija na temelju kojih se utvrđuje kada otpadna plastika koja se podvrgava mehaničkoj obradi i koja je namijenjena proizvodnji plastičnih proizvoda prestaje biti otpad u skladu sa Zakonom 7/2022 od 8. travnja o otpadu i onečišćenim tlima za kružno gospodarstvo.</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Društvo ………… ima uspostavljen sustav upravljanja u skladu s člankom 6. Odluke.</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Društvo je izvršilo potrebne prilagodbe, poboljšanja ili radnje kako bi se osigurala usklađenost s Odlukom te ovom zahtjevu prilaže potrebnu dokumentaciju kako bi to dokazalo. (</w:t>
      </w:r>
      <w:r>
        <w:rPr>
          <w:rFonts w:ascii="Arial" w:hAnsi="Arial"/>
          <w:i/>
          <w:sz w:val="20"/>
        </w:rPr>
        <w:t>ako je to primjenjivo zbog izmjena postrojenja</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Na temelju navedenoga </w:t>
      </w:r>
      <w:r>
        <w:rPr>
          <w:rFonts w:ascii="Arial" w:hAnsi="Arial"/>
          <w:b/>
          <w:sz w:val="20"/>
        </w:rPr>
        <w:t>TRAŽI</w:t>
      </w:r>
      <w:r>
        <w:rPr>
          <w:rFonts w:ascii="Arial" w:hAnsi="Arial"/>
          <w:sz w:val="20"/>
        </w:rPr>
        <w:t xml:space="preserve"> od (</w:t>
      </w:r>
      <w:r>
        <w:rPr>
          <w:rFonts w:ascii="Arial" w:hAnsi="Arial"/>
          <w:i/>
          <w:sz w:val="20"/>
        </w:rPr>
        <w:t>ured.../odjel...)</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koji je društvo obavijestilo odgovornom izjavom da postupi u skladu s odredbama ministarske odluke kako se materijal dobiven u njegovim prostorijama više ne bi smatrao otpadom u sve pravne svrhe; i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da preispita i ažurira postojeće odobrenje subjekta za gospodarenje otpadom u skladu sa Zakonom 7/2022 od 8. travnja o otpadu i onečišćenim tlima za kružno gospodarstvo, a posebno u skladu s njegovim Prilogom II., u kojem se utvrđuju oznake za postupke oporabe otpada.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Mjesto, datum, potpis.</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PRILOG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Izjava o sukladnosti s kriterijima za utvrđivanje kada obrađena otpadna plastika prestaje biti otpad</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Izjava o sukladnosti materijala od reciklirane plastike namijenjenog proizvodnji materijala ili predmeta koji dolaze u dodir s hranom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U skladu s Uredbom Komisije (EZ) br. 282/2008 od 27. ožujka izjava o sukladnosti koja se zahtijeva u slučajevima utvrđenima u članku 12. stavku 2. te Uredbe sadržava sljedeće podatke, kako je navedeno u dijelu B Priloga I. toj Uredbi:</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izjavu da je postupak recikliranja odobren, s naznakom broja registra EZ-a odobrenog postupka recikliranja;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izjavu da su ulazna plastika, postupak recikliranja i reciklirana plastika u skladu sa specifikacijama na temelju kojih je izdano odobrenje;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izjavu da se sustav osiguranja kvalitete provodi u skladu s odjeljkom B Priloga Uredbi Komisije (EZ) 2023/2006 od 22. prosinca 2006. o dobroj proizvođačkoj praksi za materijale i predmete koji dolaze u dodir s hranom.</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 Izjava o sukladnosti za materijal od reciklirane plastike namijenjen proizvodnji drugih proizvoda</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Proizvođač/uvoznik materijala</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Naziv:</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Adresa:</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Osoba za kontakt:</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Telefon:</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E-pošta:</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Registracijski broj u Registru proizvodnje i gospodarenja otpadom:</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Vrsta materijala od reciklirane plastike (</w:t>
            </w:r>
            <w:r>
              <w:rPr>
                <w:rFonts w:ascii="Arial" w:hAnsi="Arial"/>
                <w:i/>
                <w:sz w:val="20"/>
              </w:rPr>
              <w:t>navesti):</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(polietilen visoke gustoće)</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(polietilen niske gustoće)</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(poli (etilen tereftalat))</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(polipropilen)</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(polistiren)</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(poli(vinil klorid))</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(ekspandirani polistiren)</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Ostalo (</w:t>
            </w:r>
            <w:r>
              <w:rPr>
                <w:rFonts w:ascii="Arial" w:hAnsi="Arial"/>
                <w:i/>
                <w:sz w:val="20"/>
              </w:rPr>
              <w:t>navesti</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Sadržaj neplastičnih komponenti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Serijski broj i količina (u tonama):</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Ova pošiljka ispunjava kriterije iz članka 3. Ministarske odluke o utvrđivanju kriterija na temelju kojih se utvrđuje kada otpadna plastika koja se podvrgava mehaničkoj obradi i koja je namijenjena proizvodnji plastičnih proizvoda prestaje biti otpad u skladu sa Zakonom 7/2022 od 8. travnja o otpadu i onečišćenim tlima za kružno gospodarstvo.</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U pogledu ove pošiljke zajamčena je sljedivost od točke nastanka otpada, što se može dokazati i dokumentirati, u skladu s člankom 8. Ministarske odluke o utvrđivanju kriterija na temelju kojih se utvrđuje kada otpadna plastika koja se podvrgava mehaničkoj obradi i koja je namijenjena proizvodnji plastičnih proizvoda prestaje biti otpad u skladu sa Zakonom 7/2022 od 8. travnja o otpadu i onečišćenim tlima za kružno gospodarstvo.</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Proizvođač materijala provodi sustav upravljanja u skladu s člankom 6. Ministarske odluke o utvrđivanju kriterija na temelju kojih se utvrđuje kada otpadna plastika koja se podvrgava mehaničkoj obradi i koja je namijenjena proizvodnji plastičnih proizvoda prestaje biti otpad u skladu sa Zakonom 7/2022 od 8. travnja o onečišćenom otpadu i tlima za kružno gospodarstvo.</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Materijal ove pošiljke namijenjen je za uporabu isključivo u sektoru prerade plastike izravnom prodajom ili putem trgovačkog zastupnika/distributera.</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odabrati jednu od opcija</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Pošiljka je u skladu sa sljedećom tehničkom normom: (</w:t>
            </w:r>
            <w:r>
              <w:rPr>
                <w:rFonts w:ascii="Arial" w:hAnsi="Arial"/>
                <w:i/>
                <w:sz w:val="20"/>
              </w:rPr>
              <w:t>navesti broj</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Pošiljka je u skladu s tehničkim specifikacijama koje zahtijeva ciljna industrija.</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Materijal u ovoj pošiljci nije klasificiran kao opasan, kako je utvrđeno u kriterijima Uredbe (EZ) 1272/2008</w:t>
            </w:r>
            <w:r w:rsidR="00440EB5">
              <w:rPr>
                <w:rStyle w:val="FootnoteReference"/>
                <w:rFonts w:ascii="Arial" w:hAnsi="Arial" w:cs="Arial"/>
                <w:sz w:val="20"/>
                <w:szCs w:val="20"/>
              </w:rPr>
              <w:footnoteReference w:id="2"/>
            </w:r>
            <w:r>
              <w:rPr>
                <w:rFonts w:ascii="Arial" w:hAnsi="Arial"/>
                <w:sz w:val="20"/>
              </w:rPr>
              <w:t xml:space="preserve"> (Uredba CLP), u skladu je s odredbama koje se odnose na stavljanje na tržište posebno zabrinjavajućih tvari, kao i s ograničenjima iz Priloga XVII. Uredbi (EZ) br. 1907/2006 i</w:t>
            </w:r>
            <w:r w:rsidR="00440EB5">
              <w:rPr>
                <w:rStyle w:val="FootnoteReference"/>
                <w:rFonts w:ascii="Arial" w:hAnsi="Arial" w:cs="Arial"/>
                <w:sz w:val="20"/>
                <w:szCs w:val="20"/>
              </w:rPr>
              <w:footnoteReference w:id="3"/>
            </w:r>
            <w:r>
              <w:rPr>
                <w:rFonts w:ascii="Arial" w:hAnsi="Arial"/>
                <w:sz w:val="20"/>
              </w:rPr>
              <w:t xml:space="preserve"> (Uredba REACH) i zabranama ili ograničenjima uporabe i stavljanja </w:t>
            </w:r>
            <w:r>
              <w:rPr>
                <w:rFonts w:ascii="Arial" w:hAnsi="Arial"/>
                <w:sz w:val="20"/>
              </w:rPr>
              <w:lastRenderedPageBreak/>
              <w:t>na tržište postojanih organskih onečišćujućih tvari uvedenima člankom 3. Uredbe (EU) 2019/1021 i</w:t>
            </w:r>
            <w:r w:rsidR="00440EB5">
              <w:rPr>
                <w:rStyle w:val="FootnoteReference"/>
                <w:rFonts w:ascii="Arial" w:hAnsi="Arial" w:cs="Arial"/>
                <w:sz w:val="20"/>
                <w:szCs w:val="20"/>
              </w:rPr>
              <w:footnoteReference w:id="4"/>
            </w:r>
            <w:r>
              <w:rPr>
                <w:rFonts w:ascii="Arial" w:hAnsi="Arial"/>
                <w:sz w:val="20"/>
              </w:rPr>
              <w:t xml:space="preserve"> (Uredba o postojanim organskim onečišćujućim tvarima).</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Izjava proizvođača/uvoznika mehanički obrađene otpadne plastike koja prestaje biti otpad u skladu sa Zakonom 7/2022 od 8. travnja o otpadu i onečišćenim tlima za kružno gospodarstvo.</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Izjavljujem da su, koliko mi je poznato, prethodno navedene informacije točne i potpune.</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Ime, datum, potpis.</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PRILOG IV.</w:t>
      </w:r>
    </w:p>
    <w:p w14:paraId="44AD12A1" w14:textId="28FB853F" w:rsidR="00B30FE7" w:rsidRDefault="00B30FE7" w:rsidP="003361AE">
      <w:pPr>
        <w:jc w:val="center"/>
        <w:rPr>
          <w:rFonts w:ascii="Arial" w:hAnsi="Arial" w:cs="Arial"/>
          <w:b/>
          <w:sz w:val="20"/>
          <w:szCs w:val="20"/>
        </w:rPr>
      </w:pPr>
      <w:r>
        <w:rPr>
          <w:rFonts w:ascii="Arial" w:hAnsi="Arial"/>
          <w:b/>
          <w:sz w:val="20"/>
        </w:rPr>
        <w:t>Smjernice o primjeni Uredbe o postojanim organskim onečišćujućim tvarima</w:t>
      </w:r>
      <w:r>
        <w:rPr>
          <w:rStyle w:val="Ancladenotafinal"/>
          <w:rFonts w:ascii="Arial" w:hAnsi="Arial" w:cs="Arial"/>
          <w:b/>
          <w:sz w:val="20"/>
          <w:szCs w:val="20"/>
        </w:rPr>
        <w:endnoteReference w:id="1"/>
      </w:r>
      <w:r>
        <w:rPr>
          <w:rFonts w:ascii="Arial" w:hAnsi="Arial"/>
          <w:b/>
          <w:sz w:val="20"/>
        </w:rPr>
        <w:t xml:space="preserve"> na otpadnu plastiku</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7C90ACAF">
                <wp:simplePos x="0" y="0"/>
                <wp:positionH relativeFrom="column">
                  <wp:posOffset>2980055</wp:posOffset>
                </wp:positionH>
                <wp:positionV relativeFrom="paragraph">
                  <wp:posOffset>2255632</wp:posOffset>
                </wp:positionV>
                <wp:extent cx="1918447" cy="291353"/>
                <wp:effectExtent l="0" t="0" r="24765" b="13970"/>
                <wp:wrapNone/>
                <wp:docPr id="11" name="Text Box 11"/>
                <wp:cNvGraphicFramePr/>
                <a:graphic xmlns:a="http://schemas.openxmlformats.org/drawingml/2006/main">
                  <a:graphicData uri="http://schemas.microsoft.com/office/word/2010/wordprocessingShape">
                    <wps:wsp>
                      <wps:cNvSpPr txBox="1"/>
                      <wps:spPr>
                        <a:xfrm>
                          <a:off x="0" y="0"/>
                          <a:ext cx="1918447" cy="291353"/>
                        </a:xfrm>
                        <a:prstGeom prst="rect">
                          <a:avLst/>
                        </a:prstGeom>
                        <a:solidFill>
                          <a:schemeClr val="lt1"/>
                        </a:solidFill>
                        <a:ln w="6350">
                          <a:solidFill>
                            <a:prstClr val="black"/>
                          </a:solidFill>
                        </a:ln>
                      </wps:spPr>
                      <wps:txbx>
                        <w:txbxContent>
                          <w:p w14:paraId="3834AA7E" w14:textId="77777777" w:rsidR="006C161B" w:rsidRDefault="00906DFD" w:rsidP="006C161B">
                            <w:pPr>
                              <w:jc w:val="center"/>
                              <w:rPr>
                                <w:sz w:val="13"/>
                                <w:szCs w:val="13"/>
                              </w:rPr>
                            </w:pPr>
                            <w:r>
                              <w:rPr>
                                <w:sz w:val="13"/>
                              </w:rPr>
                              <w:t xml:space="preserve">Spaljivanje/Vrednovanje energije </w:t>
                            </w:r>
                          </w:p>
                          <w:p w14:paraId="71F47356" w14:textId="553DA01F" w:rsidR="00906DFD" w:rsidRPr="006C161B" w:rsidRDefault="006C161B" w:rsidP="006C161B">
                            <w:pPr>
                              <w:jc w:val="center"/>
                              <w:rPr>
                                <w:sz w:val="13"/>
                                <w:szCs w:val="13"/>
                              </w:rPr>
                            </w:pPr>
                            <w:r>
                              <w:rPr>
                                <w:sz w:val="13"/>
                              </w:rPr>
                              <w:t>(provedba dijela 1. Priloga V. Uredbe o postojanim organskim onečišćujućim tvarima)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65pt;margin-top:177.6pt;width:151.05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" fillcolor="white [3201]" strokeweight=".5pt">
                <v:textbox>
                  <w:txbxContent>
                    <w:p w14:paraId="3834AA7E" w14:textId="77777777" w:rsidR="006C161B" w:rsidRDefault="00906DFD" w:rsidP="006C161B">
                      <w:pPr>
                        <w:jc w:val="center"/>
                        <w:rPr>
                          <w:sz w:val="13"/>
                          <w:szCs w:val="13"/>
                        </w:rPr>
                      </w:pPr>
                      <w:r>
                        <w:rPr>
                          <w:sz w:val="13"/>
                        </w:rPr>
                        <w:t xml:space="preserve">Spaljivanje/Vrednovanje energije </w:t>
                      </w:r>
                    </w:p>
                    <w:p w14:paraId="71F47356" w14:textId="553DA01F" w:rsidR="00906DFD" w:rsidRPr="006C161B" w:rsidRDefault="006C161B" w:rsidP="006C161B">
                      <w:pPr>
                        <w:jc w:val="center"/>
                        <w:rPr>
                          <w:sz w:val="13"/>
                          <w:szCs w:val="13"/>
                        </w:rPr>
                      </w:pPr>
                      <w:r>
                        <w:rPr>
                          <w:sz w:val="13"/>
                        </w:rPr>
                        <w:t>(provedba dijela 1. Priloga V. Uredbe o postojanim organskim onečišćujućim tvarima)</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nije </w:t>
                            </w:r>
                            <w:r>
                              <w:rPr>
                                <w:sz w:val="12"/>
                              </w:rPr>
                              <w:t>moguće utvrditi koncentraciju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nije </w:t>
                      </w:r>
                      <w:r>
                        <w:rPr>
                          <w:sz w:val="12"/>
                        </w:rPr>
                        <w:t>moguće utvrditi koncentraciju</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Postojane </w:t>
                            </w:r>
                            <w:r>
                              <w:rPr>
                                <w:sz w:val="12"/>
                              </w:rPr>
                              <w:t>organske onečišćujuće tvari &gt; ograničenje utvrđeno u Prilogu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Postojane </w:t>
                      </w:r>
                      <w:r>
                        <w:rPr>
                          <w:sz w:val="12"/>
                        </w:rPr>
                        <w:t>organske onečišćujuće tvari &gt; ograničenje utvrđeno u Prilogu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Postojane </w:t>
                            </w:r>
                            <w:r>
                              <w:rPr>
                                <w:sz w:val="12"/>
                              </w:rPr>
                              <w:t>organske onečišćujuće tvari &lt; ograničenje utvrđeno u Prilogu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Postojane </w:t>
                      </w:r>
                      <w:r>
                        <w:rPr>
                          <w:sz w:val="12"/>
                        </w:rPr>
                        <w:t>organske onečišćujuće tvari &lt; ograničenje utvrđeno u Prilogu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906DFD" w:rsidRDefault="00906DFD" w:rsidP="00906DFD">
                            <w:pPr>
                              <w:jc w:val="center"/>
                              <w:rPr>
                                <w:sz w:val="12"/>
                                <w:szCs w:val="12"/>
                              </w:rPr>
                            </w:pPr>
                            <w:r>
                              <w:rPr>
                                <w:sz w:val="12"/>
                              </w:rPr>
                              <w:t xml:space="preserve">Oporaba </w:t>
                            </w:r>
                            <w:r>
                              <w:rPr>
                                <w:sz w:val="12"/>
                              </w:rPr>
                              <w:t>materijala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906DFD" w:rsidRDefault="00906DFD" w:rsidP="00906DFD">
                      <w:pPr>
                        <w:jc w:val="center"/>
                        <w:rPr>
                          <w:sz w:val="12"/>
                          <w:szCs w:val="12"/>
                        </w:rPr>
                      </w:pPr>
                      <w:r>
                        <w:rPr>
                          <w:sz w:val="12"/>
                        </w:rPr>
                        <w:t xml:space="preserve">Oporaba </w:t>
                      </w:r>
                      <w:r>
                        <w:rPr>
                          <w:sz w:val="12"/>
                        </w:rPr>
                        <w:t>materijala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1A0796" w:rsidRDefault="00906DFD" w:rsidP="00906DFD">
                            <w:pPr>
                              <w:jc w:val="center"/>
                              <w:rPr>
                                <w:sz w:val="12"/>
                                <w:szCs w:val="12"/>
                              </w:rPr>
                            </w:pPr>
                            <w:r w:rsidRPr="001A0796">
                              <w:rPr>
                                <w:sz w:val="12"/>
                                <w:szCs w:val="12"/>
                              </w:rPr>
                              <w:t xml:space="preserve">Uz </w:t>
                            </w:r>
                            <w:r w:rsidRPr="001A0796">
                              <w:rPr>
                                <w:sz w:val="12"/>
                                <w:szCs w:val="12"/>
                              </w:rPr>
                              <w:t>prisustvo postojanih organskih onečišćujućih tvari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1A0796" w:rsidRDefault="00906DFD" w:rsidP="00906DFD">
                      <w:pPr>
                        <w:jc w:val="center"/>
                        <w:rPr>
                          <w:sz w:val="12"/>
                          <w:szCs w:val="12"/>
                        </w:rPr>
                      </w:pPr>
                      <w:r w:rsidRPr="001A0796">
                        <w:rPr>
                          <w:sz w:val="12"/>
                          <w:szCs w:val="12"/>
                        </w:rPr>
                        <w:t xml:space="preserve">Uz </w:t>
                      </w:r>
                      <w:r w:rsidRPr="001A0796">
                        <w:rPr>
                          <w:sz w:val="12"/>
                          <w:szCs w:val="12"/>
                        </w:rPr>
                        <w:t>prisustvo postojanih organskih onečišćujućih tvari</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Bez </w:t>
                            </w:r>
                            <w:r>
                              <w:rPr>
                                <w:sz w:val="10"/>
                              </w:rPr>
                              <w:t>postojanih organskih onečišćujućih tvari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8D912"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Bez </w:t>
                      </w:r>
                      <w:r>
                        <w:rPr>
                          <w:sz w:val="10"/>
                        </w:rPr>
                        <w:t>postojanih organskih onečišćujućih tvari</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Podskup </w:t>
                            </w:r>
                            <w:r>
                              <w:rPr>
                                <w:sz w:val="12"/>
                              </w:rPr>
                              <w:t>plastike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Podskup </w:t>
                      </w:r>
                      <w:r>
                        <w:rPr>
                          <w:sz w:val="12"/>
                        </w:rPr>
                        <w:t>plastike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OTPADNA </w:t>
                            </w:r>
                            <w:r>
                              <w:rPr>
                                <w:rFonts w:ascii="Arial" w:hAnsi="Arial"/>
                                <w:sz w:val="12"/>
                              </w:rPr>
                              <w:t>PLASTIKA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OTPADNA </w:t>
                      </w:r>
                      <w:r>
                        <w:rPr>
                          <w:rFonts w:ascii="Arial" w:hAnsi="Arial"/>
                          <w:sz w:val="12"/>
                        </w:rPr>
                        <w:t>PLASTIKA</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31C8" w14:textId="77777777" w:rsidR="0086004C" w:rsidRDefault="0086004C">
      <w:r>
        <w:separator/>
      </w:r>
    </w:p>
  </w:endnote>
  <w:endnote w:type="continuationSeparator" w:id="0">
    <w:p w14:paraId="767DDE28" w14:textId="77777777" w:rsidR="0086004C" w:rsidRDefault="0086004C">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Obrade iz dijela 1. Priloga V. Uredbi</w:t>
      </w:r>
      <w:r>
        <w:rPr>
          <w:rFonts w:ascii="Arial" w:hAnsi="Arial"/>
        </w:rPr>
        <w:t xml:space="preserve"> </w:t>
      </w:r>
      <w:r>
        <w:rPr>
          <w:rFonts w:ascii="Arial" w:hAnsi="Arial"/>
          <w:sz w:val="16"/>
        </w:rPr>
        <w:t xml:space="preserve">(EU) 2019/1021 Europskog parlamenta i Vijeća od 20. lipnja 2019. o postojanim organskim onečišćujućim tvarima koje se primjenjuju na tok otpadne plastike jesu sljedeći: </w:t>
      </w:r>
    </w:p>
    <w:p w14:paraId="727FCC63" w14:textId="77777777" w:rsidR="0024204A" w:rsidRDefault="0024204A" w:rsidP="00B30FE7">
      <w:pPr>
        <w:rPr>
          <w:rFonts w:ascii="Arial" w:eastAsia="Calibri" w:hAnsi="Arial" w:cs="Arial"/>
          <w:sz w:val="16"/>
          <w:szCs w:val="16"/>
        </w:rPr>
      </w:pPr>
      <w:r>
        <w:rPr>
          <w:rFonts w:ascii="Arial" w:hAnsi="Arial"/>
          <w:sz w:val="16"/>
        </w:rPr>
        <w:t>D 9 Fizikalno-kemijska obrada</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Spaljivanje na kopnu</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Korištenje otpada uglavnom kao goriva ili drugog načina dobivanja energije, isključujući otpad koji sadržava PCB-ove</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24B3" w14:textId="77777777" w:rsidR="0086004C" w:rsidRDefault="0086004C">
      <w:r>
        <w:separator/>
      </w:r>
    </w:p>
  </w:footnote>
  <w:footnote w:type="continuationSeparator" w:id="0">
    <w:p w14:paraId="0C9E6EB5" w14:textId="77777777" w:rsidR="0086004C" w:rsidRDefault="0086004C">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U Komunikaciji Komisije 2018/C 124/01 navodi se da EWC 19 12 04 može potjecati iz postrojenja za obradu OEEO-a, kao i iz drugih postrojenja koja obavljaju mehaničku obradu.</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Otpadna plastika (ili podskupovi dobiveni od plastike) koja sadržava postojane organske onečišćujuće tvari u koncentracijama iznad propisane granične vrijednosti utvrđene u skladu s odredbama Uredbe (EU) 2019/1021 o postojanim organskim onečišćujućim tvarima nije prihvatljiva.</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Podskupovi plastike dobiveni iz postrojenja za mehaničku obradu otpada namijenjeni za postizanje statusa prestanka statusa otpada procjenjuju se kako bi se utvrdila njihova opasna svojstva. EWC 19 12 04 može se dodijeliti podskupovima plastike samo ako nisu potvrđena opasna svojstva. Za podskupove plastike dobivene u postrojenjima koja ne jamče neopasnu narav otpada primjenjuje se oznaka 19 12 11* Ostali otpad (uključujući mješavine materijala) od mehaničke obrade otpada, koji sadržava opasne tvari. Taj kriterij razlikovanja dviju navedenih oznaka EWC-a primjenjuje se u svim postrojenjima za mehaničku obradu, bez obzira na podrijetlo otpada koji se obrađuje u njima.</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Uredba </w:t>
      </w:r>
      <w:r>
        <w:rPr>
          <w:rFonts w:ascii="Arial" w:hAnsi="Arial"/>
          <w:sz w:val="14"/>
        </w:rPr>
        <w:t>(EZ) br. 1272/2008 Europskog parlamenta i Vijeća od 16. prosinca 2008. o razvrstavanju, označivanju i pakiranju tvari i smjesa, o izmjeni i stavljanju izvan snage Direktive 67/548/EEZ i Direktive 1999/45/EZ i o izmjeni Uredbe (EZ) br.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Uredba </w:t>
      </w:r>
      <w:r>
        <w:rPr>
          <w:rFonts w:ascii="Arial" w:hAnsi="Arial"/>
          <w:sz w:val="14"/>
        </w:rPr>
        <w:t>(EZ) 1907/2006 Europskog parlamenta i Vijeća od 18. prosinca 2006. o registraciji, evaluaciji, autorizaciji i ograničavanju kemikalija (REACH) i osnivanju Europske agencije za tvari i kemikalije te o izmjeni Direktive 1999/45/EZ i stavljanju izvan snage Uredbe Vijeća (EEZ) 793/93 i Uredbe Komisije (EZ) 1488/94, Direktive Vijeća 76/769/EEZ i direktiva Komisije 91/155/EEZ, 93/67/EEZ, 93/105/EZ i 2000/21/EZ.</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Uredba (EU) </w:t>
      </w:r>
      <w:r>
        <w:rPr>
          <w:rFonts w:ascii="Arial" w:hAnsi="Arial"/>
          <w:sz w:val="14"/>
        </w:rPr>
        <w:t>2019/1021 Europskog parlamenta i Vijeća od 20. lipnja 2019. o postojanim organskim onečišćujućim tvarima.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43.4pt" filled="t">
                <v:fill opacity="0" color2="black"/>
                <v:imagedata r:id="rId1" o:title="" croptop="-11f" cropbottom="-11f" cropleft="-11f" cropright="-11f"/>
              </v:shape>
              <o:OLEObject Type="Embed" ProgID="PBrush" ShapeID="_x0000_i1025" DrawAspect="Content" ObjectID="_1716992489"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MINISTARSTVO</w:t>
          </w:r>
          <w:r>
            <w:rPr>
              <w:rFonts w:ascii="Arial" w:hAnsi="Arial"/>
              <w:sz w:val="16"/>
            </w:rPr>
            <w:br/>
            <w:t>EKOLOŠKE TRANZICIJE</w:t>
          </w:r>
          <w:r>
            <w:rPr>
              <w:rFonts w:ascii="Arial" w:hAnsi="Arial"/>
              <w:sz w:val="16"/>
            </w:rPr>
            <w:br/>
            <w:t>I DEMOGRAFSKIH PROMJENA</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DRŽAVNO TAJNIŠTVO</w:t>
          </w:r>
          <w:r>
            <w:rPr>
              <w:rFonts w:ascii="Arial" w:hAnsi="Arial"/>
              <w:sz w:val="14"/>
            </w:rPr>
            <w:br/>
            <w:t>ZA OKOLIŠ</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GLAVNA UPRAVA</w:t>
          </w:r>
          <w:r>
            <w:rPr>
              <w:rFonts w:ascii="Arial" w:hAnsi="Arial"/>
              <w:sz w:val="14"/>
            </w:rPr>
            <w:br/>
            <w:t xml:space="preserve">ZA KVALITETU I PROCJENU OKOLIŠA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A0796"/>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hr-HR"/>
    </w:rPr>
  </w:style>
  <w:style w:type="character" w:customStyle="1" w:styleId="Ttulo2Car">
    <w:name w:val="Título 2 Car"/>
    <w:rPr>
      <w:rFonts w:ascii="Cambria" w:hAnsi="Cambria" w:cs="Cambria"/>
      <w:b/>
      <w:bCs/>
      <w:i/>
      <w:iCs/>
      <w:sz w:val="28"/>
      <w:szCs w:val="28"/>
      <w:lang w:val="hr-HR"/>
    </w:rPr>
  </w:style>
  <w:style w:type="character" w:customStyle="1" w:styleId="Ttulo3Car">
    <w:name w:val="Título 3 Car"/>
    <w:rPr>
      <w:rFonts w:ascii="Cambria" w:hAnsi="Cambria" w:cs="Cambria"/>
      <w:b/>
      <w:bCs/>
      <w:sz w:val="26"/>
      <w:szCs w:val="26"/>
      <w:lang w:val="hr-HR"/>
    </w:rPr>
  </w:style>
  <w:style w:type="character" w:customStyle="1" w:styleId="Ttulo4Car">
    <w:name w:val="Título 4 Car"/>
    <w:rPr>
      <w:rFonts w:ascii="Calibri" w:hAnsi="Calibri" w:cs="Calibri"/>
      <w:b/>
      <w:bCs/>
      <w:sz w:val="28"/>
      <w:szCs w:val="28"/>
      <w:lang w:val="hr-HR"/>
    </w:rPr>
  </w:style>
  <w:style w:type="character" w:customStyle="1" w:styleId="Ttulo5Car">
    <w:name w:val="Título 5 Car"/>
    <w:rPr>
      <w:rFonts w:ascii="Calibri" w:hAnsi="Calibri" w:cs="Calibri"/>
      <w:b/>
      <w:bCs/>
      <w:i/>
      <w:iCs/>
      <w:sz w:val="26"/>
      <w:szCs w:val="26"/>
      <w:lang w:val="hr-HR"/>
    </w:rPr>
  </w:style>
  <w:style w:type="character" w:customStyle="1" w:styleId="Ttulo6Car">
    <w:name w:val="Título 6 Car"/>
    <w:rPr>
      <w:rFonts w:ascii="Calibri" w:hAnsi="Calibri" w:cs="Calibri"/>
      <w:b/>
      <w:bCs/>
      <w:lang w:val="hr-HR"/>
    </w:rPr>
  </w:style>
  <w:style w:type="character" w:customStyle="1" w:styleId="Ttulo7Car">
    <w:name w:val="Título 7 Car"/>
    <w:rPr>
      <w:rFonts w:ascii="Calibri" w:hAnsi="Calibri" w:cs="Calibri"/>
      <w:sz w:val="24"/>
      <w:szCs w:val="24"/>
      <w:lang w:val="hr-HR"/>
    </w:rPr>
  </w:style>
  <w:style w:type="character" w:customStyle="1" w:styleId="Ttulo8Car">
    <w:name w:val="Título 8 Car"/>
    <w:rPr>
      <w:rFonts w:ascii="Calibri" w:hAnsi="Calibri" w:cs="Calibri"/>
      <w:i/>
      <w:iCs/>
      <w:sz w:val="24"/>
      <w:szCs w:val="24"/>
      <w:lang w:val="hr-HR"/>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hr-HR"/>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hr-HR"/>
    </w:rPr>
  </w:style>
  <w:style w:type="character" w:customStyle="1" w:styleId="AsuntodelcomentarioCar">
    <w:name w:val="Asunto del comentario Car"/>
    <w:rPr>
      <w:rFonts w:cs="Times New Roman"/>
      <w:b/>
      <w:bCs/>
      <w:sz w:val="20"/>
      <w:szCs w:val="20"/>
      <w:lang w:val="hr-HR"/>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hr-HR"/>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hr-HR" w:eastAsia="zh-CN"/>
    </w:rPr>
  </w:style>
  <w:style w:type="character" w:customStyle="1" w:styleId="CommentSubjectChar">
    <w:name w:val="Comment Subject Char"/>
    <w:rPr>
      <w:b/>
      <w:bCs/>
      <w:lang w:val="hr-HR" w:eastAsia="zh-CN"/>
    </w:rPr>
  </w:style>
  <w:style w:type="character" w:customStyle="1" w:styleId="BalloonTextChar">
    <w:name w:val="Balloon Text Char"/>
    <w:rPr>
      <w:rFonts w:ascii="Tahoma" w:hAnsi="Tahoma" w:cs="Tahoma"/>
      <w:sz w:val="16"/>
      <w:szCs w:val="16"/>
      <w:lang w:val="hr-HR"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7696</Words>
  <Characters>43869</Characters>
  <Application>Microsoft Office Word</Application>
  <DocSecurity>0</DocSecurity>
  <Lines>365</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51463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2022-06-17T14:35:00Z</dcterms:modified>
</cp:coreProperties>
</file>