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37F2" w14:textId="77777777" w:rsidR="0099057F" w:rsidRDefault="00A746B8">
      <w:pPr>
        <w:pStyle w:val="Heading1"/>
        <w:tabs>
          <w:tab w:val="center" w:pos="1992"/>
          <w:tab w:val="center" w:pos="6748"/>
        </w:tabs>
        <w:spacing w:after="106" w:line="259" w:lineRule="auto"/>
        <w:ind w:left="0" w:firstLine="0"/>
        <w:jc w:val="left"/>
      </w:pPr>
      <w:r>
        <w:rPr>
          <w:rFonts w:ascii="Calibri" w:hAnsi="Calibri"/>
          <w:b w:val="0"/>
          <w:sz w:val="22"/>
        </w:rPr>
        <w:tab/>
      </w:r>
      <w:r>
        <w:t xml:space="preserve">DEN FRANSKE REPUBLIK </w:t>
      </w:r>
      <w:r>
        <w:tab/>
        <w:t xml:space="preserve"> </w:t>
      </w:r>
    </w:p>
    <w:p w14:paraId="40D01A07" w14:textId="77777777" w:rsidR="0099057F" w:rsidRDefault="00A746B8">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335BC632" wp14:editId="62CF410E">
                <wp:extent cx="615696" cy="1524"/>
                <wp:effectExtent l="0" t="0" r="0" b="0"/>
                <wp:docPr id="7701" name="Group 7701"/>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2" name="Shape 10272"/>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AD531B" id="Group 7701"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">
                <v:shape id="Shape 10272"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DGsMA&#10;AADeAAAADwAAAGRycy9kb3ducmV2LnhtbERP24rCMBB9F/Yfwgj7pqll0d1qFFmRFX3Y9fIBQzO2&#10;wWZSmmi7f28Ewbc5nOvMFp2txI0abxwrGA0TEMS504YLBafjevAJwgdkjZVjUvBPHhbzt94MM+1a&#10;3tPtEAoRQ9hnqKAMoc6k9HlJFv3Q1cSRO7vGYoiwKaRusI3htpJpkoylRcOxocSavkvKL4erVbDH&#10;0cfvz3G1/Dq37k8bs91d/Vap9363nIII1IWX+One6Dg/SScp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DGsMAAADeAAAADwAAAAAAAAAAAAAAAACYAgAAZHJzL2Rv&#10;d25yZXYueG1sUEsFBgAAAAAEAAQA9QAAAIgDAAAAAA==&#10;" path="m,l615696,r,9144l,9144,,e" fillcolor="black" stroked="f" strokeweight="0">
                  <v:stroke miterlimit="83231f" joinstyle="miter"/>
                  <v:path arrowok="t" textboxrect="0,0,615696,9144"/>
                </v:shape>
                <w10:anchorlock/>
              </v:group>
            </w:pict>
          </mc:Fallback>
        </mc:AlternateContent>
      </w:r>
      <w:r>
        <w:t xml:space="preserve"> </w:t>
      </w:r>
      <w:r>
        <w:tab/>
        <w:t xml:space="preserve"> </w:t>
      </w:r>
    </w:p>
    <w:p w14:paraId="0A835397" w14:textId="77777777" w:rsidR="0099057F" w:rsidRDefault="00111F4C">
      <w:pPr>
        <w:spacing w:after="100"/>
      </w:pPr>
      <w:r>
        <w:t>Ministeriet for økonomi, finans og genopretning</w:t>
      </w:r>
    </w:p>
    <w:p w14:paraId="6B2A818C" w14:textId="77777777" w:rsidR="0099057F" w:rsidRDefault="00A746B8">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3FFAE92" wp14:editId="42D8F3E0">
                <wp:extent cx="615696" cy="1524"/>
                <wp:effectExtent l="0" t="0" r="0" b="0"/>
                <wp:docPr id="7702" name="Group 7702"/>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3" name="Shape 10273"/>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1A1CD0" id="Group 7702"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">
                <v:shape id="Shape 10273"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mgcUA&#10;AADeAAAADwAAAGRycy9kb3ducmV2LnhtbERPzWrCQBC+C32HZQq9NRutWE1dRVpKix6qxgcYspNk&#10;aXY2ZFcT374rFLzNx/c7y/VgG3GhzhvHCsZJCoK4cNpwpeCUfz7PQfiArLFxTAqu5GG9ehgtMdOu&#10;5wNdjqESMYR9hgrqENpMSl/UZNEnriWOXOk6iyHCrpK6wz6G20ZO0nQmLRqODTW29F5T8Xs8WwUH&#10;HE9/vvKPzaLs3V4bs92d/Vapp8dh8wYi0BDu4n/3t47z08nrC9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aBxQAAAN4AAAAPAAAAAAAAAAAAAAAAAJgCAABkcnMv&#10;ZG93bnJldi54bWxQSwUGAAAAAAQABAD1AAAAigMAAAAA&#10;" path="m,l615696,r,9144l,9144,,e" fillcolor="black" stroked="f" strokeweight="0">
                  <v:stroke miterlimit="83231f" joinstyle="miter"/>
                  <v:path arrowok="t" textboxrect="0,0,615696,9144"/>
                </v:shape>
                <w10:anchorlock/>
              </v:group>
            </w:pict>
          </mc:Fallback>
        </mc:AlternateContent>
      </w:r>
      <w:r>
        <w:t xml:space="preserve"> </w:t>
      </w:r>
      <w:r>
        <w:tab/>
        <w:t xml:space="preserve"> </w:t>
      </w:r>
    </w:p>
    <w:p w14:paraId="58B8D2D1" w14:textId="77777777" w:rsidR="0099057F" w:rsidRDefault="00A746B8">
      <w:pPr>
        <w:spacing w:after="0" w:line="259" w:lineRule="auto"/>
        <w:ind w:left="58" w:firstLine="0"/>
        <w:jc w:val="left"/>
      </w:pPr>
      <w:r>
        <w:t xml:space="preserve"> </w:t>
      </w:r>
      <w:r>
        <w:tab/>
        <w:t xml:space="preserve"> </w:t>
      </w:r>
      <w:r>
        <w:tab/>
        <w:t xml:space="preserve"> </w:t>
      </w:r>
    </w:p>
    <w:p w14:paraId="457C789D" w14:textId="77777777" w:rsidR="00100C68" w:rsidRPr="00100C68" w:rsidRDefault="00A746B8" w:rsidP="00100C68">
      <w:pPr>
        <w:pStyle w:val="Heading1"/>
        <w:spacing w:after="174"/>
        <w:ind w:left="128" w:right="120"/>
        <w:rPr>
          <w:bCs/>
        </w:rPr>
      </w:pPr>
      <w:r>
        <w:t xml:space="preserve">Dekret nr. </w:t>
      </w:r>
      <w:r>
        <w:tab/>
        <w:t>af</w:t>
      </w:r>
      <w:r>
        <w:tab/>
        <w:t>om ændring af dekret nr. 92-307 af 31. marts 1992 om gennemførelse af artikel L. 412-1 i lov om forbrugerbeskyttelse for så vidt angår øl</w:t>
      </w:r>
    </w:p>
    <w:p w14:paraId="532BECF6" w14:textId="77777777" w:rsidR="0099057F" w:rsidRDefault="0099057F">
      <w:pPr>
        <w:pStyle w:val="Heading1"/>
        <w:spacing w:after="174"/>
        <w:ind w:left="128" w:right="120"/>
      </w:pPr>
    </w:p>
    <w:p w14:paraId="572E6F9C" w14:textId="77777777" w:rsidR="0099057F" w:rsidRDefault="00A746B8">
      <w:pPr>
        <w:spacing w:after="223" w:line="259" w:lineRule="auto"/>
        <w:ind w:left="10" w:right="5"/>
        <w:jc w:val="center"/>
      </w:pPr>
      <w:r>
        <w:t xml:space="preserve">NOR: ECO: </w:t>
      </w:r>
    </w:p>
    <w:p w14:paraId="2B7C9023" w14:textId="77777777" w:rsidR="0099057F" w:rsidRDefault="00A746B8">
      <w:pPr>
        <w:spacing w:after="261" w:line="259" w:lineRule="auto"/>
        <w:ind w:left="0" w:firstLine="0"/>
        <w:jc w:val="left"/>
      </w:pPr>
      <w:r>
        <w:rPr>
          <w:rFonts w:ascii="Arial" w:hAnsi="Arial"/>
          <w:i/>
          <w:sz w:val="20"/>
        </w:rPr>
        <w:t xml:space="preserve"> </w:t>
      </w:r>
    </w:p>
    <w:p w14:paraId="64B247BC"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Berørte parter</w:t>
      </w:r>
      <w:r>
        <w:rPr>
          <w:i/>
          <w:color w:val="auto"/>
          <w:sz w:val="22"/>
        </w:rPr>
        <w:t xml:space="preserve">: fagfolk inden for brygning, forbrugere. </w:t>
      </w:r>
    </w:p>
    <w:p w14:paraId="2676D9E8"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Formål</w:t>
      </w:r>
      <w:r>
        <w:rPr>
          <w:i/>
          <w:color w:val="auto"/>
          <w:sz w:val="22"/>
        </w:rPr>
        <w:t>: at gøre det obligatorisk at angive navnet på bryggeriet og stedet for brygning på øletiketter.</w:t>
      </w:r>
    </w:p>
    <w:p w14:paraId="38924E42"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bCs/>
          <w:i/>
          <w:color w:val="auto"/>
          <w:sz w:val="22"/>
        </w:rPr>
        <w:t>Ikrafttrædelse</w:t>
      </w:r>
      <w:r>
        <w:rPr>
          <w:i/>
          <w:color w:val="auto"/>
          <w:sz w:val="22"/>
        </w:rPr>
        <w:t xml:space="preserve">: teksten træder i kraft den 1. juli 2022. </w:t>
      </w:r>
    </w:p>
    <w:p w14:paraId="5FD0FD8F" w14:textId="77777777" w:rsidR="00FF2216"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Meddelelse</w:t>
      </w:r>
      <w:r>
        <w:rPr>
          <w:i/>
          <w:color w:val="auto"/>
          <w:sz w:val="22"/>
        </w:rPr>
        <w:t>: med henblik på anvendelsen af forbrugerlovens artikel L. 412-12 ændres dekret nr. 92-307 med hensyn til øl, og det gøres obligatorisk at angive bryggeriets navn og stedet for brygningen på øletiketter. Det præciseres, at fødevarevirksomhedslederens navn og adresse skal angives ved siden af bryggeriets navn og adresse, hvis fødevarevirksomhedslederen ikke er bryggeriet. Teksten definerer, hvordan disse oplysninger skal fremgå af produktetiketter.</w:t>
      </w:r>
    </w:p>
    <w:p w14:paraId="6F9C5101" w14:textId="371D076C"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Referencer</w:t>
      </w:r>
      <w:r>
        <w:rPr>
          <w:i/>
          <w:color w:val="auto"/>
          <w:sz w:val="22"/>
        </w:rPr>
        <w:t>: dette dekret er udstedt med henblik på anvendelse af artikel L.412-12 i lov om forbrugerbeskyttelse. Teksten kan ses på Légifrances hjemmeside —</w:t>
      </w:r>
      <w:hyperlink r:id="rId8">
        <w:r>
          <w:rPr>
            <w:i/>
            <w:color w:val="auto"/>
            <w:sz w:val="22"/>
          </w:rPr>
          <w:t xml:space="preserve"> </w:t>
        </w:r>
      </w:hyperlink>
      <w:hyperlink r:id="rId9">
        <w:r>
          <w:rPr>
            <w:i/>
            <w:color w:val="auto"/>
            <w:sz w:val="22"/>
          </w:rPr>
          <w:t>http://www.legifrance.gouv.fr</w:t>
        </w:r>
      </w:hyperlink>
      <w:hyperlink r:id="rId10">
        <w:r>
          <w:rPr>
            <w:i/>
            <w:color w:val="auto"/>
            <w:sz w:val="22"/>
          </w:rPr>
          <w:t>.</w:t>
        </w:r>
      </w:hyperlink>
      <w:r>
        <w:rPr>
          <w:i/>
          <w:color w:val="auto"/>
          <w:sz w:val="22"/>
        </w:rPr>
        <w:t xml:space="preserve"> </w:t>
      </w:r>
    </w:p>
    <w:p w14:paraId="5A77DA76" w14:textId="77777777" w:rsidR="00FF2216" w:rsidRPr="00FF2216" w:rsidRDefault="00FF2216" w:rsidP="00FF2216">
      <w:pPr>
        <w:spacing w:after="0" w:line="250" w:lineRule="auto"/>
        <w:ind w:left="-6" w:hanging="11"/>
        <w:rPr>
          <w:sz w:val="22"/>
        </w:rPr>
      </w:pPr>
    </w:p>
    <w:p w14:paraId="4304B6BC" w14:textId="77777777" w:rsidR="0099057F" w:rsidRDefault="00A746B8">
      <w:pPr>
        <w:pStyle w:val="Heading1"/>
        <w:spacing w:after="230" w:line="259" w:lineRule="auto"/>
        <w:ind w:left="-5"/>
        <w:jc w:val="left"/>
      </w:pPr>
      <w:r>
        <w:t xml:space="preserve">Premierministeren </w:t>
      </w:r>
    </w:p>
    <w:p w14:paraId="26E32A48" w14:textId="77777777" w:rsidR="0099057F" w:rsidRDefault="00A746B8" w:rsidP="001B4F2F">
      <w:pPr>
        <w:ind w:left="-5"/>
      </w:pPr>
      <w:r>
        <w:t xml:space="preserve">Om økonomi-, finans- og genopretningsministerens rapport </w:t>
      </w:r>
    </w:p>
    <w:p w14:paraId="73D9D9C7" w14:textId="77777777" w:rsidR="0099057F" w:rsidRDefault="0099057F">
      <w:pPr>
        <w:spacing w:after="0" w:line="259" w:lineRule="auto"/>
        <w:ind w:left="708" w:firstLine="0"/>
        <w:jc w:val="left"/>
      </w:pPr>
    </w:p>
    <w:p w14:paraId="0784AE64" w14:textId="56278762" w:rsidR="0099057F" w:rsidRDefault="00A746B8">
      <w:pPr>
        <w:ind w:left="-5"/>
      </w:pPr>
      <w:r>
        <w:t xml:space="preserve">Under henvisning til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særlig artikel 38 og 39, </w:t>
      </w:r>
    </w:p>
    <w:p w14:paraId="5EDB423E" w14:textId="4581A1C7" w:rsidR="006011F7" w:rsidRDefault="006011F7">
      <w:pPr>
        <w:ind w:left="-5"/>
      </w:pPr>
    </w:p>
    <w:p w14:paraId="1F7EDC89" w14:textId="2CBFDE6D" w:rsidR="0099057F" w:rsidRDefault="00A746B8">
      <w:pPr>
        <w:ind w:left="-5"/>
      </w:pPr>
      <w:r>
        <w:t>Under henvisning til forbrugerloven, særlig artikel L. 412-1 og L. 412-12,</w:t>
      </w:r>
      <w:r>
        <w:rPr>
          <w:rFonts w:asciiTheme="minorHAnsi" w:hAnsiTheme="minorHAnsi"/>
          <w:color w:val="auto"/>
          <w:sz w:val="22"/>
        </w:rPr>
        <w:t xml:space="preserve"> </w:t>
      </w:r>
      <w:r>
        <w:t xml:space="preserve">i dens affattelse som følge af lov nr. 2021-1357 af 18. oktober 2021, der har til formål at beskytte landbrugernes vederlag, </w:t>
      </w:r>
    </w:p>
    <w:p w14:paraId="60DF2C57" w14:textId="77777777" w:rsidR="00CC652F" w:rsidRDefault="00CC652F">
      <w:pPr>
        <w:ind w:left="-5"/>
      </w:pPr>
    </w:p>
    <w:p w14:paraId="3E6485B2" w14:textId="77777777" w:rsidR="001B4F2F" w:rsidRPr="001B4F2F" w:rsidRDefault="001B4F2F" w:rsidP="001B4F2F">
      <w:pPr>
        <w:ind w:left="-5"/>
        <w:rPr>
          <w:b/>
          <w:bCs/>
        </w:rPr>
      </w:pPr>
      <w:r>
        <w:t>Under henvisning til det ændrede dekret nr. 92-307 af 31. marts 1992 om gennemførelse af artikel L. 412-1 i lov om forbrugerbeskyttelse for så vidt angår øl,</w:t>
      </w:r>
    </w:p>
    <w:p w14:paraId="3169C72C" w14:textId="77777777" w:rsidR="0099057F" w:rsidRDefault="0099057F" w:rsidP="001B4F2F">
      <w:pPr>
        <w:spacing w:after="0" w:line="259" w:lineRule="auto"/>
        <w:ind w:left="0" w:firstLine="0"/>
        <w:jc w:val="left"/>
      </w:pPr>
    </w:p>
    <w:p w14:paraId="420A9DBA" w14:textId="77777777" w:rsidR="0099057F" w:rsidRDefault="00A746B8">
      <w:pPr>
        <w:ind w:left="-5"/>
      </w:pPr>
      <w:r>
        <w:t xml:space="preserve">Under henvisning til meddelelse nr. af...... til Europa-Kommissionen, </w:t>
      </w:r>
    </w:p>
    <w:p w14:paraId="2C51D1FF" w14:textId="77777777" w:rsidR="0099057F" w:rsidRDefault="00A746B8">
      <w:pPr>
        <w:spacing w:after="23" w:line="259" w:lineRule="auto"/>
        <w:ind w:left="708" w:firstLine="0"/>
        <w:jc w:val="left"/>
      </w:pPr>
      <w:r>
        <w:t xml:space="preserve"> </w:t>
      </w:r>
    </w:p>
    <w:p w14:paraId="59F1ECEA" w14:textId="77777777" w:rsidR="0099057F" w:rsidRDefault="00A746B8">
      <w:pPr>
        <w:ind w:left="-5"/>
      </w:pPr>
      <w:r>
        <w:t xml:space="preserve">Efter at have hørt Statsrådet (Finansafdelingen), </w:t>
      </w:r>
    </w:p>
    <w:p w14:paraId="311ABF93" w14:textId="77777777" w:rsidR="0099057F" w:rsidRDefault="00A746B8">
      <w:pPr>
        <w:spacing w:after="0" w:line="259" w:lineRule="auto"/>
        <w:ind w:left="0" w:firstLine="0"/>
        <w:jc w:val="left"/>
      </w:pPr>
      <w:r>
        <w:t xml:space="preserve"> </w:t>
      </w:r>
    </w:p>
    <w:p w14:paraId="0F4668C1" w14:textId="77777777" w:rsidR="0099057F" w:rsidRDefault="00A746B8" w:rsidP="006807E7">
      <w:pPr>
        <w:keepNext/>
        <w:spacing w:after="1" w:line="259" w:lineRule="auto"/>
        <w:ind w:left="130" w:right="125" w:hanging="11"/>
        <w:jc w:val="center"/>
      </w:pPr>
      <w:r>
        <w:rPr>
          <w:b/>
        </w:rPr>
        <w:lastRenderedPageBreak/>
        <w:t xml:space="preserve">Dekreteres hermed: </w:t>
      </w:r>
    </w:p>
    <w:p w14:paraId="1B2D74C7" w14:textId="77777777" w:rsidR="0099057F" w:rsidRDefault="00A746B8">
      <w:pPr>
        <w:spacing w:after="0" w:line="259" w:lineRule="auto"/>
        <w:ind w:left="55" w:firstLine="0"/>
        <w:jc w:val="center"/>
      </w:pPr>
      <w:r>
        <w:rPr>
          <w:b/>
        </w:rPr>
        <w:t xml:space="preserve"> </w:t>
      </w:r>
    </w:p>
    <w:p w14:paraId="39E5C6C4" w14:textId="33B60CF3" w:rsidR="0099057F" w:rsidRDefault="00A746B8">
      <w:pPr>
        <w:pStyle w:val="Heading1"/>
        <w:spacing w:after="51"/>
        <w:ind w:left="128" w:right="123"/>
        <w:rPr>
          <w:vertAlign w:val="superscript"/>
        </w:rPr>
      </w:pPr>
      <w:r>
        <w:t>Artikel 1</w:t>
      </w:r>
    </w:p>
    <w:p w14:paraId="3F072A31" w14:textId="77777777" w:rsidR="0013677B" w:rsidRPr="0013677B" w:rsidRDefault="0013677B" w:rsidP="0013677B"/>
    <w:p w14:paraId="10EA5D3D" w14:textId="77777777" w:rsidR="00607F62" w:rsidRDefault="00607F62">
      <w:pPr>
        <w:spacing w:after="107"/>
        <w:ind w:left="-5"/>
      </w:pPr>
      <w:r>
        <w:t>Efter artikel 3 i ovennævnte dekret af 31. marts 1992 indsættes som artikel 3-1:</w:t>
      </w:r>
    </w:p>
    <w:p w14:paraId="0A07B2EC" w14:textId="6A1B90AE" w:rsidR="00203B7E" w:rsidRDefault="00B33862" w:rsidP="00635500">
      <w:pPr>
        <w:spacing w:after="0" w:line="259" w:lineRule="auto"/>
        <w:ind w:left="0" w:firstLine="0"/>
      </w:pPr>
      <w:r>
        <w:t>"Artikel 3-1.- Øletiketter skal indeholde følgende: "Øl brygget af: efterfulgt af bryggeriets navn og adressen på brygningsstedet.</w:t>
      </w:r>
    </w:p>
    <w:p w14:paraId="6467BF54" w14:textId="77777777" w:rsidR="00203B7E" w:rsidRDefault="00203B7E" w:rsidP="00635500">
      <w:pPr>
        <w:spacing w:after="0" w:line="259" w:lineRule="auto"/>
        <w:ind w:left="0" w:firstLine="0"/>
      </w:pPr>
    </w:p>
    <w:p w14:paraId="7B23F12C" w14:textId="54DAC754" w:rsidR="00635500" w:rsidRDefault="00203B7E" w:rsidP="00635500">
      <w:pPr>
        <w:spacing w:after="0" w:line="259" w:lineRule="auto"/>
        <w:ind w:left="0" w:firstLine="0"/>
      </w:pPr>
      <w:r>
        <w:t>Hvis øllets handelsnavn henviser til et geografisk område, som bryggeriet ikke tilhører, skal den i stk. 1 omhandlede angivelse være angivet i umiddelbar nærhed af denne betegnelse.</w:t>
      </w:r>
    </w:p>
    <w:p w14:paraId="2CE82843" w14:textId="77777777" w:rsidR="00635500" w:rsidRDefault="00635500" w:rsidP="00635500">
      <w:pPr>
        <w:spacing w:after="0" w:line="259" w:lineRule="auto"/>
        <w:ind w:left="0" w:firstLine="0"/>
      </w:pPr>
    </w:p>
    <w:p w14:paraId="615D4ECE" w14:textId="1DDD1C36" w:rsidR="0099057F" w:rsidRDefault="00635500" w:rsidP="00635500">
      <w:pPr>
        <w:spacing w:after="0" w:line="259" w:lineRule="auto"/>
        <w:ind w:left="0" w:firstLine="0"/>
      </w:pPr>
      <w:r>
        <w:t>Hvis lederen af en fødevarevirksomhed som omhandlet i artikel 8 i Europa-Parlamentets og Rådets forordning (EU) nr. 1169/2011 af 25. oktober 2011 om fødevareinformation til forbrugerne desuden ikke er bryggeriet: "Øl brygget til: "efterfølgende firmanavn og adresse tilføjes i umiddelbar nærhed af den i stk. 1 omhandlede angivelse."</w:t>
      </w:r>
    </w:p>
    <w:p w14:paraId="53A52514" w14:textId="77777777" w:rsidR="008004B4" w:rsidRDefault="008004B4" w:rsidP="00635500">
      <w:pPr>
        <w:spacing w:after="0" w:line="259" w:lineRule="auto"/>
        <w:ind w:left="0" w:firstLine="0"/>
      </w:pPr>
    </w:p>
    <w:p w14:paraId="7BB54837" w14:textId="19282DB5" w:rsidR="0099057F" w:rsidRDefault="00A746B8">
      <w:pPr>
        <w:pStyle w:val="Heading1"/>
        <w:ind w:left="128" w:right="123"/>
      </w:pPr>
      <w:r>
        <w:t>Artikel 2</w:t>
      </w:r>
    </w:p>
    <w:p w14:paraId="74A07251" w14:textId="77777777" w:rsidR="0099057F" w:rsidRDefault="00A746B8">
      <w:pPr>
        <w:spacing w:after="0" w:line="259" w:lineRule="auto"/>
        <w:ind w:left="0" w:firstLine="0"/>
        <w:jc w:val="left"/>
      </w:pPr>
      <w:r>
        <w:t xml:space="preserve"> </w:t>
      </w:r>
    </w:p>
    <w:p w14:paraId="4A4E95DF" w14:textId="132CE7E4" w:rsidR="0099057F" w:rsidRPr="00795C97" w:rsidRDefault="00A746B8" w:rsidP="00924234">
      <w:pPr>
        <w:ind w:left="-5"/>
        <w:rPr>
          <w:color w:val="auto"/>
        </w:rPr>
      </w:pPr>
      <w:r>
        <w:t>Bestemmelserne i dette dekret træder i kraft den 1. juli 2022.</w:t>
      </w:r>
    </w:p>
    <w:p w14:paraId="43D85D02" w14:textId="77777777" w:rsidR="0099057F" w:rsidRDefault="00A746B8">
      <w:pPr>
        <w:spacing w:after="0" w:line="259" w:lineRule="auto"/>
        <w:ind w:left="0" w:firstLine="0"/>
        <w:jc w:val="left"/>
      </w:pPr>
      <w:r>
        <w:t xml:space="preserve"> </w:t>
      </w:r>
    </w:p>
    <w:p w14:paraId="5E74FD20" w14:textId="3CC8CB54" w:rsidR="0099057F" w:rsidRDefault="00A746B8">
      <w:pPr>
        <w:ind w:left="-5"/>
      </w:pPr>
      <w:r>
        <w:t>Øl, der markedsføres eller mærkes indtil den 30. juni 2022, og som opfylder de indtil denne dato gældende bestemmelser, kan markedsføres, indtil lagrene er opbrugt.</w:t>
      </w:r>
    </w:p>
    <w:p w14:paraId="491FA7F0" w14:textId="77777777" w:rsidR="0099057F" w:rsidRDefault="0099057F" w:rsidP="009D35BD">
      <w:pPr>
        <w:spacing w:after="0" w:line="259" w:lineRule="auto"/>
        <w:ind w:left="0" w:firstLine="0"/>
        <w:jc w:val="center"/>
      </w:pPr>
    </w:p>
    <w:p w14:paraId="5E7A90EE" w14:textId="77777777" w:rsidR="0099057F" w:rsidRDefault="00A746B8">
      <w:pPr>
        <w:pStyle w:val="Heading1"/>
        <w:ind w:left="128" w:right="123"/>
      </w:pPr>
      <w:r>
        <w:t xml:space="preserve">Artikel 3 </w:t>
      </w:r>
    </w:p>
    <w:p w14:paraId="1F16E623" w14:textId="77777777" w:rsidR="0099057F" w:rsidRDefault="00A746B8">
      <w:pPr>
        <w:spacing w:after="0" w:line="259" w:lineRule="auto"/>
        <w:ind w:left="0" w:firstLine="0"/>
        <w:jc w:val="left"/>
      </w:pPr>
      <w:r>
        <w:t xml:space="preserve"> </w:t>
      </w:r>
    </w:p>
    <w:p w14:paraId="4C8780DD" w14:textId="053B6DA9" w:rsidR="00795C97" w:rsidRDefault="00A9141C" w:rsidP="003C2BAA">
      <w:pPr>
        <w:spacing w:after="0" w:line="240" w:lineRule="auto"/>
        <w:ind w:left="-6" w:hanging="11"/>
      </w:pPr>
      <w:r>
        <w:t xml:space="preserve">Økonomi-, finans- og genopretningsministeren, seglenes vogter, justitsministeren og viceministeren for økonomi, finans og genopretning, der er ansvarlige for små og mellemstore virksomheder, er hver især ansvarlige for gennemførelsen af dette dekret, som offentliggøres i Den Franske Republiks </w:t>
      </w:r>
      <w:r>
        <w:rPr>
          <w:i/>
        </w:rPr>
        <w:t>Statstidende</w:t>
      </w:r>
      <w:r>
        <w:t xml:space="preserve">. </w:t>
      </w:r>
    </w:p>
    <w:p w14:paraId="05678850" w14:textId="77777777" w:rsidR="00795C97" w:rsidRDefault="00795C97">
      <w:pPr>
        <w:spacing w:line="390" w:lineRule="auto"/>
        <w:ind w:left="-5"/>
      </w:pPr>
    </w:p>
    <w:p w14:paraId="6FE5195C" w14:textId="5A7434F3" w:rsidR="0099057F" w:rsidRDefault="00A746B8" w:rsidP="00795C97">
      <w:pPr>
        <w:spacing w:line="390" w:lineRule="auto"/>
        <w:ind w:left="-5" w:firstLine="713"/>
      </w:pPr>
      <w:r>
        <w:t>Udarbejdet den</w:t>
      </w:r>
    </w:p>
    <w:p w14:paraId="430AD662" w14:textId="77777777" w:rsidR="0099057F" w:rsidRDefault="00A746B8">
      <w:pPr>
        <w:spacing w:after="107"/>
        <w:ind w:left="730"/>
      </w:pPr>
      <w:r>
        <w:t xml:space="preserve">Af premierministeren: </w:t>
      </w:r>
    </w:p>
    <w:sectPr w:rsidR="0099057F">
      <w:pgSz w:w="11906" w:h="16838"/>
      <w:pgMar w:top="1135" w:right="1416" w:bottom="146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2FCB" w14:textId="77777777" w:rsidR="00A97481" w:rsidRDefault="00A97481" w:rsidP="00D11B82">
      <w:pPr>
        <w:spacing w:after="0" w:line="240" w:lineRule="auto"/>
      </w:pPr>
      <w:r>
        <w:separator/>
      </w:r>
    </w:p>
  </w:endnote>
  <w:endnote w:type="continuationSeparator" w:id="0">
    <w:p w14:paraId="05C1994F" w14:textId="77777777" w:rsidR="00A97481" w:rsidRDefault="00A97481" w:rsidP="00D1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8714" w14:textId="77777777" w:rsidR="00A97481" w:rsidRDefault="00A97481" w:rsidP="00D11B82">
      <w:pPr>
        <w:spacing w:after="0" w:line="240" w:lineRule="auto"/>
      </w:pPr>
      <w:r>
        <w:separator/>
      </w:r>
    </w:p>
  </w:footnote>
  <w:footnote w:type="continuationSeparator" w:id="0">
    <w:p w14:paraId="2946C100" w14:textId="77777777" w:rsidR="00A97481" w:rsidRDefault="00A97481" w:rsidP="00D1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7204"/>
    <w:multiLevelType w:val="hybridMultilevel"/>
    <w:tmpl w:val="A1B2DB82"/>
    <w:lvl w:ilvl="0" w:tplc="8CCCD6F8">
      <w:start w:val="2008"/>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7BD32AA"/>
    <w:multiLevelType w:val="hybridMultilevel"/>
    <w:tmpl w:val="D8B09838"/>
    <w:lvl w:ilvl="0" w:tplc="1B7A8A1C">
      <w:start w:val="1"/>
      <w:numFmt w:val="bullet"/>
      <w:lvlText w:val="-"/>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A099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EA2F6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3677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42538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3EF8D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2408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443E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5C4B5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954172"/>
    <w:multiLevelType w:val="hybridMultilevel"/>
    <w:tmpl w:val="F1165D2C"/>
    <w:lvl w:ilvl="0" w:tplc="CD2C979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1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EAD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CC2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4E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AFC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87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D4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844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3469E"/>
    <w:multiLevelType w:val="hybridMultilevel"/>
    <w:tmpl w:val="CFE64A3E"/>
    <w:lvl w:ilvl="0" w:tplc="B32C0CA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66A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64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4E5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2CE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E52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9E3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63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FA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6C42B7"/>
    <w:multiLevelType w:val="hybridMultilevel"/>
    <w:tmpl w:val="5A0AC2F8"/>
    <w:lvl w:ilvl="0" w:tplc="2B1ACD4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63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6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A8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A76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93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075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D5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B507F"/>
    <w:multiLevelType w:val="hybridMultilevel"/>
    <w:tmpl w:val="BEF661DA"/>
    <w:lvl w:ilvl="0" w:tplc="3ECC80D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82B7E">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ED85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4FDD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ED66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98E2">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89BB2">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F27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4CAFE">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C7E91"/>
    <w:multiLevelType w:val="hybridMultilevel"/>
    <w:tmpl w:val="C4EC03F6"/>
    <w:lvl w:ilvl="0" w:tplc="5F34A3F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C16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418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67C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B0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8F3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C3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CB1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8A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7F"/>
    <w:rsid w:val="00002A30"/>
    <w:rsid w:val="0003773D"/>
    <w:rsid w:val="00046FC9"/>
    <w:rsid w:val="00060285"/>
    <w:rsid w:val="00073D3A"/>
    <w:rsid w:val="00100C68"/>
    <w:rsid w:val="00110042"/>
    <w:rsid w:val="00111F4C"/>
    <w:rsid w:val="0013677B"/>
    <w:rsid w:val="001510CD"/>
    <w:rsid w:val="00172CDC"/>
    <w:rsid w:val="001B4F2F"/>
    <w:rsid w:val="001D11AE"/>
    <w:rsid w:val="00203B7E"/>
    <w:rsid w:val="002221F4"/>
    <w:rsid w:val="002229D4"/>
    <w:rsid w:val="00262F58"/>
    <w:rsid w:val="00286FEF"/>
    <w:rsid w:val="00291ACC"/>
    <w:rsid w:val="002B4777"/>
    <w:rsid w:val="002F5CEA"/>
    <w:rsid w:val="003431EF"/>
    <w:rsid w:val="003672DC"/>
    <w:rsid w:val="00370713"/>
    <w:rsid w:val="00377F41"/>
    <w:rsid w:val="003A0AAF"/>
    <w:rsid w:val="003C2BAA"/>
    <w:rsid w:val="0042102D"/>
    <w:rsid w:val="00442033"/>
    <w:rsid w:val="004663EC"/>
    <w:rsid w:val="00490787"/>
    <w:rsid w:val="004B7C70"/>
    <w:rsid w:val="004C7E0D"/>
    <w:rsid w:val="004F152D"/>
    <w:rsid w:val="004F364B"/>
    <w:rsid w:val="00503D36"/>
    <w:rsid w:val="00506559"/>
    <w:rsid w:val="00515596"/>
    <w:rsid w:val="00530233"/>
    <w:rsid w:val="00534E15"/>
    <w:rsid w:val="00537E34"/>
    <w:rsid w:val="00555A17"/>
    <w:rsid w:val="00572E17"/>
    <w:rsid w:val="005C5F3C"/>
    <w:rsid w:val="005F69B8"/>
    <w:rsid w:val="006011F7"/>
    <w:rsid w:val="00602D64"/>
    <w:rsid w:val="00604904"/>
    <w:rsid w:val="00607F62"/>
    <w:rsid w:val="00635500"/>
    <w:rsid w:val="006807E7"/>
    <w:rsid w:val="006B466E"/>
    <w:rsid w:val="00747F18"/>
    <w:rsid w:val="00795C97"/>
    <w:rsid w:val="007A3789"/>
    <w:rsid w:val="007D2BF4"/>
    <w:rsid w:val="008004B4"/>
    <w:rsid w:val="00832509"/>
    <w:rsid w:val="008348BE"/>
    <w:rsid w:val="008850D5"/>
    <w:rsid w:val="008E7855"/>
    <w:rsid w:val="008F7018"/>
    <w:rsid w:val="00924234"/>
    <w:rsid w:val="00936C4A"/>
    <w:rsid w:val="00940331"/>
    <w:rsid w:val="00974375"/>
    <w:rsid w:val="0099057F"/>
    <w:rsid w:val="009D35BD"/>
    <w:rsid w:val="009E3F3C"/>
    <w:rsid w:val="00A56696"/>
    <w:rsid w:val="00A746B8"/>
    <w:rsid w:val="00A8086F"/>
    <w:rsid w:val="00A86EA3"/>
    <w:rsid w:val="00A9141C"/>
    <w:rsid w:val="00A97481"/>
    <w:rsid w:val="00B33862"/>
    <w:rsid w:val="00B4140F"/>
    <w:rsid w:val="00B91A69"/>
    <w:rsid w:val="00BE2634"/>
    <w:rsid w:val="00C076A2"/>
    <w:rsid w:val="00C14DB2"/>
    <w:rsid w:val="00C22041"/>
    <w:rsid w:val="00CC652F"/>
    <w:rsid w:val="00CE4AAC"/>
    <w:rsid w:val="00CF79F6"/>
    <w:rsid w:val="00D11B82"/>
    <w:rsid w:val="00D36103"/>
    <w:rsid w:val="00D42F0D"/>
    <w:rsid w:val="00D7314D"/>
    <w:rsid w:val="00D74E3D"/>
    <w:rsid w:val="00D84728"/>
    <w:rsid w:val="00DD7677"/>
    <w:rsid w:val="00DE2985"/>
    <w:rsid w:val="00E06871"/>
    <w:rsid w:val="00E27FED"/>
    <w:rsid w:val="00E625F7"/>
    <w:rsid w:val="00EC76D8"/>
    <w:rsid w:val="00F30F8A"/>
    <w:rsid w:val="00F55A21"/>
    <w:rsid w:val="00F63B00"/>
    <w:rsid w:val="00F703BE"/>
    <w:rsid w:val="00FA0032"/>
    <w:rsid w:val="00FB184F"/>
    <w:rsid w:val="00FF1371"/>
    <w:rsid w:val="00FF2216"/>
    <w:rsid w:val="00FF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BCDB"/>
  <w15:docId w15:val="{91BD89CE-C04D-4B49-871F-01A2429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3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3C"/>
    <w:rPr>
      <w:rFonts w:ascii="Segoe UI" w:eastAsia="Times New Roman" w:hAnsi="Segoe UI" w:cs="Segoe UI"/>
      <w:color w:val="000000"/>
      <w:sz w:val="18"/>
      <w:szCs w:val="18"/>
    </w:rPr>
  </w:style>
  <w:style w:type="paragraph" w:styleId="ListParagraph">
    <w:name w:val="List Paragraph"/>
    <w:basedOn w:val="Normal"/>
    <w:uiPriority w:val="34"/>
    <w:qFormat/>
    <w:rsid w:val="009E3F3C"/>
    <w:pPr>
      <w:ind w:left="720"/>
      <w:contextualSpacing/>
    </w:pPr>
  </w:style>
  <w:style w:type="paragraph" w:styleId="Header">
    <w:name w:val="header"/>
    <w:basedOn w:val="Normal"/>
    <w:link w:val="HeaderChar"/>
    <w:uiPriority w:val="99"/>
    <w:unhideWhenUsed/>
    <w:rsid w:val="00D11B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B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11B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1B82"/>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B4F2F"/>
    <w:rPr>
      <w:color w:val="0563C1" w:themeColor="hyperlink"/>
      <w:u w:val="single"/>
    </w:rPr>
  </w:style>
  <w:style w:type="character" w:styleId="CommentReference">
    <w:name w:val="annotation reference"/>
    <w:basedOn w:val="DefaultParagraphFont"/>
    <w:uiPriority w:val="99"/>
    <w:semiHidden/>
    <w:unhideWhenUsed/>
    <w:rsid w:val="006B466E"/>
    <w:rPr>
      <w:sz w:val="16"/>
      <w:szCs w:val="16"/>
    </w:rPr>
  </w:style>
  <w:style w:type="paragraph" w:styleId="CommentText">
    <w:name w:val="annotation text"/>
    <w:basedOn w:val="Normal"/>
    <w:link w:val="CommentTextChar"/>
    <w:uiPriority w:val="99"/>
    <w:semiHidden/>
    <w:unhideWhenUsed/>
    <w:rsid w:val="006B466E"/>
    <w:pPr>
      <w:spacing w:line="240" w:lineRule="auto"/>
    </w:pPr>
    <w:rPr>
      <w:sz w:val="20"/>
      <w:szCs w:val="20"/>
    </w:rPr>
  </w:style>
  <w:style w:type="character" w:customStyle="1" w:styleId="CommentTextChar">
    <w:name w:val="Comment Text Char"/>
    <w:basedOn w:val="DefaultParagraphFont"/>
    <w:link w:val="CommentText"/>
    <w:uiPriority w:val="99"/>
    <w:semiHidden/>
    <w:rsid w:val="006B46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B466E"/>
    <w:rPr>
      <w:b/>
      <w:bCs/>
    </w:rPr>
  </w:style>
  <w:style w:type="character" w:customStyle="1" w:styleId="CommentSubjectChar">
    <w:name w:val="Comment Subject Char"/>
    <w:basedOn w:val="CommentTextChar"/>
    <w:link w:val="CommentSubject"/>
    <w:uiPriority w:val="99"/>
    <w:semiHidden/>
    <w:rsid w:val="006B466E"/>
    <w:rPr>
      <w:rFonts w:ascii="Times New Roman" w:eastAsia="Times New Roman" w:hAnsi="Times New Roman" w:cs="Times New Roman"/>
      <w:b/>
      <w:bCs/>
      <w:color w:val="000000"/>
      <w:sz w:val="20"/>
      <w:szCs w:val="20"/>
    </w:rPr>
  </w:style>
  <w:style w:type="paragraph" w:styleId="Revision">
    <w:name w:val="Revision"/>
    <w:hidden/>
    <w:uiPriority w:val="99"/>
    <w:semiHidden/>
    <w:rsid w:val="00377F4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825">
      <w:bodyDiv w:val="1"/>
      <w:marLeft w:val="0"/>
      <w:marRight w:val="0"/>
      <w:marTop w:val="0"/>
      <w:marBottom w:val="0"/>
      <w:divBdr>
        <w:top w:val="none" w:sz="0" w:space="0" w:color="auto"/>
        <w:left w:val="none" w:sz="0" w:space="0" w:color="auto"/>
        <w:bottom w:val="none" w:sz="0" w:space="0" w:color="auto"/>
        <w:right w:val="none" w:sz="0" w:space="0" w:color="auto"/>
      </w:divBdr>
    </w:div>
    <w:div w:id="162938875">
      <w:bodyDiv w:val="1"/>
      <w:marLeft w:val="0"/>
      <w:marRight w:val="0"/>
      <w:marTop w:val="0"/>
      <w:marBottom w:val="0"/>
      <w:divBdr>
        <w:top w:val="none" w:sz="0" w:space="0" w:color="auto"/>
        <w:left w:val="none" w:sz="0" w:space="0" w:color="auto"/>
        <w:bottom w:val="none" w:sz="0" w:space="0" w:color="auto"/>
        <w:right w:val="none" w:sz="0" w:space="0" w:color="auto"/>
      </w:divBdr>
    </w:div>
    <w:div w:id="1647316834">
      <w:bodyDiv w:val="1"/>
      <w:marLeft w:val="0"/>
      <w:marRight w:val="0"/>
      <w:marTop w:val="0"/>
      <w:marBottom w:val="0"/>
      <w:divBdr>
        <w:top w:val="none" w:sz="0" w:space="0" w:color="auto"/>
        <w:left w:val="none" w:sz="0" w:space="0" w:color="auto"/>
        <w:bottom w:val="none" w:sz="0" w:space="0" w:color="auto"/>
        <w:right w:val="none" w:sz="0" w:space="0" w:color="auto"/>
      </w:divBdr>
    </w:div>
    <w:div w:id="204702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1666-0D38-4347-8D0F-090C5E3E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558</Words>
  <Characters>3181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TRUCHET Émilie (4C)</dc:creator>
  <cp:keywords/>
  <cp:lastModifiedBy>Liana Brili</cp:lastModifiedBy>
  <cp:revision>6</cp:revision>
  <cp:lastPrinted>2019-06-12T12:31:00Z</cp:lastPrinted>
  <dcterms:created xsi:type="dcterms:W3CDTF">2021-11-02T09:58:00Z</dcterms:created>
  <dcterms:modified xsi:type="dcterms:W3CDTF">2021-11-24T18:01:00Z</dcterms:modified>
</cp:coreProperties>
</file>