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D537F2" w14:textId="77777777" w:rsidR="0099057F" w:rsidRDefault="00A746B8">
      <w:pPr>
        <w:pStyle w:val="Heading1"/>
        <w:tabs>
          <w:tab w:val="center" w:pos="1992"/>
          <w:tab w:val="center" w:pos="6748"/>
        </w:tabs>
        <w:spacing w:after="106" w:line="259" w:lineRule="auto"/>
        <w:ind w:left="0" w:firstLine="0"/>
        <w:jc w:val="left"/>
      </w:pPr>
      <w:r>
        <w:rPr>
          <w:b w:val="0"/>
          <w:sz w:val="22"/>
          <w:rFonts w:ascii="Calibri" w:hAnsi="Calibri"/>
        </w:rPr>
        <w:tab/>
      </w:r>
      <w:r>
        <w:t xml:space="preserve">FRANCOSKA REPUBLIKA</w:t>
      </w:r>
      <w:r>
        <w:t xml:space="preserve"> </w:t>
      </w:r>
      <w:r>
        <w:tab/>
      </w:r>
      <w:r>
        <w:t xml:space="preserve"> </w:t>
      </w:r>
    </w:p>
    <w:p w14:paraId="40D01A07" w14:textId="77777777" w:rsidR="0099057F" w:rsidRDefault="00A746B8">
      <w:pPr>
        <w:tabs>
          <w:tab w:val="center" w:pos="2012"/>
          <w:tab w:val="center" w:pos="2554"/>
        </w:tabs>
        <w:spacing w:after="26" w:line="259" w:lineRule="auto"/>
        <w:ind w:left="0" w:firstLine="0"/>
        <w:jc w:val="left"/>
      </w:pPr>
      <w:r>
        <w:t xml:space="preserve"> </w:t>
      </w:r>
      <w:r>
        <w:tab/>
      </w:r>
      <w:r>
        <w:rPr>
          <w:sz w:val="22"/>
          <w:rFonts w:ascii="Calibri" w:hAnsi="Calibri"/>
        </w:rPr>
        <mc:AlternateContent>
          <mc:Choice Requires="wpg">
            <w:drawing>
              <wp:inline distT="0" distB="0" distL="0" distR="0" wp14:anchorId="335BC632" wp14:editId="62CF410E">
                <wp:extent cx="615696" cy="1524"/>
                <wp:effectExtent l="0" t="0" r="0" b="0"/>
                <wp:docPr id="7701" name="Group 7701"/>
                <wp:cNvGraphicFramePr/>
                <a:graphic xmlns:a="http://schemas.openxmlformats.org/drawingml/2006/main">
                  <a:graphicData uri="http://schemas.microsoft.com/office/word/2010/wordprocessingGroup">
                    <wpg:wgp>
                      <wpg:cNvGrpSpPr/>
                      <wpg:grpSpPr>
                        <a:xfrm>
                          <a:off x="0" y="0"/>
                          <a:ext cx="615696" cy="1524"/>
                          <a:chOff x="0" y="0"/>
                          <a:chExt cx="615696" cy="1524"/>
                        </a:xfrm>
                      </wpg:grpSpPr>
                      <wps:wsp>
                        <wps:cNvPr id="10272" name="Shape 10272"/>
                        <wps:cNvSpPr/>
                        <wps:spPr>
                          <a:xfrm>
                            <a:off x="0" y="0"/>
                            <a:ext cx="615696" cy="9144"/>
                          </a:xfrm>
                          <a:custGeom>
                            <a:avLst/>
                            <a:gdLst/>
                            <a:ahLst/>
                            <a:cxnLst/>
                            <a:rect l="0" t="0" r="0" b="0"/>
                            <a:pathLst>
                              <a:path w="615696" h="9144">
                                <a:moveTo>
                                  <a:pt x="0" y="0"/>
                                </a:moveTo>
                                <a:lnTo>
                                  <a:pt x="615696" y="0"/>
                                </a:lnTo>
                                <a:lnTo>
                                  <a:pt x="61569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07AD531B" id="Group 7701" o:spid="_x0000_s1026" style="width:48.5pt;height:.1pt;mso-position-horizontal-relative:char;mso-position-vertical-relative:line" coordsize="6156,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htkfwIAAFEGAAAOAAAAZHJzL2Uyb0RvYy54bWykVdtu2zAMfR+wfxD0vviCNlmNOH1Yt7wM&#10;W7F2H6DI8gWQJUFS4uTvR9GWE6RDMWR5sGmJPOI5Ipn147GX5CCs67QqabZIKRGK66pTTUl/v377&#10;9JkS55mqmNRKlPQkHH3cfPywHkwhct1qWQlLAES5YjAlbb03RZI43oqeuYU2QsFmrW3PPHzaJqks&#10;GwC9l0mepstk0LYyVnPhHKw+jZt0g/h1Lbj/WddOeCJLCrl5fFp87sIz2axZ0Vhm2o5PabAbsuhZ&#10;p+DQGeqJeUb2tnsD1Xfcaqdrv+C6T3Rdd1wgB2CTpVdstlbvDXJpiqExs0wg7ZVON8PyH4dnS7qq&#10;pKtVmlGiWA+3hAcTXAGBBtMU4Le15sU822mhGb8C52Nt+/AGNuSI0p5macXREw6Ly+x++bCkhMNW&#10;dp/fjcLzFm7nTQxvv74TlcQDk5DXnMZgoIDcWSP3fxq9tMwIlN4F7pNGWZqv8igSupBxCUVBz1ki&#10;VzhQ6xZ9HrI71Gdmygq+d34rNMrMDt+dH+u2ihZro8WPKpoWqv/dujfMh7iQYzDJcL6ntqSYRtjr&#10;9UG8avTyV5cFKZ53pbr0ijceawFco0N8G4S7cLxgHn3ie/SFFga8f3TD7p6PBSOQ3KwnA4mDfSmt&#10;VEEDOIQzmEW1ZB6buu88DCnZ9VC7+SpNz8CAFgpvvGm0/EmKIJVUv0QNjYUNERacbXZfpCUHFkYR&#10;/hCcSdOyaTV0BaQ0uaKNOCG+7qScITMM/RvkiDA5hziBU3COTMdIPmUzjkIYKEA6DkTIYA7Ck7Xy&#10;c7yCMY5pXrAN5k5XJxwOKAh0IkqDcwt5TDM2DMbLb/Q6/xNs/gAAAP//AwBQSwMEFAAGAAgAAAAh&#10;AKfbSvbZAAAAAQEAAA8AAABkcnMvZG93bnJldi54bWxMj09Lw0AQxe+C32EZwZvdpOK/mE0pRT0V&#10;oa0g3qbZaRKanQ3ZbZJ+e0cvennweMN7v8kXk2vVQH1oPBtIZwko4tLbhisDH7vXm0dQISJbbD2T&#10;gTMFWBSXFzlm1o+8oWEbKyUlHDI0UMfYZVqHsiaHYeY7YskOvncYxfaVtj2OUu5aPU+Se+2wYVmo&#10;saNVTeVxe3IG3kYcl7fpy7A+Hlbnr93d++c6JWOur6blM6hIU/w7hh98QYdCmPb+xDao1oA8En9V&#10;sqcHcXsDc9BFrv+TF98AAAD//wMAUEsBAi0AFAAGAAgAAAAhALaDOJL+AAAA4QEAABMAAAAAAAAA&#10;AAAAAAAAAAAAAFtDb250ZW50X1R5cGVzXS54bWxQSwECLQAUAAYACAAAACEAOP0h/9YAAACUAQAA&#10;CwAAAAAAAAAAAAAAAAAvAQAAX3JlbHMvLnJlbHNQSwECLQAUAAYACAAAACEAXpIbZH8CAABRBgAA&#10;DgAAAAAAAAAAAAAAAAAuAgAAZHJzL2Uyb0RvYy54bWxQSwECLQAUAAYACAAAACEAp9tK9tkAAAAB&#10;AQAADwAAAAAAAAAAAAAAAADZBAAAZHJzL2Rvd25yZXYueG1sUEsFBgAAAAAEAAQA8wAAAN8FAAAA&#10;AA==&#10;">
                <v:shape id="Shape 10272" o:spid="_x0000_s1027" style="position:absolute;width:6156;height:91;visibility:visible;mso-wrap-style:square;v-text-anchor:top" coordsize="61569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SdDGsMA&#10;AADeAAAADwAAAGRycy9kb3ducmV2LnhtbERP24rCMBB9F/Yfwgj7pqll0d1qFFmRFX3Y9fIBQzO2&#10;wWZSmmi7f28Ewbc5nOvMFp2txI0abxwrGA0TEMS504YLBafjevAJwgdkjZVjUvBPHhbzt94MM+1a&#10;3tPtEAoRQ9hnqKAMoc6k9HlJFv3Q1cSRO7vGYoiwKaRusI3htpJpkoylRcOxocSavkvKL4erVbDH&#10;0cfvz3G1/Dq37k8bs91d/Vap9363nIII1IWX+One6Dg/SScpPN6JN8j5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SdDGsMAAADeAAAADwAAAAAAAAAAAAAAAACYAgAAZHJzL2Rv&#10;d25yZXYueG1sUEsFBgAAAAAEAAQA9QAAAIgDAAAAAA==&#10;" path="m,l615696,r,9144l,9144,,e" fillcolor="black" stroked="f" strokeweight="0">
                  <v:stroke miterlimit="83231f" joinstyle="miter"/>
                  <v:path arrowok="t" textboxrect="0,0,615696,9144"/>
                </v:shape>
                <w10:anchorlock/>
              </v:group>
            </w:pict>
          </mc:Fallback>
        </mc:AlternateContent>
      </w:r>
      <w:r>
        <w:t xml:space="preserve"> </w:t>
      </w:r>
      <w:r>
        <w:tab/>
      </w:r>
      <w:r>
        <w:t xml:space="preserve"> </w:t>
      </w:r>
    </w:p>
    <w:p w14:paraId="0A835397" w14:textId="77777777" w:rsidR="0099057F" w:rsidRDefault="00111F4C">
      <w:pPr>
        <w:spacing w:after="100"/>
      </w:pPr>
      <w:r>
        <w:t xml:space="preserve">Ministrstvo za gospodarstvo, finance in okrevanje gospodarstva</w:t>
      </w:r>
    </w:p>
    <w:p w14:paraId="6B2A818C" w14:textId="77777777" w:rsidR="0099057F" w:rsidRDefault="00A746B8">
      <w:pPr>
        <w:tabs>
          <w:tab w:val="center" w:pos="2012"/>
          <w:tab w:val="center" w:pos="2554"/>
        </w:tabs>
        <w:spacing w:after="0" w:line="259" w:lineRule="auto"/>
        <w:ind w:left="0" w:firstLine="0"/>
        <w:jc w:val="left"/>
      </w:pPr>
      <w:r>
        <w:t xml:space="preserve"> </w:t>
      </w:r>
      <w:r>
        <w:tab/>
      </w:r>
      <w:r>
        <w:rPr>
          <w:sz w:val="22"/>
          <w:rFonts w:ascii="Calibri" w:hAnsi="Calibri"/>
        </w:rPr>
        <mc:AlternateContent>
          <mc:Choice Requires="wpg">
            <w:drawing>
              <wp:inline distT="0" distB="0" distL="0" distR="0" wp14:anchorId="43FFAE92" wp14:editId="42D8F3E0">
                <wp:extent cx="615696" cy="1524"/>
                <wp:effectExtent l="0" t="0" r="0" b="0"/>
                <wp:docPr id="7702" name="Group 7702"/>
                <wp:cNvGraphicFramePr/>
                <a:graphic xmlns:a="http://schemas.openxmlformats.org/drawingml/2006/main">
                  <a:graphicData uri="http://schemas.microsoft.com/office/word/2010/wordprocessingGroup">
                    <wpg:wgp>
                      <wpg:cNvGrpSpPr/>
                      <wpg:grpSpPr>
                        <a:xfrm>
                          <a:off x="0" y="0"/>
                          <a:ext cx="615696" cy="1524"/>
                          <a:chOff x="0" y="0"/>
                          <a:chExt cx="615696" cy="1524"/>
                        </a:xfrm>
                      </wpg:grpSpPr>
                      <wps:wsp>
                        <wps:cNvPr id="10273" name="Shape 10273"/>
                        <wps:cNvSpPr/>
                        <wps:spPr>
                          <a:xfrm>
                            <a:off x="0" y="0"/>
                            <a:ext cx="615696" cy="9144"/>
                          </a:xfrm>
                          <a:custGeom>
                            <a:avLst/>
                            <a:gdLst/>
                            <a:ahLst/>
                            <a:cxnLst/>
                            <a:rect l="0" t="0" r="0" b="0"/>
                            <a:pathLst>
                              <a:path w="615696" h="9144">
                                <a:moveTo>
                                  <a:pt x="0" y="0"/>
                                </a:moveTo>
                                <a:lnTo>
                                  <a:pt x="615696" y="0"/>
                                </a:lnTo>
                                <a:lnTo>
                                  <a:pt x="61569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121A1CD0" id="Group 7702" o:spid="_x0000_s1026" style="width:48.5pt;height:.1pt;mso-position-horizontal-relative:char;mso-position-vertical-relative:line" coordsize="6156,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AJgAIAAFEGAAAOAAAAZHJzL2Uyb0RvYy54bWykVU1v2zAMvQ/YfxB0X2xnbbIacXpYt16G&#10;rWi7H6DI8gcgS4KkxMm/H0VbjpEOxZDlYNMS+cT3RDKb+2MnyUFY12pV0GyRUiIU12Wr6oL+fv3+&#10;6QslzjNVMqmVKOhJOHq//fhh05tcLHWjZSksARDl8t4UtPHe5EnieCM65hbaCAWblbYd8/Bp66S0&#10;rAf0TibLNF0lvbalsZoL52D1YdikW8SvKsH9r6pywhNZUMjN49PicxeeyXbD8toy07R8TINdkUXH&#10;WgWHTlAPzDOyt+0bqK7lVjtd+QXXXaKrquUCOQCbLL1g82j13iCXOu9rM8kE0l7odDUs/3l4sqQt&#10;C7pep0tKFOvglvBggisgUG/qHPwerXkxT3ZcqIevwPlY2S68gQ05orSnSVpx9ITD4iq7Xd2tKOGw&#10;ld0ubwbheQO38yaGN9/eiUrigUnIa0qjN1BA7qyR+z+NXhpmBErvAvdRoyxdrj9HkdCFDEsoCnpO&#10;ErncgVrX6HOX3aA+E1OW873zj0KjzOzww/mhbstosSZa/KiiaaH63617w3yICzkGk/Tne2oKimmE&#10;vU4fxKtGL39xWZDieVequVe88VgL4Bod4tsg3Mxxxjz6xPfgCy0MeP/oht09HQtGILndjAYSB3su&#10;rVRBAziEM5hFlWQem7prPQwp2XZQu8t1mp6BAS0U3nDTaPmTFEEqqZ5FBY2FDREWnK13X6UlBxZG&#10;Ef4QnEnTsHE1dAWkNLqijTghvmqlnCAzDP0b5IAwOoc4gVNwikyHSD5mM4xCGChAOg5EyGAKwpO1&#10;8lO8gjGOac7YBnOnyxMOBxQEOhGlwbmFPMYZGwbj/Bu9zv8E2z8AAAD//wMAUEsDBBQABgAIAAAA&#10;IQCn20r22QAAAAEBAAAPAAAAZHJzL2Rvd25yZXYueG1sTI9PS8NAEMXvgt9hGcGb3aTiv5hNKUU9&#10;FaGtIN6m2WkSmp0N2W2SfntHL3p58HjDe7/JF5Nr1UB9aDwbSGcJKOLS24YrAx+715tHUCEiW2w9&#10;k4EzBVgUlxc5ZtaPvKFhGyslJRwyNFDH2GVah7Imh2HmO2LJDr53GMX2lbY9jlLuWj1PknvtsGFZ&#10;qLGjVU3lcXtyBt5GHJe36cuwPh5W56/d3fvnOiVjrq+m5TOoSFP8O4YffEGHQpj2/sQ2qNaAPBJ/&#10;VbKnB3F7A3PQRa7/kxffAAAA//8DAFBLAQItABQABgAIAAAAIQC2gziS/gAAAOEBAAATAAAAAAAA&#10;AAAAAAAAAAAAAABbQ29udGVudF9UeXBlc10ueG1sUEsBAi0AFAAGAAgAAAAhADj9If/WAAAAlAEA&#10;AAsAAAAAAAAAAAAAAAAALwEAAF9yZWxzLy5yZWxzUEsBAi0AFAAGAAgAAAAhACH5wAmAAgAAUQYA&#10;AA4AAAAAAAAAAAAAAAAALgIAAGRycy9lMm9Eb2MueG1sUEsBAi0AFAAGAAgAAAAhAKfbSvbZAAAA&#10;AQEAAA8AAAAAAAAAAAAAAAAA2gQAAGRycy9kb3ducmV2LnhtbFBLBQYAAAAABAAEAPMAAADgBQAA&#10;AAA=&#10;">
                <v:shape id="Shape 10273" o:spid="_x0000_s1027" style="position:absolute;width:6156;height:91;visibility:visible;mso-wrap-style:square;v-text-anchor:top" coordsize="61569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mvmgcUA&#10;AADeAAAADwAAAGRycy9kb3ducmV2LnhtbERPzWrCQBC+C32HZQq9NRutWE1dRVpKix6qxgcYspNk&#10;aXY2ZFcT374rFLzNx/c7y/VgG3GhzhvHCsZJCoK4cNpwpeCUfz7PQfiArLFxTAqu5GG9ehgtMdOu&#10;5wNdjqESMYR9hgrqENpMSl/UZNEnriWOXOk6iyHCrpK6wz6G20ZO0nQmLRqODTW29F5T8Xs8WwUH&#10;HE9/vvKPzaLs3V4bs92d/Vapp8dh8wYi0BDu4n/3t47z08nrC9zeiTfI1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a+aBxQAAAN4AAAAPAAAAAAAAAAAAAAAAAJgCAABkcnMv&#10;ZG93bnJldi54bWxQSwUGAAAAAAQABAD1AAAAigMAAAAA&#10;" path="m,l615696,r,9144l,9144,,e" fillcolor="black" stroked="f" strokeweight="0">
                  <v:stroke miterlimit="83231f" joinstyle="miter"/>
                  <v:path arrowok="t" textboxrect="0,0,615696,9144"/>
                </v:shape>
                <w10:anchorlock/>
              </v:group>
            </w:pict>
          </mc:Fallback>
        </mc:AlternateContent>
      </w:r>
      <w:r>
        <w:t xml:space="preserve"> </w:t>
      </w:r>
      <w:r>
        <w:tab/>
      </w:r>
      <w:r>
        <w:t xml:space="preserve"> </w:t>
      </w:r>
    </w:p>
    <w:p w14:paraId="58B8D2D1" w14:textId="77777777" w:rsidR="0099057F" w:rsidRDefault="00A746B8">
      <w:pPr>
        <w:spacing w:after="0" w:line="259" w:lineRule="auto"/>
        <w:ind w:left="58" w:firstLine="0"/>
        <w:jc w:val="left"/>
      </w:pPr>
      <w:r>
        <w:t xml:space="preserve"> </w:t>
      </w:r>
      <w:r>
        <w:tab/>
      </w:r>
      <w:r>
        <w:t xml:space="preserve"> </w:t>
      </w:r>
      <w:r>
        <w:tab/>
      </w:r>
      <w:r>
        <w:t xml:space="preserve"> </w:t>
      </w:r>
    </w:p>
    <w:p w14:paraId="457C789D" w14:textId="77777777" w:rsidR="00100C68" w:rsidRPr="00100C68" w:rsidRDefault="00A746B8" w:rsidP="00100C68">
      <w:pPr>
        <w:pStyle w:val="Heading1"/>
        <w:spacing w:after="174"/>
        <w:ind w:left="128" w:right="120"/>
        <w:rPr>
          <w:bCs/>
        </w:rPr>
      </w:pPr>
      <w:r>
        <w:t xml:space="preserve">Uredba št. […] z dne […] o spremembi Uredbe št. 92–307 z dne 31. marca 1992 o izvajanju člena L. 412–1 zakonika o varstvu potrošnikov v zvezi s pivom, kakor je bila spremenjena</w:t>
      </w:r>
    </w:p>
    <w:p w14:paraId="532BECF6" w14:textId="77777777" w:rsidR="0099057F" w:rsidRDefault="0099057F">
      <w:pPr>
        <w:pStyle w:val="Heading1"/>
        <w:spacing w:after="174"/>
        <w:ind w:left="128" w:right="120"/>
      </w:pPr>
    </w:p>
    <w:p w14:paraId="572E6F9C" w14:textId="77777777" w:rsidR="0099057F" w:rsidRDefault="00A746B8">
      <w:pPr>
        <w:spacing w:after="223" w:line="259" w:lineRule="auto"/>
        <w:ind w:left="10" w:right="5"/>
        <w:jc w:val="center"/>
      </w:pPr>
      <w:r>
        <w:t xml:space="preserve">REF. ŠT.:</w:t>
      </w:r>
      <w:r>
        <w:t xml:space="preserve"> </w:t>
      </w:r>
      <w:r>
        <w:t xml:space="preserve">ECO</w:t>
      </w:r>
      <w:r>
        <w:t xml:space="preserve"> </w:t>
      </w:r>
    </w:p>
    <w:p w14:paraId="2B7C9023" w14:textId="77777777" w:rsidR="0099057F" w:rsidRDefault="00A746B8">
      <w:pPr>
        <w:spacing w:after="261" w:line="259" w:lineRule="auto"/>
        <w:ind w:left="0" w:firstLine="0"/>
        <w:jc w:val="left"/>
      </w:pPr>
      <w:r>
        <w:rPr>
          <w:i/>
          <w:sz w:val="20"/>
          <w:rFonts w:ascii="Arial" w:hAnsi="Arial"/>
        </w:rPr>
        <w:t xml:space="preserve"> </w:t>
      </w:r>
    </w:p>
    <w:p w14:paraId="64B247BC" w14:textId="77777777" w:rsidR="0099057F" w:rsidRPr="00FF2216" w:rsidRDefault="00A746B8" w:rsidP="00FF2216">
      <w:pPr>
        <w:suppressAutoHyphens/>
        <w:spacing w:before="120" w:after="120" w:line="259" w:lineRule="auto"/>
        <w:ind w:left="0" w:firstLine="0"/>
        <w:rPr>
          <w:i/>
          <w:iCs/>
          <w:color w:val="auto"/>
          <w:kern w:val="1"/>
          <w:sz w:val="22"/>
          <w:rFonts w:eastAsiaTheme="minorEastAsia"/>
        </w:rPr>
      </w:pPr>
      <w:r>
        <w:rPr>
          <w:i/>
          <w:color w:val="auto"/>
          <w:sz w:val="22"/>
          <w:b/>
        </w:rPr>
        <w:t xml:space="preserve">Zadevna javnost</w:t>
      </w:r>
      <w:r>
        <w:rPr>
          <w:i/>
          <w:color w:val="auto"/>
          <w:sz w:val="22"/>
        </w:rPr>
        <w:t xml:space="preserve">: pivovarski strokovnjaki, potrošniki.</w:t>
      </w:r>
      <w:r>
        <w:rPr>
          <w:i/>
          <w:color w:val="auto"/>
          <w:sz w:val="22"/>
        </w:rPr>
        <w:t xml:space="preserve"> </w:t>
      </w:r>
    </w:p>
    <w:p w14:paraId="2676D9E8" w14:textId="77777777" w:rsidR="0099057F" w:rsidRPr="00FF2216" w:rsidRDefault="00A746B8" w:rsidP="00FF2216">
      <w:pPr>
        <w:suppressAutoHyphens/>
        <w:spacing w:before="120" w:after="120" w:line="259" w:lineRule="auto"/>
        <w:ind w:left="0" w:firstLine="0"/>
        <w:rPr>
          <w:i/>
          <w:iCs/>
          <w:color w:val="auto"/>
          <w:kern w:val="1"/>
          <w:sz w:val="22"/>
          <w:rFonts w:eastAsiaTheme="minorEastAsia"/>
        </w:rPr>
      </w:pPr>
      <w:r>
        <w:rPr>
          <w:i/>
          <w:color w:val="auto"/>
          <w:sz w:val="22"/>
          <w:b/>
          <w:bCs/>
        </w:rPr>
        <w:t xml:space="preserve">Namen</w:t>
      </w:r>
      <w:r>
        <w:rPr>
          <w:i/>
          <w:color w:val="auto"/>
          <w:sz w:val="22"/>
        </w:rPr>
        <w:t xml:space="preserve">: obvezna navedba imena pivovarja in kraja varjenja na etiketah piva.</w:t>
      </w:r>
    </w:p>
    <w:p w14:paraId="38924E42" w14:textId="77777777" w:rsidR="0099057F" w:rsidRPr="00FF2216" w:rsidRDefault="00A746B8" w:rsidP="00FF2216">
      <w:pPr>
        <w:suppressAutoHyphens/>
        <w:spacing w:before="120" w:after="120" w:line="259" w:lineRule="auto"/>
        <w:ind w:left="0" w:firstLine="0"/>
        <w:rPr>
          <w:i/>
          <w:iCs/>
          <w:color w:val="auto"/>
          <w:kern w:val="1"/>
          <w:sz w:val="22"/>
          <w:rFonts w:eastAsiaTheme="minorEastAsia"/>
        </w:rPr>
      </w:pPr>
      <w:r>
        <w:rPr>
          <w:i/>
          <w:color w:val="auto"/>
          <w:sz w:val="22"/>
          <w:b/>
          <w:bCs/>
        </w:rPr>
        <w:t xml:space="preserve">Začetek veljavnosti</w:t>
      </w:r>
      <w:r>
        <w:rPr>
          <w:i/>
          <w:color w:val="auto"/>
          <w:sz w:val="22"/>
        </w:rPr>
        <w:t xml:space="preserve">: besedilo začne veljati 1. julija 2021.</w:t>
      </w:r>
      <w:r>
        <w:rPr>
          <w:i/>
          <w:color w:val="auto"/>
          <w:sz w:val="22"/>
        </w:rPr>
        <w:t xml:space="preserve"> </w:t>
      </w:r>
    </w:p>
    <w:p w14:paraId="5FD0FD8F" w14:textId="77777777" w:rsidR="00FF2216" w:rsidRPr="00FF2216" w:rsidRDefault="00A746B8" w:rsidP="00FF2216">
      <w:pPr>
        <w:suppressAutoHyphens/>
        <w:spacing w:before="120" w:after="120" w:line="259" w:lineRule="auto"/>
        <w:ind w:left="0" w:firstLine="0"/>
        <w:rPr>
          <w:i/>
          <w:iCs/>
          <w:color w:val="auto"/>
          <w:kern w:val="1"/>
          <w:sz w:val="22"/>
          <w:rFonts w:eastAsiaTheme="minorEastAsia"/>
        </w:rPr>
      </w:pPr>
      <w:r>
        <w:rPr>
          <w:i/>
          <w:color w:val="auto"/>
          <w:sz w:val="22"/>
          <w:b/>
        </w:rPr>
        <w:t xml:space="preserve">Obvestilo</w:t>
      </w:r>
      <w:r>
        <w:rPr>
          <w:i/>
          <w:color w:val="auto"/>
          <w:sz w:val="22"/>
        </w:rPr>
        <w:t xml:space="preserve">: za namene uporabe člena L. 412–12 zakonika o varstvu potrošnikov se z besedilom spremeni Uredba št. 92–307 v zvezi s pivom ter določi obvezna navedba imena pivovarja in kraja varjenja na etiketah piva.</w:t>
      </w:r>
      <w:r>
        <w:rPr>
          <w:i/>
          <w:color w:val="auto"/>
          <w:sz w:val="22"/>
        </w:rPr>
        <w:t xml:space="preserve"> </w:t>
      </w:r>
      <w:r>
        <w:rPr>
          <w:i/>
          <w:color w:val="auto"/>
          <w:sz w:val="22"/>
        </w:rPr>
        <w:t xml:space="preserve">V besedilu je določeno, da je treba navesti ime in naslov nosilca živilske dejavnosti poleg imena in naslova pivovarja, če nosilec živilske dejavnosti ni pivovar.</w:t>
      </w:r>
      <w:r>
        <w:rPr>
          <w:i/>
          <w:color w:val="auto"/>
          <w:sz w:val="22"/>
        </w:rPr>
        <w:t xml:space="preserve"> </w:t>
      </w:r>
      <w:r>
        <w:rPr>
          <w:i/>
          <w:color w:val="auto"/>
          <w:sz w:val="22"/>
        </w:rPr>
        <w:t xml:space="preserve">Opredeljeno je, kako morajo biti ti podatki prikazani na etiketah proizvodov.</w:t>
      </w:r>
    </w:p>
    <w:p w14:paraId="6F9C5101" w14:textId="371D076C" w:rsidR="0099057F" w:rsidRPr="00FF2216" w:rsidRDefault="00A746B8" w:rsidP="00FF2216">
      <w:pPr>
        <w:suppressAutoHyphens/>
        <w:spacing w:before="120" w:after="120" w:line="259" w:lineRule="auto"/>
        <w:ind w:left="0" w:firstLine="0"/>
        <w:rPr>
          <w:i/>
          <w:iCs/>
          <w:color w:val="auto"/>
          <w:kern w:val="1"/>
          <w:sz w:val="22"/>
          <w:rFonts w:eastAsiaTheme="minorEastAsia"/>
        </w:rPr>
      </w:pPr>
      <w:r>
        <w:rPr>
          <w:i/>
          <w:color w:val="auto"/>
          <w:sz w:val="22"/>
          <w:b/>
        </w:rPr>
        <w:t xml:space="preserve">Sklicevanja</w:t>
      </w:r>
      <w:r>
        <w:rPr>
          <w:i/>
          <w:color w:val="auto"/>
          <w:sz w:val="22"/>
        </w:rPr>
        <w:t xml:space="preserve">: ta uredba se izda za uporabo člena L. 412–12 zakonika o varstvu potrošnikov.</w:t>
      </w:r>
      <w:r>
        <w:rPr>
          <w:i/>
          <w:color w:val="auto"/>
          <w:sz w:val="22"/>
        </w:rPr>
        <w:t xml:space="preserve"> </w:t>
      </w:r>
      <w:r>
        <w:rPr>
          <w:i/>
          <w:color w:val="auto"/>
          <w:sz w:val="22"/>
        </w:rPr>
        <w:t xml:space="preserve">Besedilo je na voljo na spletni strani Légifrance –</w:t>
      </w:r>
      <w:hyperlink r:id="rId8">
        <w:r>
          <w:rPr>
            <w:i/>
            <w:color w:val="auto"/>
            <w:sz w:val="22"/>
          </w:rPr>
          <w:t xml:space="preserve"> </w:t>
        </w:r>
      </w:hyperlink>
      <w:hyperlink r:id="rId9">
        <w:r>
          <w:rPr>
            <w:i/>
            <w:color w:val="auto"/>
            <w:sz w:val="22"/>
          </w:rPr>
          <w:t xml:space="preserve">http://www.legifrance.gouv.fr</w:t>
        </w:r>
      </w:hyperlink>
      <w:hyperlink r:id="rId10"/>
      <w:r>
        <w:rPr>
          <w:i/>
          <w:color w:val="auto"/>
          <w:sz w:val="22"/>
        </w:rPr>
        <w:t xml:space="preserve"> </w:t>
      </w:r>
    </w:p>
    <w:p w14:paraId="5A77DA76" w14:textId="77777777" w:rsidR="00FF2216" w:rsidRPr="00FF2216" w:rsidRDefault="00FF2216" w:rsidP="00FF2216">
      <w:pPr>
        <w:spacing w:after="0" w:line="250" w:lineRule="auto"/>
        <w:ind w:left="-6" w:hanging="11"/>
        <w:rPr>
          <w:sz w:val="22"/>
        </w:rPr>
      </w:pPr>
    </w:p>
    <w:p w14:paraId="4304B6BC" w14:textId="77777777" w:rsidR="0099057F" w:rsidRDefault="00A746B8">
      <w:pPr>
        <w:pStyle w:val="Heading1"/>
        <w:spacing w:after="230" w:line="259" w:lineRule="auto"/>
        <w:ind w:left="-5"/>
        <w:jc w:val="left"/>
      </w:pPr>
      <w:r>
        <w:t xml:space="preserve">Predsednik vlade –</w:t>
      </w:r>
      <w:r>
        <w:t xml:space="preserve"> </w:t>
      </w:r>
    </w:p>
    <w:p w14:paraId="26E32A48" w14:textId="77777777" w:rsidR="0099057F" w:rsidRDefault="00A746B8" w:rsidP="001B4F2F">
      <w:pPr>
        <w:ind w:left="-5"/>
      </w:pPr>
      <w:r>
        <w:t xml:space="preserve">na podlagi poročila ministra za gospodarstvo, finance in okrevanje gospodarstva;</w:t>
      </w:r>
      <w:r>
        <w:t xml:space="preserve"> </w:t>
      </w:r>
    </w:p>
    <w:p w14:paraId="73D9D9C7" w14:textId="77777777" w:rsidR="0099057F" w:rsidRDefault="0099057F">
      <w:pPr>
        <w:spacing w:after="0" w:line="259" w:lineRule="auto"/>
        <w:ind w:left="708" w:firstLine="0"/>
        <w:jc w:val="left"/>
      </w:pPr>
    </w:p>
    <w:p w14:paraId="0784AE64" w14:textId="56278762" w:rsidR="0099057F" w:rsidRDefault="00A746B8">
      <w:pPr>
        <w:ind w:left="-5"/>
      </w:pPr>
      <w:r>
        <w:t xml:space="preserve">ob upoštevanju Uredbe (EU) št. 1169/2011 Evropskega parlamenta in Sveta z dne 25. oktobra 2011 o zagotavljanju informacij o živilih potrošnikom, spremembah uredb (ES) št. 1924/2006 in (ES) št. 1925/2006 Evropskega parlamenta in Sveta ter razveljavitvi Direktive Komisije 87/250/EGS, Direktive Sveta 90/496/EGS, Direktive Komisije 1999/10/ES, Direktive 2000/13/ES Evropskega parlamenta in Sveta, direktiv Komisije 2002/67/ES in 2008/5/ES in Uredbe Komisije (ES) št. 608/2004, kakor je bila spremenjena, zlasti členov 38 in 39;</w:t>
      </w:r>
      <w:r>
        <w:t xml:space="preserve"> </w:t>
      </w:r>
    </w:p>
    <w:p w14:paraId="5EDB423E" w14:textId="4581A1C7" w:rsidR="006011F7" w:rsidRDefault="006011F7">
      <w:pPr>
        <w:ind w:left="-5"/>
      </w:pPr>
    </w:p>
    <w:p w14:paraId="1F7EDC89" w14:textId="2CBFDE6D" w:rsidR="0099057F" w:rsidRDefault="00A746B8">
      <w:pPr>
        <w:ind w:left="-5"/>
      </w:pPr>
      <w:r>
        <w:t xml:space="preserve">ob upoštevanju zakonika o varstvu potrošnikov, zlasti členov L. 412–1 in L. 412–12,</w:t>
      </w:r>
      <w:r>
        <w:rPr>
          <w:color w:val="auto"/>
          <w:sz w:val="22"/>
          <w:rFonts w:asciiTheme="minorHAnsi" w:hAnsiTheme="minorHAnsi"/>
        </w:rPr>
        <w:t xml:space="preserve"> </w:t>
      </w:r>
      <w:r>
        <w:t xml:space="preserve">v obliki osnutka, ki izhaja iz zakona št. 2021–1357 z dne 18. oktobra 2021, namenjenega zaščiti prihodkov kmetov;</w:t>
      </w:r>
      <w:r>
        <w:t xml:space="preserve"> </w:t>
      </w:r>
    </w:p>
    <w:p w14:paraId="60DF2C57" w14:textId="77777777" w:rsidR="00CC652F" w:rsidRDefault="00CC652F">
      <w:pPr>
        <w:ind w:left="-5"/>
      </w:pPr>
    </w:p>
    <w:p w14:paraId="3E6485B2" w14:textId="77777777" w:rsidR="001B4F2F" w:rsidRPr="001B4F2F" w:rsidRDefault="001B4F2F" w:rsidP="001B4F2F">
      <w:pPr>
        <w:ind w:left="-5"/>
        <w:rPr>
          <w:b/>
          <w:bCs/>
        </w:rPr>
      </w:pPr>
      <w:r>
        <w:t xml:space="preserve">ob upoštevanju Uredbe št. 92–307 z dne 31. marca 1992 o izvajanju člena L. 412–1 zakonika o varstvu potrošnikov v zvezi s pivom;</w:t>
      </w:r>
    </w:p>
    <w:p w14:paraId="3169C72C" w14:textId="77777777" w:rsidR="0099057F" w:rsidRDefault="0099057F" w:rsidP="001B4F2F">
      <w:pPr>
        <w:spacing w:after="0" w:line="259" w:lineRule="auto"/>
        <w:ind w:left="0" w:firstLine="0"/>
        <w:jc w:val="left"/>
      </w:pPr>
    </w:p>
    <w:p w14:paraId="420A9DBA" w14:textId="77777777" w:rsidR="0099057F" w:rsidRDefault="00A746B8">
      <w:pPr>
        <w:ind w:left="-5"/>
      </w:pPr>
      <w:r>
        <w:t xml:space="preserve">ob upoštevanju uradnega obvestila št. […], poslanega dne Evropski komisiji dne […];</w:t>
      </w:r>
      <w:r>
        <w:t xml:space="preserve"> </w:t>
      </w:r>
    </w:p>
    <w:p w14:paraId="2C51D1FF" w14:textId="77777777" w:rsidR="0099057F" w:rsidRDefault="00A746B8">
      <w:pPr>
        <w:spacing w:after="23" w:line="259" w:lineRule="auto"/>
        <w:ind w:left="708" w:firstLine="0"/>
        <w:jc w:val="left"/>
      </w:pPr>
      <w:r>
        <w:t xml:space="preserve"> </w:t>
      </w:r>
    </w:p>
    <w:p w14:paraId="59F1ECEA" w14:textId="77777777" w:rsidR="0099057F" w:rsidRDefault="00A746B8">
      <w:pPr>
        <w:ind w:left="-5"/>
      </w:pPr>
      <w:r>
        <w:t xml:space="preserve">ob upoštevanju mnenja državnega sveta (Oddelek za finance),</w:t>
      </w:r>
      <w:r>
        <w:t xml:space="preserve"> </w:t>
      </w:r>
    </w:p>
    <w:p w14:paraId="311ABF93" w14:textId="77777777" w:rsidR="0099057F" w:rsidRDefault="00A746B8">
      <w:pPr>
        <w:spacing w:after="0" w:line="259" w:lineRule="auto"/>
        <w:ind w:left="0" w:firstLine="0"/>
        <w:jc w:val="left"/>
      </w:pPr>
      <w:r>
        <w:t xml:space="preserve"> </w:t>
      </w:r>
    </w:p>
    <w:p w14:paraId="0F4668C1" w14:textId="77777777" w:rsidR="0099057F" w:rsidRDefault="00A746B8">
      <w:pPr>
        <w:spacing w:after="1" w:line="258" w:lineRule="auto"/>
        <w:ind w:left="128" w:right="125"/>
        <w:jc w:val="center"/>
      </w:pPr>
      <w:r>
        <w:rPr>
          <w:b/>
        </w:rPr>
        <w:t xml:space="preserve">odreja:</w:t>
      </w:r>
      <w:r>
        <w:rPr>
          <w:b/>
        </w:rPr>
        <w:t xml:space="preserve"> </w:t>
      </w:r>
    </w:p>
    <w:p w14:paraId="1B2D74C7" w14:textId="77777777" w:rsidR="0099057F" w:rsidRDefault="00A746B8">
      <w:pPr>
        <w:spacing w:after="0" w:line="259" w:lineRule="auto"/>
        <w:ind w:left="55" w:firstLine="0"/>
        <w:jc w:val="center"/>
      </w:pPr>
      <w:r>
        <w:rPr>
          <w:b/>
        </w:rPr>
        <w:t xml:space="preserve"> </w:t>
      </w:r>
    </w:p>
    <w:p w14:paraId="39E5C6C4" w14:textId="33B60CF3" w:rsidR="0099057F" w:rsidRDefault="00A746B8">
      <w:pPr>
        <w:pStyle w:val="Heading1"/>
        <w:spacing w:after="51"/>
        <w:ind w:left="128" w:right="123"/>
        <w:rPr>
          <w:vertAlign w:val="superscript"/>
        </w:rPr>
      </w:pPr>
      <w:r>
        <w:t xml:space="preserve">Člen 1</w:t>
      </w:r>
    </w:p>
    <w:p w14:paraId="3F072A31" w14:textId="77777777" w:rsidR="0013677B" w:rsidRPr="0013677B" w:rsidRDefault="0013677B" w:rsidP="0013677B"/>
    <w:p w14:paraId="10EA5D3D" w14:textId="77777777" w:rsidR="00607F62" w:rsidRDefault="00607F62">
      <w:pPr>
        <w:spacing w:after="107"/>
        <w:ind w:left="-5"/>
      </w:pPr>
      <w:r>
        <w:t xml:space="preserve">Za členom 3 prej omenjene Uredbe z dne 31. marca 1992 se vstavi člen 3–1:</w:t>
      </w:r>
    </w:p>
    <w:p w14:paraId="0A07B2EC" w14:textId="6A1B90AE" w:rsidR="00203B7E" w:rsidRDefault="00B33862" w:rsidP="00635500">
      <w:pPr>
        <w:spacing w:after="0" w:line="259" w:lineRule="auto"/>
        <w:ind w:left="0" w:firstLine="0"/>
      </w:pPr>
      <w:r>
        <w:t xml:space="preserve">„Člen 3–1. Etikete za pivo vključujejo naslednje:</w:t>
      </w:r>
      <w:r>
        <w:t xml:space="preserve"> </w:t>
      </w:r>
      <w:r>
        <w:t xml:space="preserve">‚Pivo, ki ga vari:‘ sledi ime pivovarja in naslov kraja varjenja.</w:t>
      </w:r>
    </w:p>
    <w:p w14:paraId="6467BF54" w14:textId="77777777" w:rsidR="00203B7E" w:rsidRDefault="00203B7E" w:rsidP="00635500">
      <w:pPr>
        <w:spacing w:after="0" w:line="259" w:lineRule="auto"/>
        <w:ind w:left="0" w:firstLine="0"/>
      </w:pPr>
    </w:p>
    <w:p w14:paraId="7B23F12C" w14:textId="54DAC754" w:rsidR="00635500" w:rsidRDefault="00203B7E" w:rsidP="00635500">
      <w:pPr>
        <w:spacing w:after="0" w:line="259" w:lineRule="auto"/>
        <w:ind w:left="0" w:firstLine="0"/>
      </w:pPr>
      <w:r>
        <w:t xml:space="preserve">Kadar se trgovsko ime piva nanaša na geografsko območje, v katerem se ne nahaja kraj varjenja, se navedba iz prvega odstavka zgoraj navede v neposredni bližini tega imena.</w:t>
      </w:r>
    </w:p>
    <w:p w14:paraId="2CE82843" w14:textId="77777777" w:rsidR="00635500" w:rsidRDefault="00635500" w:rsidP="00635500">
      <w:pPr>
        <w:spacing w:after="0" w:line="259" w:lineRule="auto"/>
        <w:ind w:left="0" w:firstLine="0"/>
      </w:pPr>
    </w:p>
    <w:p w14:paraId="615D4ECE" w14:textId="1DDD1C36" w:rsidR="0099057F" w:rsidRDefault="00635500" w:rsidP="00635500">
      <w:pPr>
        <w:spacing w:after="0" w:line="259" w:lineRule="auto"/>
        <w:ind w:left="0" w:firstLine="0"/>
      </w:pPr>
      <w:r>
        <w:t xml:space="preserve">Poleg tega, če nosilec živilske dejavnosti v smislu člena 8 Uredbe (EU) št. 1169/2011 Evropskega parlamenta in Sveta z dne 25. oktobra 2011 o zagotavljanju informacij o živilih potrošnikom ni pivovar, se navede naslednje:</w:t>
      </w:r>
      <w:r>
        <w:t xml:space="preserve"> </w:t>
      </w:r>
      <w:r>
        <w:t xml:space="preserve">‚Pivo, varjeno za:</w:t>
      </w:r>
      <w:r>
        <w:t xml:space="preserve"> </w:t>
      </w:r>
      <w:r>
        <w:t xml:space="preserve">‘, ki mu sledita ime in naslov podjetja, v neposredni bližini navedbe iz prvega odstavka.“</w:t>
      </w:r>
    </w:p>
    <w:p w14:paraId="53A52514" w14:textId="77777777" w:rsidR="008004B4" w:rsidRDefault="008004B4" w:rsidP="00635500">
      <w:pPr>
        <w:spacing w:after="0" w:line="259" w:lineRule="auto"/>
        <w:ind w:left="0" w:firstLine="0"/>
      </w:pPr>
    </w:p>
    <w:p w14:paraId="7BB54837" w14:textId="19282DB5" w:rsidR="0099057F" w:rsidRDefault="00A746B8">
      <w:pPr>
        <w:pStyle w:val="Heading1"/>
        <w:ind w:left="128" w:right="123"/>
      </w:pPr>
      <w:r>
        <w:t xml:space="preserve">Člen 2</w:t>
      </w:r>
    </w:p>
    <w:p w14:paraId="74A07251" w14:textId="77777777" w:rsidR="0099057F" w:rsidRDefault="00A746B8">
      <w:pPr>
        <w:spacing w:after="0" w:line="259" w:lineRule="auto"/>
        <w:ind w:left="0" w:firstLine="0"/>
        <w:jc w:val="left"/>
      </w:pPr>
      <w:r>
        <w:t xml:space="preserve"> </w:t>
      </w:r>
    </w:p>
    <w:p w14:paraId="4A4E95DF" w14:textId="132CE7E4" w:rsidR="0099057F" w:rsidRPr="00795C97" w:rsidRDefault="00A746B8" w:rsidP="00924234">
      <w:pPr>
        <w:ind w:left="-5"/>
        <w:rPr>
          <w:color w:val="auto"/>
        </w:rPr>
      </w:pPr>
      <w:r>
        <w:t xml:space="preserve">Določbe te uredbe</w:t>
      </w:r>
      <w:r>
        <w:rPr>
          <w:color w:val="auto"/>
        </w:rPr>
        <w:t xml:space="preserve"> začnejo veljati 1. julija 2022.</w:t>
      </w:r>
    </w:p>
    <w:p w14:paraId="43D85D02" w14:textId="77777777" w:rsidR="0099057F" w:rsidRDefault="00A746B8">
      <w:pPr>
        <w:spacing w:after="0" w:line="259" w:lineRule="auto"/>
        <w:ind w:left="0" w:firstLine="0"/>
        <w:jc w:val="left"/>
      </w:pPr>
      <w:r>
        <w:t xml:space="preserve"> </w:t>
      </w:r>
    </w:p>
    <w:p w14:paraId="5E74FD20" w14:textId="3CC8CB54" w:rsidR="0099057F" w:rsidRDefault="00A746B8">
      <w:pPr>
        <w:ind w:left="-5"/>
      </w:pPr>
      <w:r>
        <w:t xml:space="preserve">Pivo, dano v promet ali označeno do 30. junija 2022, ki je v skladu z določbami, veljavnimi do navedenega datuma, se lahko trži do porabe zalog.</w:t>
      </w:r>
    </w:p>
    <w:p w14:paraId="491FA7F0" w14:textId="77777777" w:rsidR="0099057F" w:rsidRDefault="0099057F" w:rsidP="009D35BD">
      <w:pPr>
        <w:spacing w:after="0" w:line="259" w:lineRule="auto"/>
        <w:ind w:left="0" w:firstLine="0"/>
        <w:jc w:val="center"/>
      </w:pPr>
    </w:p>
    <w:p w14:paraId="5E7A90EE" w14:textId="77777777" w:rsidR="0099057F" w:rsidRDefault="00A746B8">
      <w:pPr>
        <w:pStyle w:val="Heading1"/>
        <w:ind w:left="128" w:right="123"/>
      </w:pPr>
      <w:r>
        <w:t xml:space="preserve">Člen 3</w:t>
      </w:r>
      <w:r>
        <w:t xml:space="preserve"> </w:t>
      </w:r>
    </w:p>
    <w:p w14:paraId="1F16E623" w14:textId="77777777" w:rsidR="0099057F" w:rsidRDefault="00A746B8">
      <w:pPr>
        <w:spacing w:after="0" w:line="259" w:lineRule="auto"/>
        <w:ind w:left="0" w:firstLine="0"/>
        <w:jc w:val="left"/>
      </w:pPr>
      <w:r>
        <w:t xml:space="preserve"> </w:t>
      </w:r>
    </w:p>
    <w:p w14:paraId="4C8780DD" w14:textId="053B6DA9" w:rsidR="00795C97" w:rsidRDefault="00A9141C" w:rsidP="003C2BAA">
      <w:pPr>
        <w:spacing w:after="0" w:line="240" w:lineRule="auto"/>
        <w:ind w:left="-6" w:hanging="11"/>
      </w:pPr>
      <w:r>
        <w:t xml:space="preserve">Za izvajanje te uredbe, ki bo objavljena v Uradnem listu Francoske republike, so odgovorni minister za gospodarstvo, finance in okrevanje gospodarstva, čuvaj pečatov, minister za pravosodje in ministrski pooblaščenec pri ministru za gospodarstvo, finance in okrevanje gospodarstva, pristojen za mala in srednja podjetja.</w:t>
      </w:r>
      <w:r>
        <w:t xml:space="preserve"> </w:t>
      </w:r>
    </w:p>
    <w:p w14:paraId="05678850" w14:textId="77777777" w:rsidR="00795C97" w:rsidRDefault="00795C97">
      <w:pPr>
        <w:spacing w:line="390" w:lineRule="auto"/>
        <w:ind w:left="-5"/>
      </w:pPr>
    </w:p>
    <w:p w14:paraId="6FE5195C" w14:textId="5A7434F3" w:rsidR="0099057F" w:rsidRDefault="00A746B8" w:rsidP="00795C97">
      <w:pPr>
        <w:spacing w:line="390" w:lineRule="auto"/>
        <w:ind w:left="-5" w:firstLine="713"/>
      </w:pPr>
      <w:r>
        <w:t xml:space="preserve">Sestavljeno dne</w:t>
      </w:r>
    </w:p>
    <w:p w14:paraId="430AD662" w14:textId="77777777" w:rsidR="0099057F" w:rsidRDefault="00A746B8">
      <w:pPr>
        <w:spacing w:after="107"/>
        <w:ind w:left="730"/>
      </w:pPr>
      <w:r>
        <w:t xml:space="preserve">Predsednik vlade:</w:t>
      </w:r>
      <w:r>
        <w:t xml:space="preserve"> </w:t>
      </w:r>
    </w:p>
    <w:sectPr w:rsidR="0099057F">
      <w:pgSz w:w="11906" w:h="16838"/>
      <w:pgMar w:top="1135" w:right="1416" w:bottom="1468" w:left="113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1F424D" w14:textId="77777777" w:rsidR="00002A30" w:rsidRDefault="00002A30" w:rsidP="00D11B82">
      <w:pPr>
        <w:spacing w:after="0" w:line="240" w:lineRule="auto"/>
      </w:pPr>
      <w:r>
        <w:separator/>
      </w:r>
    </w:p>
  </w:endnote>
  <w:endnote w:type="continuationSeparator" w:id="0">
    <w:p w14:paraId="0856076C" w14:textId="77777777" w:rsidR="00002A30" w:rsidRDefault="00002A30" w:rsidP="00D11B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98C964" w14:textId="77777777" w:rsidR="00002A30" w:rsidRDefault="00002A30" w:rsidP="00D11B82">
      <w:pPr>
        <w:spacing w:after="0" w:line="240" w:lineRule="auto"/>
      </w:pPr>
      <w:r>
        <w:separator/>
      </w:r>
    </w:p>
  </w:footnote>
  <w:footnote w:type="continuationSeparator" w:id="0">
    <w:p w14:paraId="36EA6255" w14:textId="77777777" w:rsidR="00002A30" w:rsidRDefault="00002A30" w:rsidP="00D11B8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697204"/>
    <w:multiLevelType w:val="hybridMultilevel"/>
    <w:tmpl w:val="A1B2DB82"/>
    <w:lvl w:ilvl="0" w:tplc="8CCCD6F8">
      <w:start w:val="2008"/>
      <w:numFmt w:val="decimal"/>
      <w:lvlText w:val="%1"/>
      <w:lvlJc w:val="left"/>
      <w:pPr>
        <w:ind w:left="1200" w:hanging="48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 w15:restartNumberingAfterBreak="0">
    <w:nsid w:val="27BD32AA"/>
    <w:multiLevelType w:val="hybridMultilevel"/>
    <w:tmpl w:val="D8B09838"/>
    <w:lvl w:ilvl="0" w:tplc="1B7A8A1C">
      <w:start w:val="1"/>
      <w:numFmt w:val="bullet"/>
      <w:lvlText w:val="-"/>
      <w:lvlJc w:val="left"/>
      <w:pPr>
        <w:ind w:left="7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BBA099A8">
      <w:start w:val="1"/>
      <w:numFmt w:val="bullet"/>
      <w:lvlText w:val="o"/>
      <w:lvlJc w:val="left"/>
      <w:pPr>
        <w:ind w:left="14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6AEA2F62">
      <w:start w:val="1"/>
      <w:numFmt w:val="bullet"/>
      <w:lvlText w:val="▪"/>
      <w:lvlJc w:val="left"/>
      <w:pPr>
        <w:ind w:left="21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1E3677F2">
      <w:start w:val="1"/>
      <w:numFmt w:val="bullet"/>
      <w:lvlText w:val="•"/>
      <w:lvlJc w:val="left"/>
      <w:pPr>
        <w:ind w:left="28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F4425384">
      <w:start w:val="1"/>
      <w:numFmt w:val="bullet"/>
      <w:lvlText w:val="o"/>
      <w:lvlJc w:val="left"/>
      <w:pPr>
        <w:ind w:left="36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8A3EF8D4">
      <w:start w:val="1"/>
      <w:numFmt w:val="bullet"/>
      <w:lvlText w:val="▪"/>
      <w:lvlJc w:val="left"/>
      <w:pPr>
        <w:ind w:left="43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66240824">
      <w:start w:val="1"/>
      <w:numFmt w:val="bullet"/>
      <w:lvlText w:val="•"/>
      <w:lvlJc w:val="left"/>
      <w:pPr>
        <w:ind w:left="50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AF443EB2">
      <w:start w:val="1"/>
      <w:numFmt w:val="bullet"/>
      <w:lvlText w:val="o"/>
      <w:lvlJc w:val="left"/>
      <w:pPr>
        <w:ind w:left="57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9A5C4B50">
      <w:start w:val="1"/>
      <w:numFmt w:val="bullet"/>
      <w:lvlText w:val="▪"/>
      <w:lvlJc w:val="left"/>
      <w:pPr>
        <w:ind w:left="64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39954172"/>
    <w:multiLevelType w:val="hybridMultilevel"/>
    <w:tmpl w:val="F1165D2C"/>
    <w:lvl w:ilvl="0" w:tplc="CD2C9792">
      <w:start w:val="1"/>
      <w:numFmt w:val="lowerLetter"/>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4301904">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BEEAD74">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87CC210">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454E62E">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DCAFC08">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5C887C8">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740D452">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B0844BA">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6343469E"/>
    <w:multiLevelType w:val="hybridMultilevel"/>
    <w:tmpl w:val="CFE64A3E"/>
    <w:lvl w:ilvl="0" w:tplc="B32C0CA4">
      <w:start w:val="1"/>
      <w:numFmt w:val="bullet"/>
      <w:lvlText w:val=""/>
      <w:lvlJc w:val="left"/>
      <w:pPr>
        <w:ind w:left="7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5D66AC66">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FA64ADC">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B4E50F6">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2A2CE8C">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55E52CE">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C9E3EB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A36355C">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EE8FAB6">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7A6C42B7"/>
    <w:multiLevelType w:val="hybridMultilevel"/>
    <w:tmpl w:val="5A0AC2F8"/>
    <w:lvl w:ilvl="0" w:tplc="2B1ACD4C">
      <w:start w:val="1"/>
      <w:numFmt w:val="lowerLetter"/>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85A63E2">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C4A6090">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35A8242">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FBA76EE">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AC89370">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994C5BA">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74075DC">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A9AD5FA">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7B8B507F"/>
    <w:multiLevelType w:val="hybridMultilevel"/>
    <w:tmpl w:val="BEF661DA"/>
    <w:lvl w:ilvl="0" w:tplc="3ECC80DA">
      <w:start w:val="1"/>
      <w:numFmt w:val="lowerLetter"/>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E082B7E">
      <w:start w:val="1"/>
      <w:numFmt w:val="lowerLetter"/>
      <w:lvlText w:val="%2"/>
      <w:lvlJc w:val="left"/>
      <w:pPr>
        <w:ind w:left="14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20ED85A">
      <w:start w:val="1"/>
      <w:numFmt w:val="lowerRoman"/>
      <w:lvlText w:val="%3"/>
      <w:lvlJc w:val="left"/>
      <w:pPr>
        <w:ind w:left="21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D74FDD2">
      <w:start w:val="1"/>
      <w:numFmt w:val="decimal"/>
      <w:lvlText w:val="%4"/>
      <w:lvlJc w:val="left"/>
      <w:pPr>
        <w:ind w:left="28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69ED66C">
      <w:start w:val="1"/>
      <w:numFmt w:val="lowerLetter"/>
      <w:lvlText w:val="%5"/>
      <w:lvlJc w:val="left"/>
      <w:pPr>
        <w:ind w:left="35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82898E2">
      <w:start w:val="1"/>
      <w:numFmt w:val="lowerRoman"/>
      <w:lvlText w:val="%6"/>
      <w:lvlJc w:val="left"/>
      <w:pPr>
        <w:ind w:left="43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0989BB2">
      <w:start w:val="1"/>
      <w:numFmt w:val="decimal"/>
      <w:lvlText w:val="%7"/>
      <w:lvlJc w:val="left"/>
      <w:pPr>
        <w:ind w:left="50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0B2F27C">
      <w:start w:val="1"/>
      <w:numFmt w:val="lowerLetter"/>
      <w:lvlText w:val="%8"/>
      <w:lvlJc w:val="left"/>
      <w:pPr>
        <w:ind w:left="57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D84CAFE">
      <w:start w:val="1"/>
      <w:numFmt w:val="lowerRoman"/>
      <w:lvlText w:val="%9"/>
      <w:lvlJc w:val="left"/>
      <w:pPr>
        <w:ind w:left="64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7FDC7E91"/>
    <w:multiLevelType w:val="hybridMultilevel"/>
    <w:tmpl w:val="C4EC03F6"/>
    <w:lvl w:ilvl="0" w:tplc="5F34A3F2">
      <w:start w:val="1"/>
      <w:numFmt w:val="lowerLetter"/>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4CC16BE">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D841864">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1667C46">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640B036">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E28F3B0">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70C3E16">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24CB136">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D18A7C2">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4"/>
  </w:num>
  <w:num w:numId="2">
    <w:abstractNumId w:val="2"/>
  </w:num>
  <w:num w:numId="3">
    <w:abstractNumId w:val="5"/>
  </w:num>
  <w:num w:numId="4">
    <w:abstractNumId w:val="6"/>
  </w:num>
  <w:num w:numId="5">
    <w:abstractNumId w:val="1"/>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dirty" w:grammar="dirty"/>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057F"/>
    <w:rsid w:val="00002A30"/>
    <w:rsid w:val="0003773D"/>
    <w:rsid w:val="00046FC9"/>
    <w:rsid w:val="00060285"/>
    <w:rsid w:val="00073D3A"/>
    <w:rsid w:val="00100C68"/>
    <w:rsid w:val="00110042"/>
    <w:rsid w:val="00111F4C"/>
    <w:rsid w:val="0013677B"/>
    <w:rsid w:val="001510CD"/>
    <w:rsid w:val="00172CDC"/>
    <w:rsid w:val="001B4F2F"/>
    <w:rsid w:val="001D11AE"/>
    <w:rsid w:val="00203B7E"/>
    <w:rsid w:val="002221F4"/>
    <w:rsid w:val="002229D4"/>
    <w:rsid w:val="00262F58"/>
    <w:rsid w:val="00286FEF"/>
    <w:rsid w:val="00291ACC"/>
    <w:rsid w:val="002B4777"/>
    <w:rsid w:val="002F5CEA"/>
    <w:rsid w:val="003431EF"/>
    <w:rsid w:val="003672DC"/>
    <w:rsid w:val="00370713"/>
    <w:rsid w:val="00377F41"/>
    <w:rsid w:val="003A0AAF"/>
    <w:rsid w:val="003C2BAA"/>
    <w:rsid w:val="0042102D"/>
    <w:rsid w:val="00442033"/>
    <w:rsid w:val="004663EC"/>
    <w:rsid w:val="00490787"/>
    <w:rsid w:val="004B7C70"/>
    <w:rsid w:val="004C7E0D"/>
    <w:rsid w:val="004F152D"/>
    <w:rsid w:val="004F364B"/>
    <w:rsid w:val="00503D36"/>
    <w:rsid w:val="00506559"/>
    <w:rsid w:val="00515596"/>
    <w:rsid w:val="00530233"/>
    <w:rsid w:val="00534E15"/>
    <w:rsid w:val="00537E34"/>
    <w:rsid w:val="00555A17"/>
    <w:rsid w:val="00572E17"/>
    <w:rsid w:val="005C5F3C"/>
    <w:rsid w:val="005F69B8"/>
    <w:rsid w:val="006011F7"/>
    <w:rsid w:val="00602D64"/>
    <w:rsid w:val="00604904"/>
    <w:rsid w:val="00607F62"/>
    <w:rsid w:val="00635500"/>
    <w:rsid w:val="006B466E"/>
    <w:rsid w:val="00747F18"/>
    <w:rsid w:val="00795C97"/>
    <w:rsid w:val="007A3789"/>
    <w:rsid w:val="007D2BF4"/>
    <w:rsid w:val="008004B4"/>
    <w:rsid w:val="00832509"/>
    <w:rsid w:val="008348BE"/>
    <w:rsid w:val="008850D5"/>
    <w:rsid w:val="008E7855"/>
    <w:rsid w:val="008F7018"/>
    <w:rsid w:val="00924234"/>
    <w:rsid w:val="00936C4A"/>
    <w:rsid w:val="00940331"/>
    <w:rsid w:val="00974375"/>
    <w:rsid w:val="0099057F"/>
    <w:rsid w:val="009D35BD"/>
    <w:rsid w:val="009E3F3C"/>
    <w:rsid w:val="00A56696"/>
    <w:rsid w:val="00A746B8"/>
    <w:rsid w:val="00A8086F"/>
    <w:rsid w:val="00A86EA3"/>
    <w:rsid w:val="00A9141C"/>
    <w:rsid w:val="00B33862"/>
    <w:rsid w:val="00B4140F"/>
    <w:rsid w:val="00B91A69"/>
    <w:rsid w:val="00BE2634"/>
    <w:rsid w:val="00C076A2"/>
    <w:rsid w:val="00C14DB2"/>
    <w:rsid w:val="00C22041"/>
    <w:rsid w:val="00CC652F"/>
    <w:rsid w:val="00CE4AAC"/>
    <w:rsid w:val="00CF79F6"/>
    <w:rsid w:val="00D11B82"/>
    <w:rsid w:val="00D36103"/>
    <w:rsid w:val="00D42F0D"/>
    <w:rsid w:val="00D7314D"/>
    <w:rsid w:val="00D74E3D"/>
    <w:rsid w:val="00D84728"/>
    <w:rsid w:val="00DD7677"/>
    <w:rsid w:val="00DE2985"/>
    <w:rsid w:val="00E06871"/>
    <w:rsid w:val="00E27FED"/>
    <w:rsid w:val="00E625F7"/>
    <w:rsid w:val="00EC76D8"/>
    <w:rsid w:val="00F30F8A"/>
    <w:rsid w:val="00F55A21"/>
    <w:rsid w:val="00F63B00"/>
    <w:rsid w:val="00F703BE"/>
    <w:rsid w:val="00FA0032"/>
    <w:rsid w:val="00FB184F"/>
    <w:rsid w:val="00FF1371"/>
    <w:rsid w:val="00FF2216"/>
    <w:rsid w:val="00FF2ED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28BCDB"/>
  <w15:docId w15:val="{91BD89CE-C04D-4B49-871F-01A2429E4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l-SI"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48" w:lineRule="auto"/>
      <w:ind w:left="92"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1" w:line="258" w:lineRule="auto"/>
      <w:ind w:left="478" w:hanging="10"/>
      <w:jc w:val="center"/>
      <w:outlineLvl w:val="0"/>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9E3F3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3F3C"/>
    <w:rPr>
      <w:rFonts w:ascii="Segoe UI" w:eastAsia="Times New Roman" w:hAnsi="Segoe UI" w:cs="Segoe UI"/>
      <w:color w:val="000000"/>
      <w:sz w:val="18"/>
      <w:szCs w:val="18"/>
    </w:rPr>
  </w:style>
  <w:style w:type="paragraph" w:styleId="ListParagraph">
    <w:name w:val="List Paragraph"/>
    <w:basedOn w:val="Normal"/>
    <w:uiPriority w:val="34"/>
    <w:qFormat/>
    <w:rsid w:val="009E3F3C"/>
    <w:pPr>
      <w:ind w:left="720"/>
      <w:contextualSpacing/>
    </w:pPr>
  </w:style>
  <w:style w:type="paragraph" w:styleId="Header">
    <w:name w:val="header"/>
    <w:basedOn w:val="Normal"/>
    <w:link w:val="HeaderChar"/>
    <w:uiPriority w:val="99"/>
    <w:unhideWhenUsed/>
    <w:rsid w:val="00D11B82"/>
    <w:pPr>
      <w:tabs>
        <w:tab w:val="center" w:pos="4536"/>
        <w:tab w:val="right" w:pos="9072"/>
      </w:tabs>
      <w:spacing w:after="0" w:line="240" w:lineRule="auto"/>
    </w:pPr>
  </w:style>
  <w:style w:type="character" w:customStyle="1" w:styleId="HeaderChar">
    <w:name w:val="Header Char"/>
    <w:basedOn w:val="DefaultParagraphFont"/>
    <w:link w:val="Header"/>
    <w:uiPriority w:val="99"/>
    <w:rsid w:val="00D11B82"/>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D11B82"/>
    <w:pPr>
      <w:tabs>
        <w:tab w:val="center" w:pos="4536"/>
        <w:tab w:val="right" w:pos="9072"/>
      </w:tabs>
      <w:spacing w:after="0" w:line="240" w:lineRule="auto"/>
    </w:pPr>
  </w:style>
  <w:style w:type="character" w:customStyle="1" w:styleId="FooterChar">
    <w:name w:val="Footer Char"/>
    <w:basedOn w:val="DefaultParagraphFont"/>
    <w:link w:val="Footer"/>
    <w:uiPriority w:val="99"/>
    <w:rsid w:val="00D11B82"/>
    <w:rPr>
      <w:rFonts w:ascii="Times New Roman" w:eastAsia="Times New Roman" w:hAnsi="Times New Roman" w:cs="Times New Roman"/>
      <w:color w:val="000000"/>
      <w:sz w:val="24"/>
    </w:rPr>
  </w:style>
  <w:style w:type="character" w:styleId="Hyperlink">
    <w:name w:val="Hyperlink"/>
    <w:basedOn w:val="DefaultParagraphFont"/>
    <w:uiPriority w:val="99"/>
    <w:unhideWhenUsed/>
    <w:rsid w:val="001B4F2F"/>
    <w:rPr>
      <w:color w:val="0563C1" w:themeColor="hyperlink"/>
      <w:u w:val="single"/>
    </w:rPr>
  </w:style>
  <w:style w:type="character" w:styleId="CommentReference">
    <w:name w:val="annotation reference"/>
    <w:basedOn w:val="DefaultParagraphFont"/>
    <w:uiPriority w:val="99"/>
    <w:semiHidden/>
    <w:unhideWhenUsed/>
    <w:rsid w:val="006B466E"/>
    <w:rPr>
      <w:sz w:val="16"/>
      <w:szCs w:val="16"/>
    </w:rPr>
  </w:style>
  <w:style w:type="paragraph" w:styleId="CommentText">
    <w:name w:val="annotation text"/>
    <w:basedOn w:val="Normal"/>
    <w:link w:val="CommentTextChar"/>
    <w:uiPriority w:val="99"/>
    <w:semiHidden/>
    <w:unhideWhenUsed/>
    <w:rsid w:val="006B466E"/>
    <w:pPr>
      <w:spacing w:line="240" w:lineRule="auto"/>
    </w:pPr>
    <w:rPr>
      <w:sz w:val="20"/>
      <w:szCs w:val="20"/>
    </w:rPr>
  </w:style>
  <w:style w:type="character" w:customStyle="1" w:styleId="CommentTextChar">
    <w:name w:val="Comment Text Char"/>
    <w:basedOn w:val="DefaultParagraphFont"/>
    <w:link w:val="CommentText"/>
    <w:uiPriority w:val="99"/>
    <w:semiHidden/>
    <w:rsid w:val="006B466E"/>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6B466E"/>
    <w:rPr>
      <w:b/>
      <w:bCs/>
    </w:rPr>
  </w:style>
  <w:style w:type="character" w:customStyle="1" w:styleId="CommentSubjectChar">
    <w:name w:val="Comment Subject Char"/>
    <w:basedOn w:val="CommentTextChar"/>
    <w:link w:val="CommentSubject"/>
    <w:uiPriority w:val="99"/>
    <w:semiHidden/>
    <w:rsid w:val="006B466E"/>
    <w:rPr>
      <w:rFonts w:ascii="Times New Roman" w:eastAsia="Times New Roman" w:hAnsi="Times New Roman" w:cs="Times New Roman"/>
      <w:b/>
      <w:bCs/>
      <w:color w:val="000000"/>
      <w:sz w:val="20"/>
      <w:szCs w:val="20"/>
    </w:rPr>
  </w:style>
  <w:style w:type="paragraph" w:styleId="Revision">
    <w:name w:val="Revision"/>
    <w:hidden/>
    <w:uiPriority w:val="99"/>
    <w:semiHidden/>
    <w:rsid w:val="00377F41"/>
    <w:pPr>
      <w:spacing w:after="0" w:line="240" w:lineRule="auto"/>
    </w:pPr>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573825">
      <w:bodyDiv w:val="1"/>
      <w:marLeft w:val="0"/>
      <w:marRight w:val="0"/>
      <w:marTop w:val="0"/>
      <w:marBottom w:val="0"/>
      <w:divBdr>
        <w:top w:val="none" w:sz="0" w:space="0" w:color="auto"/>
        <w:left w:val="none" w:sz="0" w:space="0" w:color="auto"/>
        <w:bottom w:val="none" w:sz="0" w:space="0" w:color="auto"/>
        <w:right w:val="none" w:sz="0" w:space="0" w:color="auto"/>
      </w:divBdr>
    </w:div>
    <w:div w:id="162938875">
      <w:bodyDiv w:val="1"/>
      <w:marLeft w:val="0"/>
      <w:marRight w:val="0"/>
      <w:marTop w:val="0"/>
      <w:marBottom w:val="0"/>
      <w:divBdr>
        <w:top w:val="none" w:sz="0" w:space="0" w:color="auto"/>
        <w:left w:val="none" w:sz="0" w:space="0" w:color="auto"/>
        <w:bottom w:val="none" w:sz="0" w:space="0" w:color="auto"/>
        <w:right w:val="none" w:sz="0" w:space="0" w:color="auto"/>
      </w:divBdr>
    </w:div>
    <w:div w:id="1647316834">
      <w:bodyDiv w:val="1"/>
      <w:marLeft w:val="0"/>
      <w:marRight w:val="0"/>
      <w:marTop w:val="0"/>
      <w:marBottom w:val="0"/>
      <w:divBdr>
        <w:top w:val="none" w:sz="0" w:space="0" w:color="auto"/>
        <w:left w:val="none" w:sz="0" w:space="0" w:color="auto"/>
        <w:bottom w:val="none" w:sz="0" w:space="0" w:color="auto"/>
        <w:right w:val="none" w:sz="0" w:space="0" w:color="auto"/>
      </w:divBdr>
    </w:div>
    <w:div w:id="20470242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 standalone="yes"?>
<Relationships xmlns="http://schemas.openxmlformats.org/package/2006/relationships"><Relationship Id="rId8" Type="http://schemas.openxmlformats.org/officeDocument/2006/relationships/hyperlink" Target="http://www.legifrance.gouv.f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legifrance.gouv.fr/" TargetMode="External"/><Relationship Id="rId4" Type="http://schemas.openxmlformats.org/officeDocument/2006/relationships/settings" Target="settings.xml"/><Relationship Id="rId9" Type="http://schemas.openxmlformats.org/officeDocument/2006/relationships/hyperlink" Target="http://www.legifrance.gouv.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D01666-0D38-4347-8D0F-090C5E3EB2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Pages>
  <Words>629</Words>
  <Characters>3591</Characters>
  <Application>Microsoft Office Word</Application>
  <DocSecurity>0</DocSecurity>
  <Lines>29</Lines>
  <Paragraphs>8</Paragraphs>
  <ScaleCrop>false</ScaleCrop>
  <HeadingPairs>
    <vt:vector size="2" baseType="variant">
      <vt:variant>
        <vt:lpstr>Titre</vt:lpstr>
      </vt:variant>
      <vt:variant>
        <vt:i4>1</vt:i4>
      </vt:variant>
    </vt:vector>
  </HeadingPairs>
  <TitlesOfParts>
    <vt:vector size="1" baseType="lpstr">
      <vt:lpstr>REPUBLIQUE FRANCAISE</vt:lpstr>
    </vt:vector>
  </TitlesOfParts>
  <Company>DGCCRF</Company>
  <LinksUpToDate>false</LinksUpToDate>
  <CharactersWithSpaces>4212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REPUBLIQUE FRANCAISE</dc:title>
  <dc:subject/>
  <dc:creator>TRUCHET Émilie (4C)</dc:creator>
  <cp:keywords/>
  <cp:lastModifiedBy>Liana Brili</cp:lastModifiedBy>
  <cp:revision>5</cp:revision>
  <cp:lastPrinted>2019-06-12T12:31:00Z</cp:lastPrinted>
  <dcterms:created xsi:type="dcterms:W3CDTF">2021-11-02T09:58:00Z</dcterms:created>
  <dcterms:modified xsi:type="dcterms:W3CDTF">2021-11-17T08:05:00Z</dcterms:modified>
</cp:coreProperties>
</file>