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537F2" w14:textId="77777777" w:rsidR="0099057F" w:rsidRDefault="00A746B8">
      <w:pPr>
        <w:pStyle w:val="Heading1"/>
        <w:tabs>
          <w:tab w:val="center" w:pos="1992"/>
          <w:tab w:val="center" w:pos="6748"/>
        </w:tabs>
        <w:spacing w:after="106" w:line="259" w:lineRule="auto"/>
        <w:ind w:left="0" w:firstLine="0"/>
        <w:jc w:val="left"/>
      </w:pPr>
      <w:r>
        <w:rPr>
          <w:rFonts w:ascii="Calibri" w:hAnsi="Calibri"/>
          <w:b w:val="0"/>
          <w:sz w:val="22"/>
        </w:rPr>
        <w:tab/>
      </w:r>
      <w:r>
        <w:t xml:space="preserve">REPUBLIKEN FRANKRIKE </w:t>
      </w:r>
      <w:r>
        <w:tab/>
        <w:t xml:space="preserve"> </w:t>
      </w:r>
    </w:p>
    <w:p w14:paraId="40D01A07" w14:textId="77777777" w:rsidR="0099057F" w:rsidRDefault="00A746B8">
      <w:pPr>
        <w:tabs>
          <w:tab w:val="center" w:pos="2012"/>
          <w:tab w:val="center" w:pos="2554"/>
        </w:tabs>
        <w:spacing w:after="26" w:line="259" w:lineRule="auto"/>
        <w:ind w:left="0" w:firstLine="0"/>
        <w:jc w:val="left"/>
      </w:pPr>
      <w:r>
        <w:t xml:space="preserve"> </w:t>
      </w:r>
      <w:r>
        <w:tab/>
      </w:r>
      <w:r>
        <w:rPr>
          <w:rFonts w:ascii="Calibri" w:hAnsi="Calibri"/>
          <w:noProof/>
          <w:sz w:val="22"/>
        </w:rPr>
        <mc:AlternateContent>
          <mc:Choice Requires="wpg">
            <w:drawing>
              <wp:inline distT="0" distB="0" distL="0" distR="0" wp14:anchorId="335BC632" wp14:editId="62CF410E">
                <wp:extent cx="615696" cy="1524"/>
                <wp:effectExtent l="0" t="0" r="0" b="0"/>
                <wp:docPr id="7701" name="Group 7701"/>
                <wp:cNvGraphicFramePr/>
                <a:graphic xmlns:a="http://schemas.openxmlformats.org/drawingml/2006/main">
                  <a:graphicData uri="http://schemas.microsoft.com/office/word/2010/wordprocessingGroup">
                    <wpg:wgp>
                      <wpg:cNvGrpSpPr/>
                      <wpg:grpSpPr>
                        <a:xfrm>
                          <a:off x="0" y="0"/>
                          <a:ext cx="615696" cy="1524"/>
                          <a:chOff x="0" y="0"/>
                          <a:chExt cx="615696" cy="1524"/>
                        </a:xfrm>
                      </wpg:grpSpPr>
                      <wps:wsp>
                        <wps:cNvPr id="10272" name="Shape 10272"/>
                        <wps:cNvSpPr/>
                        <wps:spPr>
                          <a:xfrm>
                            <a:off x="0" y="0"/>
                            <a:ext cx="615696" cy="9144"/>
                          </a:xfrm>
                          <a:custGeom>
                            <a:avLst/>
                            <a:gdLst/>
                            <a:ahLst/>
                            <a:cxnLst/>
                            <a:rect l="0" t="0" r="0" b="0"/>
                            <a:pathLst>
                              <a:path w="615696" h="9144">
                                <a:moveTo>
                                  <a:pt x="0" y="0"/>
                                </a:moveTo>
                                <a:lnTo>
                                  <a:pt x="615696" y="0"/>
                                </a:lnTo>
                                <a:lnTo>
                                  <a:pt x="6156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AD531B" id="Group 7701" o:spid="_x0000_s1026" style="width:48.5pt;height:.1pt;mso-position-horizontal-relative:char;mso-position-vertical-relative:line" coordsize="61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">
                <v:shape id="Shape 10272" o:spid="_x0000_s1027" style="position:absolute;width:6156;height:91;visibility:visible;mso-wrap-style:square;v-text-anchor:top" coordsize="6156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dDGsMA&#10;AADeAAAADwAAAGRycy9kb3ducmV2LnhtbERP24rCMBB9F/Yfwgj7pqll0d1qFFmRFX3Y9fIBQzO2&#10;wWZSmmi7f28Ewbc5nOvMFp2txI0abxwrGA0TEMS504YLBafjevAJwgdkjZVjUvBPHhbzt94MM+1a&#10;3tPtEAoRQ9hnqKAMoc6k9HlJFv3Q1cSRO7vGYoiwKaRusI3htpJpkoylRcOxocSavkvKL4erVbDH&#10;0cfvz3G1/Dq37k8bs91d/Vap9363nIII1IWX+One6Dg/SScpPN6JN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dDGsMAAADeAAAADwAAAAAAAAAAAAAAAACYAgAAZHJzL2Rv&#10;d25yZXYueG1sUEsFBgAAAAAEAAQA9QAAAIgDAAAAAA==&#10;" path="m,l615696,r,9144l,9144,,e" fillcolor="black" stroked="f" strokeweight="0">
                  <v:stroke miterlimit="83231f" joinstyle="miter"/>
                  <v:path arrowok="t" textboxrect="0,0,615696,9144"/>
                </v:shape>
                <w10:anchorlock/>
              </v:group>
            </w:pict>
          </mc:Fallback>
        </mc:AlternateContent>
      </w:r>
      <w:r>
        <w:t xml:space="preserve"> </w:t>
      </w:r>
      <w:r>
        <w:tab/>
        <w:t xml:space="preserve"> </w:t>
      </w:r>
    </w:p>
    <w:p w14:paraId="0A835397" w14:textId="77777777" w:rsidR="0099057F" w:rsidRDefault="00111F4C">
      <w:pPr>
        <w:spacing w:after="100"/>
      </w:pPr>
      <w:r>
        <w:t>Ministeriet för ekonomi, finans och återhämtning</w:t>
      </w:r>
    </w:p>
    <w:p w14:paraId="6B2A818C" w14:textId="77777777" w:rsidR="0099057F" w:rsidRDefault="00A746B8">
      <w:pPr>
        <w:tabs>
          <w:tab w:val="center" w:pos="2012"/>
          <w:tab w:val="center" w:pos="2554"/>
        </w:tabs>
        <w:spacing w:after="0" w:line="259" w:lineRule="auto"/>
        <w:ind w:left="0" w:firstLine="0"/>
        <w:jc w:val="left"/>
      </w:pPr>
      <w:r>
        <w:t xml:space="preserve"> </w:t>
      </w:r>
      <w:r>
        <w:tab/>
      </w:r>
      <w:r>
        <w:rPr>
          <w:rFonts w:ascii="Calibri" w:hAnsi="Calibri"/>
          <w:noProof/>
          <w:sz w:val="22"/>
        </w:rPr>
        <mc:AlternateContent>
          <mc:Choice Requires="wpg">
            <w:drawing>
              <wp:inline distT="0" distB="0" distL="0" distR="0" wp14:anchorId="43FFAE92" wp14:editId="42D8F3E0">
                <wp:extent cx="615696" cy="1524"/>
                <wp:effectExtent l="0" t="0" r="0" b="0"/>
                <wp:docPr id="7702" name="Group 7702"/>
                <wp:cNvGraphicFramePr/>
                <a:graphic xmlns:a="http://schemas.openxmlformats.org/drawingml/2006/main">
                  <a:graphicData uri="http://schemas.microsoft.com/office/word/2010/wordprocessingGroup">
                    <wpg:wgp>
                      <wpg:cNvGrpSpPr/>
                      <wpg:grpSpPr>
                        <a:xfrm>
                          <a:off x="0" y="0"/>
                          <a:ext cx="615696" cy="1524"/>
                          <a:chOff x="0" y="0"/>
                          <a:chExt cx="615696" cy="1524"/>
                        </a:xfrm>
                      </wpg:grpSpPr>
                      <wps:wsp>
                        <wps:cNvPr id="10273" name="Shape 10273"/>
                        <wps:cNvSpPr/>
                        <wps:spPr>
                          <a:xfrm>
                            <a:off x="0" y="0"/>
                            <a:ext cx="615696" cy="9144"/>
                          </a:xfrm>
                          <a:custGeom>
                            <a:avLst/>
                            <a:gdLst/>
                            <a:ahLst/>
                            <a:cxnLst/>
                            <a:rect l="0" t="0" r="0" b="0"/>
                            <a:pathLst>
                              <a:path w="615696" h="9144">
                                <a:moveTo>
                                  <a:pt x="0" y="0"/>
                                </a:moveTo>
                                <a:lnTo>
                                  <a:pt x="615696" y="0"/>
                                </a:lnTo>
                                <a:lnTo>
                                  <a:pt x="6156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21A1CD0" id="Group 7702" o:spid="_x0000_s1026" style="width:48.5pt;height:.1pt;mso-position-horizontal-relative:char;mso-position-vertical-relative:line" coordsize="61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">
                <v:shape id="Shape 10273" o:spid="_x0000_s1027" style="position:absolute;width:6156;height:91;visibility:visible;mso-wrap-style:square;v-text-anchor:top" coordsize="6156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vmgcUA&#10;AADeAAAADwAAAGRycy9kb3ducmV2LnhtbERPzWrCQBC+C32HZQq9NRutWE1dRVpKix6qxgcYspNk&#10;aXY2ZFcT374rFLzNx/c7y/VgG3GhzhvHCsZJCoK4cNpwpeCUfz7PQfiArLFxTAqu5GG9ehgtMdOu&#10;5wNdjqESMYR9hgrqENpMSl/UZNEnriWOXOk6iyHCrpK6wz6G20ZO0nQmLRqODTW29F5T8Xs8WwUH&#10;HE9/vvKPzaLs3V4bs92d/Vapp8dh8wYi0BDu4n/3t47z08nrC9zeiT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aBxQAAAN4AAAAPAAAAAAAAAAAAAAAAAJgCAABkcnMv&#10;ZG93bnJldi54bWxQSwUGAAAAAAQABAD1AAAAigMAAAAA&#10;" path="m,l615696,r,9144l,9144,,e" fillcolor="black" stroked="f" strokeweight="0">
                  <v:stroke miterlimit="83231f" joinstyle="miter"/>
                  <v:path arrowok="t" textboxrect="0,0,615696,9144"/>
                </v:shape>
                <w10:anchorlock/>
              </v:group>
            </w:pict>
          </mc:Fallback>
        </mc:AlternateContent>
      </w:r>
      <w:r>
        <w:t xml:space="preserve"> </w:t>
      </w:r>
      <w:r>
        <w:tab/>
        <w:t xml:space="preserve"> </w:t>
      </w:r>
    </w:p>
    <w:p w14:paraId="58B8D2D1" w14:textId="77777777" w:rsidR="0099057F" w:rsidRDefault="00A746B8">
      <w:pPr>
        <w:spacing w:after="0" w:line="259" w:lineRule="auto"/>
        <w:ind w:left="58" w:firstLine="0"/>
        <w:jc w:val="left"/>
      </w:pPr>
      <w:r>
        <w:t xml:space="preserve"> </w:t>
      </w:r>
      <w:r>
        <w:tab/>
        <w:t xml:space="preserve"> </w:t>
      </w:r>
      <w:r>
        <w:tab/>
        <w:t xml:space="preserve"> </w:t>
      </w:r>
    </w:p>
    <w:p w14:paraId="457C789D" w14:textId="77777777" w:rsidR="00100C68" w:rsidRPr="00100C68" w:rsidRDefault="00A746B8" w:rsidP="00100C68">
      <w:pPr>
        <w:pStyle w:val="Heading1"/>
        <w:spacing w:after="174"/>
        <w:ind w:left="128" w:right="120"/>
        <w:rPr>
          <w:bCs/>
        </w:rPr>
      </w:pPr>
      <w:r>
        <w:t>Dekret nr om ändring av dekret nr 92–307 av den 31 mars 1992 om genomförande av artikel L. 412–1 i konsumentlagen med avseende på öl</w:t>
      </w:r>
    </w:p>
    <w:p w14:paraId="532BECF6" w14:textId="77777777" w:rsidR="0099057F" w:rsidRDefault="0099057F">
      <w:pPr>
        <w:pStyle w:val="Heading1"/>
        <w:spacing w:after="174"/>
        <w:ind w:left="128" w:right="120"/>
      </w:pPr>
    </w:p>
    <w:p w14:paraId="572E6F9C" w14:textId="77777777" w:rsidR="0099057F" w:rsidRDefault="00A746B8">
      <w:pPr>
        <w:spacing w:after="223" w:line="259" w:lineRule="auto"/>
        <w:ind w:left="10" w:right="5"/>
        <w:jc w:val="center"/>
      </w:pPr>
      <w:r>
        <w:t xml:space="preserve">NOR: EKO </w:t>
      </w:r>
    </w:p>
    <w:p w14:paraId="2B7C9023" w14:textId="77777777" w:rsidR="0099057F" w:rsidRDefault="00A746B8">
      <w:pPr>
        <w:spacing w:after="261" w:line="259" w:lineRule="auto"/>
        <w:ind w:left="0" w:firstLine="0"/>
        <w:jc w:val="left"/>
      </w:pPr>
      <w:r>
        <w:rPr>
          <w:rFonts w:ascii="Arial" w:hAnsi="Arial"/>
          <w:i/>
          <w:sz w:val="20"/>
        </w:rPr>
        <w:t xml:space="preserve"> </w:t>
      </w:r>
    </w:p>
    <w:p w14:paraId="64B247BC" w14:textId="77777777" w:rsidR="0099057F" w:rsidRPr="00FF2216" w:rsidRDefault="00A746B8" w:rsidP="00FF2216">
      <w:pPr>
        <w:suppressAutoHyphens/>
        <w:spacing w:before="120" w:after="120" w:line="259" w:lineRule="auto"/>
        <w:ind w:left="0" w:firstLine="0"/>
        <w:rPr>
          <w:rFonts w:eastAsiaTheme="minorEastAsia"/>
          <w:i/>
          <w:iCs/>
          <w:color w:val="auto"/>
          <w:kern w:val="1"/>
          <w:sz w:val="22"/>
        </w:rPr>
      </w:pPr>
      <w:r>
        <w:rPr>
          <w:b/>
          <w:i/>
          <w:color w:val="auto"/>
          <w:sz w:val="22"/>
        </w:rPr>
        <w:t>Berörd allmänhet</w:t>
      </w:r>
      <w:r>
        <w:rPr>
          <w:i/>
          <w:color w:val="auto"/>
          <w:sz w:val="22"/>
        </w:rPr>
        <w:t xml:space="preserve">: bryggare, konsumenter. </w:t>
      </w:r>
    </w:p>
    <w:p w14:paraId="2676D9E8" w14:textId="77777777" w:rsidR="0099057F" w:rsidRPr="00FF2216" w:rsidRDefault="00A746B8" w:rsidP="00FF2216">
      <w:pPr>
        <w:suppressAutoHyphens/>
        <w:spacing w:before="120" w:after="120" w:line="259" w:lineRule="auto"/>
        <w:ind w:left="0" w:firstLine="0"/>
        <w:rPr>
          <w:rFonts w:eastAsiaTheme="minorEastAsia"/>
          <w:i/>
          <w:iCs/>
          <w:color w:val="auto"/>
          <w:kern w:val="1"/>
          <w:sz w:val="22"/>
        </w:rPr>
      </w:pPr>
      <w:r>
        <w:rPr>
          <w:b/>
          <w:i/>
          <w:color w:val="auto"/>
          <w:sz w:val="22"/>
        </w:rPr>
        <w:t>Objekt</w:t>
      </w:r>
      <w:r>
        <w:rPr>
          <w:i/>
          <w:color w:val="auto"/>
          <w:sz w:val="22"/>
        </w:rPr>
        <w:t>: det blir obligatoriskt att ange bryggeriets namn och bryggeriplatsen på öletiketterna.</w:t>
      </w:r>
    </w:p>
    <w:p w14:paraId="38924E42" w14:textId="77777777" w:rsidR="0099057F" w:rsidRPr="00FF2216" w:rsidRDefault="00A746B8" w:rsidP="00FF2216">
      <w:pPr>
        <w:suppressAutoHyphens/>
        <w:spacing w:before="120" w:after="120" w:line="259" w:lineRule="auto"/>
        <w:ind w:left="0" w:firstLine="0"/>
        <w:rPr>
          <w:rFonts w:eastAsiaTheme="minorEastAsia"/>
          <w:i/>
          <w:iCs/>
          <w:color w:val="auto"/>
          <w:kern w:val="1"/>
          <w:sz w:val="22"/>
        </w:rPr>
      </w:pPr>
      <w:r>
        <w:rPr>
          <w:b/>
          <w:i/>
          <w:color w:val="auto"/>
          <w:sz w:val="22"/>
        </w:rPr>
        <w:t xml:space="preserve">Ikraftträdande: </w:t>
      </w:r>
      <w:r>
        <w:rPr>
          <w:i/>
          <w:color w:val="auto"/>
          <w:sz w:val="22"/>
        </w:rPr>
        <w:t xml:space="preserve">texten träder i kraft den 1 juli 2022. </w:t>
      </w:r>
    </w:p>
    <w:p w14:paraId="5FD0FD8F" w14:textId="77777777" w:rsidR="00FF2216" w:rsidRPr="00FF2216" w:rsidRDefault="00A746B8" w:rsidP="00FF2216">
      <w:pPr>
        <w:suppressAutoHyphens/>
        <w:spacing w:before="120" w:after="120" w:line="259" w:lineRule="auto"/>
        <w:ind w:left="0" w:firstLine="0"/>
        <w:rPr>
          <w:rFonts w:eastAsiaTheme="minorEastAsia"/>
          <w:i/>
          <w:iCs/>
          <w:color w:val="auto"/>
          <w:kern w:val="1"/>
          <w:sz w:val="22"/>
        </w:rPr>
      </w:pPr>
      <w:r>
        <w:rPr>
          <w:b/>
          <w:i/>
          <w:color w:val="auto"/>
          <w:sz w:val="22"/>
        </w:rPr>
        <w:t>Meddelande</w:t>
      </w:r>
      <w:r>
        <w:rPr>
          <w:i/>
          <w:color w:val="auto"/>
          <w:sz w:val="22"/>
        </w:rPr>
        <w:t>: vid tillämpningen av artikel L. 412–12 i konsumentlagen ändras dekret nr. 92–307 med avseende på öl och det blir obligatoriskt att ange bryggeriets namn och bryggeriplatsen på öletiketterna. Där anges att livsmedelsföretagarens namn och adress ska anges bredvid bryggeriets namn och adress om livsmedelsföretagaren inte är bryggeriet. I texten definieras hur dessa uppgifter ska anges på produktetiketterna.</w:t>
      </w:r>
    </w:p>
    <w:p w14:paraId="6F9C5101" w14:textId="371D076C" w:rsidR="0099057F" w:rsidRPr="00FF2216" w:rsidRDefault="00A746B8" w:rsidP="00FF2216">
      <w:pPr>
        <w:suppressAutoHyphens/>
        <w:spacing w:before="120" w:after="120" w:line="259" w:lineRule="auto"/>
        <w:ind w:left="0" w:firstLine="0"/>
        <w:rPr>
          <w:rFonts w:eastAsiaTheme="minorEastAsia"/>
          <w:i/>
          <w:iCs/>
          <w:color w:val="auto"/>
          <w:kern w:val="1"/>
          <w:sz w:val="22"/>
        </w:rPr>
      </w:pPr>
      <w:r>
        <w:rPr>
          <w:b/>
          <w:i/>
          <w:color w:val="auto"/>
          <w:sz w:val="22"/>
        </w:rPr>
        <w:t>Referenser</w:t>
      </w:r>
      <w:r>
        <w:rPr>
          <w:i/>
          <w:color w:val="auto"/>
          <w:sz w:val="22"/>
        </w:rPr>
        <w:t>: denna förordning utfärdas för tillämpning av artikel L.412–12 i konsumentlagen. Texten kan ses på Légifrances webbplats —</w:t>
      </w:r>
      <w:hyperlink r:id="rId8">
        <w:r>
          <w:rPr>
            <w:i/>
            <w:color w:val="auto"/>
            <w:sz w:val="22"/>
          </w:rPr>
          <w:t xml:space="preserve"> </w:t>
        </w:r>
      </w:hyperlink>
      <w:hyperlink r:id="rId9">
        <w:r>
          <w:rPr>
            <w:i/>
            <w:color w:val="auto"/>
            <w:sz w:val="22"/>
          </w:rPr>
          <w:t>http://www.legifrance.gouv.fr</w:t>
        </w:r>
      </w:hyperlink>
      <w:hyperlink r:id="rId10">
        <w:r>
          <w:rPr>
            <w:i/>
            <w:color w:val="auto"/>
            <w:sz w:val="22"/>
          </w:rPr>
          <w:t>.</w:t>
        </w:r>
      </w:hyperlink>
      <w:r>
        <w:rPr>
          <w:i/>
          <w:color w:val="auto"/>
          <w:sz w:val="22"/>
        </w:rPr>
        <w:t xml:space="preserve"> </w:t>
      </w:r>
    </w:p>
    <w:p w14:paraId="5A77DA76" w14:textId="77777777" w:rsidR="00FF2216" w:rsidRPr="00FF2216" w:rsidRDefault="00FF2216" w:rsidP="00FF2216">
      <w:pPr>
        <w:spacing w:after="0" w:line="250" w:lineRule="auto"/>
        <w:ind w:left="-6" w:hanging="11"/>
        <w:rPr>
          <w:sz w:val="22"/>
        </w:rPr>
      </w:pPr>
    </w:p>
    <w:p w14:paraId="4304B6BC" w14:textId="77777777" w:rsidR="0099057F" w:rsidRDefault="00A746B8">
      <w:pPr>
        <w:pStyle w:val="Heading1"/>
        <w:spacing w:after="230" w:line="259" w:lineRule="auto"/>
        <w:ind w:left="-5"/>
        <w:jc w:val="left"/>
      </w:pPr>
      <w:r>
        <w:t xml:space="preserve">Premiärministern föreskriver, </w:t>
      </w:r>
    </w:p>
    <w:p w14:paraId="26E32A48" w14:textId="77777777" w:rsidR="0099057F" w:rsidRDefault="00A746B8" w:rsidP="001B4F2F">
      <w:pPr>
        <w:ind w:left="-5"/>
      </w:pPr>
      <w:r>
        <w:t xml:space="preserve">om rapporten från ministern för ekonomi, finans och återhämtning, </w:t>
      </w:r>
    </w:p>
    <w:p w14:paraId="73D9D9C7" w14:textId="77777777" w:rsidR="0099057F" w:rsidRDefault="0099057F">
      <w:pPr>
        <w:spacing w:after="0" w:line="259" w:lineRule="auto"/>
        <w:ind w:left="708" w:firstLine="0"/>
        <w:jc w:val="left"/>
      </w:pPr>
    </w:p>
    <w:p w14:paraId="0784AE64" w14:textId="56278762" w:rsidR="0099057F" w:rsidRDefault="00A746B8">
      <w:pPr>
        <w:ind w:left="-5"/>
      </w:pPr>
      <w:r>
        <w:t xml:space="preserve">med beaktande av Europaparlamentets och rådets förordning nr. 1169/2011 av den 25 oktober 2011 om tillhandahållande av livsmedelsinformation till konsumenterna, och om ändring av Europaparlamentets och rådets förordningar (EG) nr. 1924/2006 och (EG) nr. 1925/2006 samt om upphävande av kommissionens direktiv 87/250/EEG, rådets direktiv 90/496/EEG, kommissionens direktiv 1999/10/EG, Europaparlamentets och rådets direktiv 2000/13/EG, kommissionens direktiv 2002/67/EG och 2008/5/EG samt kommissionens förordning (EG) nr. 608/2004, artikel 38 och 39 häri, </w:t>
      </w:r>
    </w:p>
    <w:p w14:paraId="5EDB423E" w14:textId="4581A1C7" w:rsidR="006011F7" w:rsidRDefault="006011F7">
      <w:pPr>
        <w:ind w:left="-5"/>
      </w:pPr>
    </w:p>
    <w:p w14:paraId="1F7EDC89" w14:textId="2CBFDE6D" w:rsidR="0099057F" w:rsidRDefault="00A746B8">
      <w:pPr>
        <w:ind w:left="-5"/>
      </w:pPr>
      <w:r>
        <w:t>med beaktande av konsumentlagen, särskilt artiklarna L. 412–1 och L. 412–12,</w:t>
      </w:r>
      <w:r>
        <w:rPr>
          <w:rFonts w:asciiTheme="minorHAnsi" w:hAnsiTheme="minorHAnsi"/>
          <w:color w:val="auto"/>
          <w:sz w:val="22"/>
        </w:rPr>
        <w:t xml:space="preserve"> </w:t>
      </w:r>
      <w:r>
        <w:t xml:space="preserve">i dess lydelse enligt lag nr 2021–1357 av den 18 oktober 2021 som syftar till att skydda jordbrukarnas ersättning, </w:t>
      </w:r>
    </w:p>
    <w:p w14:paraId="60DF2C57" w14:textId="77777777" w:rsidR="00CC652F" w:rsidRDefault="00CC652F">
      <w:pPr>
        <w:ind w:left="-5"/>
      </w:pPr>
    </w:p>
    <w:p w14:paraId="3E6485B2" w14:textId="77777777" w:rsidR="001B4F2F" w:rsidRPr="001B4F2F" w:rsidRDefault="001B4F2F" w:rsidP="001B4F2F">
      <w:pPr>
        <w:ind w:left="-5"/>
        <w:rPr>
          <w:b/>
          <w:bCs/>
        </w:rPr>
      </w:pPr>
      <w:r>
        <w:t>med beaktande av det ändrade dekretet nr. 92–307 av den 31 mars 1992 om genomförande av artikel L. 412–1 i konsumentlagen avseende öl,</w:t>
      </w:r>
    </w:p>
    <w:p w14:paraId="3169C72C" w14:textId="77777777" w:rsidR="0099057F" w:rsidRDefault="0099057F" w:rsidP="001B4F2F">
      <w:pPr>
        <w:spacing w:after="0" w:line="259" w:lineRule="auto"/>
        <w:ind w:left="0" w:firstLine="0"/>
        <w:jc w:val="left"/>
      </w:pPr>
    </w:p>
    <w:p w14:paraId="420A9DBA" w14:textId="77777777" w:rsidR="0099057F" w:rsidRDefault="00A746B8">
      <w:pPr>
        <w:ind w:left="-5"/>
      </w:pPr>
      <w:r>
        <w:t xml:space="preserve">med beaktande av det meddelande nr. som skickades den... till Europeiska kommissionen, </w:t>
      </w:r>
    </w:p>
    <w:p w14:paraId="2C51D1FF" w14:textId="77777777" w:rsidR="0099057F" w:rsidRDefault="00A746B8">
      <w:pPr>
        <w:spacing w:after="23" w:line="259" w:lineRule="auto"/>
        <w:ind w:left="708" w:firstLine="0"/>
        <w:jc w:val="left"/>
      </w:pPr>
      <w:r>
        <w:t xml:space="preserve"> </w:t>
      </w:r>
    </w:p>
    <w:p w14:paraId="59F1ECEA" w14:textId="77777777" w:rsidR="0099057F" w:rsidRDefault="00A746B8">
      <w:pPr>
        <w:ind w:left="-5"/>
      </w:pPr>
      <w:r>
        <w:t xml:space="preserve">efter att ha hört statsrådet (finanssektionen), </w:t>
      </w:r>
    </w:p>
    <w:p w14:paraId="311ABF93" w14:textId="77777777" w:rsidR="0099057F" w:rsidRDefault="00A746B8">
      <w:pPr>
        <w:spacing w:after="0" w:line="259" w:lineRule="auto"/>
        <w:ind w:left="0" w:firstLine="0"/>
        <w:jc w:val="left"/>
      </w:pPr>
      <w:r>
        <w:t xml:space="preserve"> </w:t>
      </w:r>
    </w:p>
    <w:p w14:paraId="0F4668C1" w14:textId="77777777" w:rsidR="0099057F" w:rsidRDefault="00A746B8" w:rsidP="0043606B">
      <w:pPr>
        <w:keepNext/>
        <w:spacing w:after="1" w:line="259" w:lineRule="auto"/>
        <w:ind w:left="130" w:right="125" w:hanging="11"/>
        <w:jc w:val="center"/>
      </w:pPr>
      <w:r>
        <w:rPr>
          <w:b/>
        </w:rPr>
        <w:lastRenderedPageBreak/>
        <w:t xml:space="preserve">härigenom följande: </w:t>
      </w:r>
    </w:p>
    <w:p w14:paraId="1B2D74C7" w14:textId="77777777" w:rsidR="0099057F" w:rsidRDefault="00A746B8">
      <w:pPr>
        <w:spacing w:after="0" w:line="259" w:lineRule="auto"/>
        <w:ind w:left="55" w:firstLine="0"/>
        <w:jc w:val="center"/>
      </w:pPr>
      <w:r>
        <w:rPr>
          <w:b/>
        </w:rPr>
        <w:t xml:space="preserve"> </w:t>
      </w:r>
    </w:p>
    <w:p w14:paraId="39E5C6C4" w14:textId="33B60CF3" w:rsidR="0099057F" w:rsidRDefault="00A746B8">
      <w:pPr>
        <w:pStyle w:val="Heading1"/>
        <w:spacing w:after="51"/>
        <w:ind w:left="128" w:right="123"/>
        <w:rPr>
          <w:vertAlign w:val="superscript"/>
        </w:rPr>
      </w:pPr>
      <w:r>
        <w:t>Artikel 1</w:t>
      </w:r>
    </w:p>
    <w:p w14:paraId="3F072A31" w14:textId="77777777" w:rsidR="0013677B" w:rsidRPr="0013677B" w:rsidRDefault="0013677B" w:rsidP="0013677B"/>
    <w:p w14:paraId="10EA5D3D" w14:textId="77777777" w:rsidR="00607F62" w:rsidRDefault="00607F62">
      <w:pPr>
        <w:spacing w:after="107"/>
        <w:ind w:left="-5"/>
      </w:pPr>
      <w:r>
        <w:t>Efter artikel 3 i ovannämnda dekret av den 31 mars 1992 ska följande artikel 3–1 införas:</w:t>
      </w:r>
    </w:p>
    <w:p w14:paraId="0A07B2EC" w14:textId="6A1B90AE" w:rsidR="00203B7E" w:rsidRDefault="00B33862" w:rsidP="00635500">
      <w:pPr>
        <w:spacing w:after="0" w:line="259" w:lineRule="auto"/>
        <w:ind w:left="0" w:firstLine="0"/>
      </w:pPr>
      <w:r>
        <w:t>”Artikel 3–1.- Öletiketter ska innehålla följande: ”Öl som bryggts av: följt av bryggeriets namn och adressen till bryggeriet.</w:t>
      </w:r>
    </w:p>
    <w:p w14:paraId="6467BF54" w14:textId="77777777" w:rsidR="00203B7E" w:rsidRDefault="00203B7E" w:rsidP="00635500">
      <w:pPr>
        <w:spacing w:after="0" w:line="259" w:lineRule="auto"/>
        <w:ind w:left="0" w:firstLine="0"/>
      </w:pPr>
    </w:p>
    <w:p w14:paraId="7B23F12C" w14:textId="54DAC754" w:rsidR="00635500" w:rsidRDefault="00203B7E" w:rsidP="00635500">
      <w:pPr>
        <w:spacing w:after="0" w:line="259" w:lineRule="auto"/>
        <w:ind w:left="0" w:firstLine="0"/>
      </w:pPr>
      <w:r>
        <w:t>Om ölets handelsnamn avser ett geografiskt område som bryggeriplatsen inte hör till, ska den beteckning som avses i första stycket ovan anges i omedelbar närhet av namnet.</w:t>
      </w:r>
    </w:p>
    <w:p w14:paraId="2CE82843" w14:textId="77777777" w:rsidR="00635500" w:rsidRDefault="00635500" w:rsidP="00635500">
      <w:pPr>
        <w:spacing w:after="0" w:line="259" w:lineRule="auto"/>
        <w:ind w:left="0" w:firstLine="0"/>
      </w:pPr>
    </w:p>
    <w:p w14:paraId="615D4ECE" w14:textId="1DDD1C36" w:rsidR="0099057F" w:rsidRDefault="00635500" w:rsidP="00635500">
      <w:pPr>
        <w:spacing w:after="0" w:line="259" w:lineRule="auto"/>
        <w:ind w:left="0" w:firstLine="0"/>
      </w:pPr>
      <w:r>
        <w:t>Om livsmedelsföretagaren i den mening som avses i artikel 8 i Europaparlamentets och rådets förordning nr. 1169/2011 av den 25 oktober 2011 om livsmedelsinformation till konsumenten inte är bryggeriet, gäller följande: ”Öl som bryggts för: ” följt av företagets firmanamn och adress ska läggas till i omedelbar närhet av den uppgift som avses i första stycket”.</w:t>
      </w:r>
    </w:p>
    <w:p w14:paraId="53A52514" w14:textId="77777777" w:rsidR="008004B4" w:rsidRDefault="008004B4" w:rsidP="00635500">
      <w:pPr>
        <w:spacing w:after="0" w:line="259" w:lineRule="auto"/>
        <w:ind w:left="0" w:firstLine="0"/>
      </w:pPr>
    </w:p>
    <w:p w14:paraId="7BB54837" w14:textId="19282DB5" w:rsidR="0099057F" w:rsidRDefault="00A746B8">
      <w:pPr>
        <w:pStyle w:val="Heading1"/>
        <w:ind w:left="128" w:right="123"/>
      </w:pPr>
      <w:r>
        <w:t>Artikel 2</w:t>
      </w:r>
    </w:p>
    <w:p w14:paraId="74A07251" w14:textId="77777777" w:rsidR="0099057F" w:rsidRDefault="00A746B8">
      <w:pPr>
        <w:spacing w:after="0" w:line="259" w:lineRule="auto"/>
        <w:ind w:left="0" w:firstLine="0"/>
        <w:jc w:val="left"/>
      </w:pPr>
      <w:r>
        <w:t xml:space="preserve"> </w:t>
      </w:r>
    </w:p>
    <w:p w14:paraId="4A4E95DF" w14:textId="132CE7E4" w:rsidR="0099057F" w:rsidRPr="00795C97" w:rsidRDefault="00A746B8" w:rsidP="00924234">
      <w:pPr>
        <w:ind w:left="-5"/>
        <w:rPr>
          <w:color w:val="auto"/>
        </w:rPr>
      </w:pPr>
      <w:r>
        <w:t xml:space="preserve">Bestämmelserna i detta </w:t>
      </w:r>
      <w:r>
        <w:rPr>
          <w:color w:val="auto"/>
        </w:rPr>
        <w:t>dekret träder i kraft från och med den 1 juli 2022</w:t>
      </w:r>
      <w:r>
        <w:t>.</w:t>
      </w:r>
    </w:p>
    <w:p w14:paraId="43D85D02" w14:textId="77777777" w:rsidR="0099057F" w:rsidRDefault="00A746B8">
      <w:pPr>
        <w:spacing w:after="0" w:line="259" w:lineRule="auto"/>
        <w:ind w:left="0" w:firstLine="0"/>
        <w:jc w:val="left"/>
      </w:pPr>
      <w:r>
        <w:t xml:space="preserve"> </w:t>
      </w:r>
    </w:p>
    <w:p w14:paraId="5E74FD20" w14:textId="3CC8CB54" w:rsidR="0099057F" w:rsidRDefault="00A746B8">
      <w:pPr>
        <w:ind w:left="-5"/>
      </w:pPr>
      <w:r>
        <w:t>Öl som släppts ut på marknaden eller märkts fram till och med den 30 juni 2022 och som uppfyller de bestämmelser som gällde fram till detta datum får saluföras till dess att lagren är tömda.</w:t>
      </w:r>
    </w:p>
    <w:p w14:paraId="491FA7F0" w14:textId="77777777" w:rsidR="0099057F" w:rsidRDefault="0099057F" w:rsidP="009D35BD">
      <w:pPr>
        <w:spacing w:after="0" w:line="259" w:lineRule="auto"/>
        <w:ind w:left="0" w:firstLine="0"/>
        <w:jc w:val="center"/>
      </w:pPr>
    </w:p>
    <w:p w14:paraId="5E7A90EE" w14:textId="77777777" w:rsidR="0099057F" w:rsidRDefault="00A746B8">
      <w:pPr>
        <w:pStyle w:val="Heading1"/>
        <w:ind w:left="128" w:right="123"/>
      </w:pPr>
      <w:r>
        <w:t xml:space="preserve">Artikel 3 </w:t>
      </w:r>
    </w:p>
    <w:p w14:paraId="1F16E623" w14:textId="77777777" w:rsidR="0099057F" w:rsidRDefault="00A746B8">
      <w:pPr>
        <w:spacing w:after="0" w:line="259" w:lineRule="auto"/>
        <w:ind w:left="0" w:firstLine="0"/>
        <w:jc w:val="left"/>
      </w:pPr>
      <w:r>
        <w:t xml:space="preserve"> </w:t>
      </w:r>
    </w:p>
    <w:p w14:paraId="4C8780DD" w14:textId="053B6DA9" w:rsidR="00795C97" w:rsidRDefault="00A9141C" w:rsidP="003C2BAA">
      <w:pPr>
        <w:spacing w:after="0" w:line="240" w:lineRule="auto"/>
        <w:ind w:left="-6" w:hanging="11"/>
      </w:pPr>
      <w:r>
        <w:t>Ekonomi-, finans- och återhämtningsministern, justitieministern och ministern för ekonomi, finanser och indrivning, som ansvarar för små och medelstora företag, ansvarar för genomförandet av detta dekret, som kommer att offentliggöras i Republiken Frankrikes</w:t>
      </w:r>
      <w:r>
        <w:rPr>
          <w:i/>
        </w:rPr>
        <w:t xml:space="preserve"> </w:t>
      </w:r>
      <w:r>
        <w:t xml:space="preserve">officiella tidning. </w:t>
      </w:r>
    </w:p>
    <w:p w14:paraId="05678850" w14:textId="77777777" w:rsidR="00795C97" w:rsidRDefault="00795C97">
      <w:pPr>
        <w:spacing w:line="390" w:lineRule="auto"/>
        <w:ind w:left="-5"/>
      </w:pPr>
    </w:p>
    <w:p w14:paraId="6FE5195C" w14:textId="5A7434F3" w:rsidR="0099057F" w:rsidRDefault="00A746B8" w:rsidP="00795C97">
      <w:pPr>
        <w:spacing w:line="390" w:lineRule="auto"/>
        <w:ind w:left="-5" w:firstLine="713"/>
      </w:pPr>
      <w:r>
        <w:t>Utfärdat den</w:t>
      </w:r>
    </w:p>
    <w:p w14:paraId="430AD662" w14:textId="77777777" w:rsidR="0099057F" w:rsidRDefault="00A746B8">
      <w:pPr>
        <w:spacing w:after="107"/>
        <w:ind w:left="730"/>
      </w:pPr>
      <w:r>
        <w:t xml:space="preserve">För premiärministern: </w:t>
      </w:r>
    </w:p>
    <w:sectPr w:rsidR="0099057F">
      <w:pgSz w:w="11906" w:h="16838"/>
      <w:pgMar w:top="1135" w:right="1416" w:bottom="1468"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C0672" w14:textId="77777777" w:rsidR="00180B66" w:rsidRDefault="00180B66" w:rsidP="00D11B82">
      <w:pPr>
        <w:spacing w:after="0" w:line="240" w:lineRule="auto"/>
      </w:pPr>
      <w:r>
        <w:separator/>
      </w:r>
    </w:p>
  </w:endnote>
  <w:endnote w:type="continuationSeparator" w:id="0">
    <w:p w14:paraId="0250D3E4" w14:textId="77777777" w:rsidR="00180B66" w:rsidRDefault="00180B66" w:rsidP="00D11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D64D8" w14:textId="77777777" w:rsidR="00180B66" w:rsidRDefault="00180B66" w:rsidP="00D11B82">
      <w:pPr>
        <w:spacing w:after="0" w:line="240" w:lineRule="auto"/>
      </w:pPr>
      <w:r>
        <w:separator/>
      </w:r>
    </w:p>
  </w:footnote>
  <w:footnote w:type="continuationSeparator" w:id="0">
    <w:p w14:paraId="7AB0FFE6" w14:textId="77777777" w:rsidR="00180B66" w:rsidRDefault="00180B66" w:rsidP="00D11B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97204"/>
    <w:multiLevelType w:val="hybridMultilevel"/>
    <w:tmpl w:val="A1B2DB82"/>
    <w:lvl w:ilvl="0" w:tplc="8CCCD6F8">
      <w:start w:val="2008"/>
      <w:numFmt w:val="decimal"/>
      <w:lvlText w:val="%1"/>
      <w:lvlJc w:val="left"/>
      <w:pPr>
        <w:ind w:left="1200" w:hanging="48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27BD32AA"/>
    <w:multiLevelType w:val="hybridMultilevel"/>
    <w:tmpl w:val="D8B09838"/>
    <w:lvl w:ilvl="0" w:tplc="1B7A8A1C">
      <w:start w:val="1"/>
      <w:numFmt w:val="bullet"/>
      <w:lvlText w:val="-"/>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BBA099A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AEA2F62">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E3677F2">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4425384">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A3EF8D4">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6240824">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F443EB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A5C4B50">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9954172"/>
    <w:multiLevelType w:val="hybridMultilevel"/>
    <w:tmpl w:val="F1165D2C"/>
    <w:lvl w:ilvl="0" w:tplc="CD2C9792">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30190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EEAD7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7CC21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54E62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CAFC0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C887C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40D45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0844B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343469E"/>
    <w:multiLevelType w:val="hybridMultilevel"/>
    <w:tmpl w:val="CFE64A3E"/>
    <w:lvl w:ilvl="0" w:tplc="B32C0CA4">
      <w:start w:val="1"/>
      <w:numFmt w:val="bullet"/>
      <w:lvlText w:val=""/>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D66AC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A64A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4E50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A2CE8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5E52C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9E3E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36355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E8FAB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A6C42B7"/>
    <w:multiLevelType w:val="hybridMultilevel"/>
    <w:tmpl w:val="5A0AC2F8"/>
    <w:lvl w:ilvl="0" w:tplc="2B1ACD4C">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5A63E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4A609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5A824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BA76E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C8937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4C5B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4075D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9AD5F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B8B507F"/>
    <w:multiLevelType w:val="hybridMultilevel"/>
    <w:tmpl w:val="BEF661DA"/>
    <w:lvl w:ilvl="0" w:tplc="3ECC80D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082B7E">
      <w:start w:val="1"/>
      <w:numFmt w:val="lowerLetter"/>
      <w:lvlText w:val="%2"/>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0ED85A">
      <w:start w:val="1"/>
      <w:numFmt w:val="lowerRoman"/>
      <w:lvlText w:val="%3"/>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74FDD2">
      <w:start w:val="1"/>
      <w:numFmt w:val="decimal"/>
      <w:lvlText w:val="%4"/>
      <w:lvlJc w:val="left"/>
      <w:pPr>
        <w:ind w:left="2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9ED66C">
      <w:start w:val="1"/>
      <w:numFmt w:val="lowerLetter"/>
      <w:lvlText w:val="%5"/>
      <w:lvlJc w:val="left"/>
      <w:pPr>
        <w:ind w:left="3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2898E2">
      <w:start w:val="1"/>
      <w:numFmt w:val="lowerRoman"/>
      <w:lvlText w:val="%6"/>
      <w:lvlJc w:val="left"/>
      <w:pPr>
        <w:ind w:left="4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989BB2">
      <w:start w:val="1"/>
      <w:numFmt w:val="decimal"/>
      <w:lvlText w:val="%7"/>
      <w:lvlJc w:val="left"/>
      <w:pPr>
        <w:ind w:left="5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B2F27C">
      <w:start w:val="1"/>
      <w:numFmt w:val="lowerLetter"/>
      <w:lvlText w:val="%8"/>
      <w:lvlJc w:val="left"/>
      <w:pPr>
        <w:ind w:left="5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84CAFE">
      <w:start w:val="1"/>
      <w:numFmt w:val="lowerRoman"/>
      <w:lvlText w:val="%9"/>
      <w:lvlJc w:val="left"/>
      <w:pPr>
        <w:ind w:left="6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FDC7E91"/>
    <w:multiLevelType w:val="hybridMultilevel"/>
    <w:tmpl w:val="C4EC03F6"/>
    <w:lvl w:ilvl="0" w:tplc="5F34A3F2">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CC16B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84186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667C4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40B03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28F3B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0C3E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4CB13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18A7C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
  </w:num>
  <w:num w:numId="3">
    <w:abstractNumId w:val="5"/>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57F"/>
    <w:rsid w:val="00002A30"/>
    <w:rsid w:val="0003773D"/>
    <w:rsid w:val="00046FC9"/>
    <w:rsid w:val="00060285"/>
    <w:rsid w:val="00073D3A"/>
    <w:rsid w:val="00100C68"/>
    <w:rsid w:val="00110042"/>
    <w:rsid w:val="00111F4C"/>
    <w:rsid w:val="0013677B"/>
    <w:rsid w:val="001510CD"/>
    <w:rsid w:val="00172CDC"/>
    <w:rsid w:val="00180B66"/>
    <w:rsid w:val="001B4F2F"/>
    <w:rsid w:val="001D11AE"/>
    <w:rsid w:val="00203B7E"/>
    <w:rsid w:val="002221F4"/>
    <w:rsid w:val="002229D4"/>
    <w:rsid w:val="00262F58"/>
    <w:rsid w:val="00286FEF"/>
    <w:rsid w:val="00291ACC"/>
    <w:rsid w:val="002B4777"/>
    <w:rsid w:val="002F5CEA"/>
    <w:rsid w:val="003431EF"/>
    <w:rsid w:val="003672DC"/>
    <w:rsid w:val="00370713"/>
    <w:rsid w:val="00377F41"/>
    <w:rsid w:val="003A0AAF"/>
    <w:rsid w:val="003C2BAA"/>
    <w:rsid w:val="0042102D"/>
    <w:rsid w:val="0043606B"/>
    <w:rsid w:val="00442033"/>
    <w:rsid w:val="004663EC"/>
    <w:rsid w:val="00490787"/>
    <w:rsid w:val="004B7C70"/>
    <w:rsid w:val="004C7E0D"/>
    <w:rsid w:val="004F152D"/>
    <w:rsid w:val="004F364B"/>
    <w:rsid w:val="00503D36"/>
    <w:rsid w:val="00506559"/>
    <w:rsid w:val="00515596"/>
    <w:rsid w:val="00530233"/>
    <w:rsid w:val="00534E15"/>
    <w:rsid w:val="00537E34"/>
    <w:rsid w:val="00555A17"/>
    <w:rsid w:val="00572E17"/>
    <w:rsid w:val="005C5F3C"/>
    <w:rsid w:val="005F69B8"/>
    <w:rsid w:val="006011F7"/>
    <w:rsid w:val="00602D64"/>
    <w:rsid w:val="00604904"/>
    <w:rsid w:val="00607F62"/>
    <w:rsid w:val="00635500"/>
    <w:rsid w:val="006B466E"/>
    <w:rsid w:val="00747F18"/>
    <w:rsid w:val="00795C97"/>
    <w:rsid w:val="007A3789"/>
    <w:rsid w:val="007D2BF4"/>
    <w:rsid w:val="008004B4"/>
    <w:rsid w:val="00832509"/>
    <w:rsid w:val="008348BE"/>
    <w:rsid w:val="008850D5"/>
    <w:rsid w:val="008E7855"/>
    <w:rsid w:val="008F7018"/>
    <w:rsid w:val="00924234"/>
    <w:rsid w:val="00936C4A"/>
    <w:rsid w:val="00940331"/>
    <w:rsid w:val="00974375"/>
    <w:rsid w:val="0099057F"/>
    <w:rsid w:val="009D35BD"/>
    <w:rsid w:val="009E3F3C"/>
    <w:rsid w:val="00A56696"/>
    <w:rsid w:val="00A746B8"/>
    <w:rsid w:val="00A8086F"/>
    <w:rsid w:val="00A86EA3"/>
    <w:rsid w:val="00A9141C"/>
    <w:rsid w:val="00B33862"/>
    <w:rsid w:val="00B4140F"/>
    <w:rsid w:val="00B91A69"/>
    <w:rsid w:val="00BE2634"/>
    <w:rsid w:val="00C076A2"/>
    <w:rsid w:val="00C14DB2"/>
    <w:rsid w:val="00C22041"/>
    <w:rsid w:val="00CC652F"/>
    <w:rsid w:val="00CE4AAC"/>
    <w:rsid w:val="00CF79F6"/>
    <w:rsid w:val="00D11B82"/>
    <w:rsid w:val="00D36103"/>
    <w:rsid w:val="00D42F0D"/>
    <w:rsid w:val="00D7314D"/>
    <w:rsid w:val="00D74E3D"/>
    <w:rsid w:val="00D84728"/>
    <w:rsid w:val="00DD7677"/>
    <w:rsid w:val="00DE2985"/>
    <w:rsid w:val="00E06871"/>
    <w:rsid w:val="00E27FED"/>
    <w:rsid w:val="00E625F7"/>
    <w:rsid w:val="00EC76D8"/>
    <w:rsid w:val="00F30F8A"/>
    <w:rsid w:val="00F55A21"/>
    <w:rsid w:val="00F63B00"/>
    <w:rsid w:val="00F703BE"/>
    <w:rsid w:val="00FA0032"/>
    <w:rsid w:val="00FB184F"/>
    <w:rsid w:val="00FF1371"/>
    <w:rsid w:val="00FF2216"/>
    <w:rsid w:val="00FF2E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8BCDB"/>
  <w15:docId w15:val="{91BD89CE-C04D-4B49-871F-01A2429E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9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 w:line="258" w:lineRule="auto"/>
      <w:ind w:left="478"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E3F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F3C"/>
    <w:rPr>
      <w:rFonts w:ascii="Segoe UI" w:eastAsia="Times New Roman" w:hAnsi="Segoe UI" w:cs="Segoe UI"/>
      <w:color w:val="000000"/>
      <w:sz w:val="18"/>
      <w:szCs w:val="18"/>
    </w:rPr>
  </w:style>
  <w:style w:type="paragraph" w:styleId="ListParagraph">
    <w:name w:val="List Paragraph"/>
    <w:basedOn w:val="Normal"/>
    <w:uiPriority w:val="34"/>
    <w:qFormat/>
    <w:rsid w:val="009E3F3C"/>
    <w:pPr>
      <w:ind w:left="720"/>
      <w:contextualSpacing/>
    </w:pPr>
  </w:style>
  <w:style w:type="paragraph" w:styleId="Header">
    <w:name w:val="header"/>
    <w:basedOn w:val="Normal"/>
    <w:link w:val="HeaderChar"/>
    <w:uiPriority w:val="99"/>
    <w:unhideWhenUsed/>
    <w:rsid w:val="00D11B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1B82"/>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D11B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1B82"/>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1B4F2F"/>
    <w:rPr>
      <w:color w:val="0563C1" w:themeColor="hyperlink"/>
      <w:u w:val="single"/>
    </w:rPr>
  </w:style>
  <w:style w:type="character" w:styleId="CommentReference">
    <w:name w:val="annotation reference"/>
    <w:basedOn w:val="DefaultParagraphFont"/>
    <w:uiPriority w:val="99"/>
    <w:semiHidden/>
    <w:unhideWhenUsed/>
    <w:rsid w:val="006B466E"/>
    <w:rPr>
      <w:sz w:val="16"/>
      <w:szCs w:val="16"/>
    </w:rPr>
  </w:style>
  <w:style w:type="paragraph" w:styleId="CommentText">
    <w:name w:val="annotation text"/>
    <w:basedOn w:val="Normal"/>
    <w:link w:val="CommentTextChar"/>
    <w:uiPriority w:val="99"/>
    <w:semiHidden/>
    <w:unhideWhenUsed/>
    <w:rsid w:val="006B466E"/>
    <w:pPr>
      <w:spacing w:line="240" w:lineRule="auto"/>
    </w:pPr>
    <w:rPr>
      <w:sz w:val="20"/>
      <w:szCs w:val="20"/>
    </w:rPr>
  </w:style>
  <w:style w:type="character" w:customStyle="1" w:styleId="CommentTextChar">
    <w:name w:val="Comment Text Char"/>
    <w:basedOn w:val="DefaultParagraphFont"/>
    <w:link w:val="CommentText"/>
    <w:uiPriority w:val="99"/>
    <w:semiHidden/>
    <w:rsid w:val="006B466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B466E"/>
    <w:rPr>
      <w:b/>
      <w:bCs/>
    </w:rPr>
  </w:style>
  <w:style w:type="character" w:customStyle="1" w:styleId="CommentSubjectChar">
    <w:name w:val="Comment Subject Char"/>
    <w:basedOn w:val="CommentTextChar"/>
    <w:link w:val="CommentSubject"/>
    <w:uiPriority w:val="99"/>
    <w:semiHidden/>
    <w:rsid w:val="006B466E"/>
    <w:rPr>
      <w:rFonts w:ascii="Times New Roman" w:eastAsia="Times New Roman" w:hAnsi="Times New Roman" w:cs="Times New Roman"/>
      <w:b/>
      <w:bCs/>
      <w:color w:val="000000"/>
      <w:sz w:val="20"/>
      <w:szCs w:val="20"/>
    </w:rPr>
  </w:style>
  <w:style w:type="paragraph" w:styleId="Revision">
    <w:name w:val="Revision"/>
    <w:hidden/>
    <w:uiPriority w:val="99"/>
    <w:semiHidden/>
    <w:rsid w:val="00377F41"/>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73825">
      <w:bodyDiv w:val="1"/>
      <w:marLeft w:val="0"/>
      <w:marRight w:val="0"/>
      <w:marTop w:val="0"/>
      <w:marBottom w:val="0"/>
      <w:divBdr>
        <w:top w:val="none" w:sz="0" w:space="0" w:color="auto"/>
        <w:left w:val="none" w:sz="0" w:space="0" w:color="auto"/>
        <w:bottom w:val="none" w:sz="0" w:space="0" w:color="auto"/>
        <w:right w:val="none" w:sz="0" w:space="0" w:color="auto"/>
      </w:divBdr>
    </w:div>
    <w:div w:id="162938875">
      <w:bodyDiv w:val="1"/>
      <w:marLeft w:val="0"/>
      <w:marRight w:val="0"/>
      <w:marTop w:val="0"/>
      <w:marBottom w:val="0"/>
      <w:divBdr>
        <w:top w:val="none" w:sz="0" w:space="0" w:color="auto"/>
        <w:left w:val="none" w:sz="0" w:space="0" w:color="auto"/>
        <w:bottom w:val="none" w:sz="0" w:space="0" w:color="auto"/>
        <w:right w:val="none" w:sz="0" w:space="0" w:color="auto"/>
      </w:divBdr>
    </w:div>
    <w:div w:id="1647316834">
      <w:bodyDiv w:val="1"/>
      <w:marLeft w:val="0"/>
      <w:marRight w:val="0"/>
      <w:marTop w:val="0"/>
      <w:marBottom w:val="0"/>
      <w:divBdr>
        <w:top w:val="none" w:sz="0" w:space="0" w:color="auto"/>
        <w:left w:val="none" w:sz="0" w:space="0" w:color="auto"/>
        <w:bottom w:val="none" w:sz="0" w:space="0" w:color="auto"/>
        <w:right w:val="none" w:sz="0" w:space="0" w:color="auto"/>
      </w:divBdr>
    </w:div>
    <w:div w:id="2047024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egifrance.gouv.fr/" TargetMode="External"/><Relationship Id="rId4" Type="http://schemas.openxmlformats.org/officeDocument/2006/relationships/settings" Target="settings.xml"/><Relationship Id="rId9" Type="http://schemas.openxmlformats.org/officeDocument/2006/relationships/hyperlink" Target="http://www.legifrance.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01666-0D38-4347-8D0F-090C5E3E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551</Words>
  <Characters>3146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REPUBLIQUE FRANCAISE</vt:lpstr>
    </vt:vector>
  </TitlesOfParts>
  <Company>DGCCRF</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TRUCHET Émilie (4C)</dc:creator>
  <cp:keywords/>
  <cp:lastModifiedBy>Liana Brili</cp:lastModifiedBy>
  <cp:revision>6</cp:revision>
  <cp:lastPrinted>2019-06-12T12:31:00Z</cp:lastPrinted>
  <dcterms:created xsi:type="dcterms:W3CDTF">2021-11-02T09:58:00Z</dcterms:created>
  <dcterms:modified xsi:type="dcterms:W3CDTF">2021-11-24T18:01:00Z</dcterms:modified>
</cp:coreProperties>
</file>