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PROJET DE DÉCRET ROYAL RÉGLEMENTANT LES COMMUNICATIONS D'URGENCE PAR LE BIAIS DU NUMÉRO D'URGENCE UNIQUE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La décision du conseil des communautés européennes du 29 juillet 1991 prévoyait l’obligation pour les États membres d’inscrire le numéro de téléphone 112 en tant que numéro d’appel d’urgence européen unique.</w:t>
      </w:r>
    </w:p>
    <w:p w14:paraId="6376BDD0" w14:textId="547E9F35" w:rsidR="00E027DA" w:rsidRPr="00665FA8" w:rsidRDefault="00F67865" w:rsidP="00E027DA">
      <w:pPr>
        <w:jc w:val="both"/>
        <w:rPr>
          <w:rFonts w:cstheme="minorHAnsi"/>
          <w:sz w:val="24"/>
          <w:szCs w:val="24"/>
        </w:rPr>
      </w:pPr>
      <w:r>
        <w:rPr>
          <w:sz w:val="24"/>
        </w:rPr>
        <w:t>À cet égard, l’introduction d’un numéro d’appel d’urgence unique dans tous les pays de l’Union européenne a permis aux citoyens, que ce soit dans leur propre pays ou dans un autre État membre, d’accéder plus facilement aux services d’urgence par téléphone.</w:t>
      </w:r>
    </w:p>
    <w:p w14:paraId="47E353DB" w14:textId="1302357D" w:rsidR="00E027DA" w:rsidRPr="00665FA8" w:rsidRDefault="00E027DA" w:rsidP="00E027DA">
      <w:pPr>
        <w:jc w:val="both"/>
        <w:rPr>
          <w:rFonts w:cstheme="minorHAnsi"/>
          <w:sz w:val="24"/>
          <w:szCs w:val="24"/>
        </w:rPr>
      </w:pPr>
      <w:r>
        <w:rPr>
          <w:sz w:val="24"/>
        </w:rPr>
        <w:t>Le décret royal 903/1997 du 16 juin 1997, qui réglemente l’accès, par l’intermédiaire des réseaux de télécommunications, au service de réponse aux appels d’urgence par le numéro 112, a permis l’utilisation exclusive du numéro 112 en Espagne pour l’accès au service de réponse aux appels d’urgence et l’accès réglementé à ce service par l’intermédiaire des réseaux des opérateurs téléphoniques. Par la suite, l’ordonnance du 14 octobre 1999 relative aux conditions de fourniture d’informations relatives à la fourniture d’un service d’appel d’urgence a été publiée sous le numéro 112.</w:t>
      </w:r>
    </w:p>
    <w:p w14:paraId="7695F0AE" w14:textId="1D3B8770" w:rsidR="00E027DA" w:rsidRPr="00665FA8" w:rsidRDefault="00E027DA" w:rsidP="00E027DA">
      <w:pPr>
        <w:jc w:val="both"/>
        <w:rPr>
          <w:rFonts w:cstheme="minorHAnsi"/>
          <w:sz w:val="24"/>
          <w:szCs w:val="24"/>
        </w:rPr>
      </w:pPr>
      <w:r>
        <w:rPr>
          <w:sz w:val="24"/>
        </w:rPr>
        <w:t>Malgré la mise en œuvre réussie du modèle 112 de prestation de services au fil de tant d’années d’expérience, la directive UE 2018/1972 du Parlement européen et du Conseil du 11 décembre 2018 établissant le code européen des communications électroniques (ci-après «CECE») a approfondi l’information et la diffusion sur son utilisation, introduit des avancées techniques permettant une localisation plus précise de l’appelant et un meilleur accès des personnes handicapées aux services d’urgence par le biais de communications d’urgence.</w:t>
      </w:r>
    </w:p>
    <w:p w14:paraId="258B4F42" w14:textId="7A1048A7" w:rsidR="00EB2A27" w:rsidRDefault="00BE5C76" w:rsidP="00E027DA">
      <w:pPr>
        <w:jc w:val="both"/>
        <w:rPr>
          <w:rFonts w:cstheme="minorHAnsi"/>
          <w:sz w:val="24"/>
          <w:szCs w:val="24"/>
        </w:rPr>
      </w:pPr>
      <w:r>
        <w:rPr>
          <w:sz w:val="24"/>
        </w:rPr>
        <w:t>L’article 74 de la loi 11/2022 du 28 juin relative aux télécommunications générales, qui a transposé l’article 109 du code européen des communications électroniques en droit espagnol, réglemente les communications d’urgence et le numéro d’urgence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L’article 74 précité de la loi générale sur les télécommunications a déjà réglementé les éléments qui composent le service de communication 112, en établissant que le service d’appel d’urgence sera gratuit pour les utilisateurs, indépendamment de </w:t>
      </w:r>
      <w:r>
        <w:rPr>
          <w:sz w:val="24"/>
        </w:rPr>
        <w:lastRenderedPageBreak/>
        <w:t>l’administration publique fournissant le service et du type de terminal utilisé. En outre, il prévoit que l’accès aux services d’urgence pour les utilisateurs finaux handicapés est équivalent à celui dont bénéficient les autres utilisateurs finaux.</w:t>
      </w:r>
    </w:p>
    <w:p w14:paraId="14F9C1E6" w14:textId="0F8F305A" w:rsidR="00E027DA" w:rsidRPr="00665FA8" w:rsidRDefault="00E027DA" w:rsidP="00E027DA">
      <w:pPr>
        <w:jc w:val="both"/>
        <w:rPr>
          <w:rFonts w:cstheme="minorHAnsi"/>
          <w:sz w:val="24"/>
          <w:szCs w:val="24"/>
        </w:rPr>
      </w:pPr>
      <w:r>
        <w:rPr>
          <w:sz w:val="24"/>
        </w:rPr>
        <w:t>Le même article 74 impose aux opérateurs l’obligation d’acheminer les appels vers le numéro de téléphone 112 vers les services d’urgence sans droit à une compensation financière, et précise que les critères d’exactitude et de fiabilité des informations fournies sur la localisation des appelants aux services d’urgence sont établis par décret royal.</w:t>
      </w:r>
    </w:p>
    <w:p w14:paraId="59640755" w14:textId="2A3944F4" w:rsidR="00E027DA" w:rsidRPr="00665FA8" w:rsidRDefault="00E027DA" w:rsidP="00E027DA">
      <w:pPr>
        <w:jc w:val="both"/>
        <w:rPr>
          <w:rFonts w:cstheme="minorHAnsi"/>
          <w:sz w:val="24"/>
          <w:szCs w:val="24"/>
        </w:rPr>
      </w:pPr>
      <w:r>
        <w:rPr>
          <w:sz w:val="24"/>
        </w:rPr>
        <w:t>Enfin, les autorités chargées de fournir les services du 112 veilleront à ce que les citoyens reçoivent des informations adéquates sur l’existence et l’utilisation de ce numéro, notamment au moyen d’initiatives ciblant spécifiquement les personnes se rendant dans d’autres États membres de l’Union européenne.</w:t>
      </w:r>
    </w:p>
    <w:p w14:paraId="544B0562" w14:textId="198314CE" w:rsidR="00F67865" w:rsidRPr="00665FA8" w:rsidRDefault="00F67865" w:rsidP="00E027DA">
      <w:pPr>
        <w:jc w:val="both"/>
        <w:rPr>
          <w:rFonts w:cstheme="minorHAnsi"/>
          <w:sz w:val="24"/>
          <w:szCs w:val="24"/>
        </w:rPr>
      </w:pPr>
      <w:r>
        <w:rPr>
          <w:sz w:val="24"/>
        </w:rPr>
        <w:t>L’expérience espagnole dans le domaine des services d’urgence jusqu’au 112 est une référence pour d’autres pays et constitue également une expérience réussie de collaboration entre les administrations publiques, puisqu’il ne faut pas oublier que la gestion des centres d’accueil des communications d’urgence, élément central du système, relève dès le départ de la responsabilité des communautés autonomes.</w:t>
      </w:r>
    </w:p>
    <w:p w14:paraId="244FC978" w14:textId="62557327" w:rsidR="00E027DA" w:rsidRPr="00665FA8" w:rsidRDefault="00F67865" w:rsidP="00E027DA">
      <w:pPr>
        <w:jc w:val="both"/>
        <w:rPr>
          <w:rFonts w:cstheme="minorHAnsi"/>
          <w:sz w:val="24"/>
          <w:szCs w:val="24"/>
        </w:rPr>
      </w:pPr>
      <w:r>
        <w:rPr>
          <w:sz w:val="24"/>
        </w:rPr>
        <w:t>Toutefois, il est nécessaire de continuer à progresser pour que le service d’urgence du 112, en particulier en tenant compte des nouvelles réalités découlant de la pandémie de COVID-19, devienne un service encore plus réactif pour les citoyens, en utilisant tous les moyens technologiques et matériels disponibles pour faire face à toute éventualité mettant la vie des personnes en danger.</w:t>
      </w:r>
    </w:p>
    <w:p w14:paraId="69159036" w14:textId="4E717157" w:rsidR="00E027DA" w:rsidRPr="00665FA8" w:rsidRDefault="00E027DA" w:rsidP="00E027DA">
      <w:pPr>
        <w:jc w:val="both"/>
        <w:rPr>
          <w:rFonts w:cstheme="minorHAnsi"/>
          <w:sz w:val="24"/>
          <w:szCs w:val="24"/>
        </w:rPr>
      </w:pPr>
      <w:r>
        <w:rPr>
          <w:sz w:val="24"/>
        </w:rPr>
        <w:t>En bref, ce décret royal apporte des modifications visant à parvenir à un texte cohérent et systématique avec les dispositions de l’article 74 de la loi générale sur les télécommunications et qui intègre les dernières avancées technologiques dans ce domaine.</w:t>
      </w:r>
    </w:p>
    <w:p w14:paraId="6D7877BF" w14:textId="219F1065" w:rsidR="00E027DA" w:rsidRPr="00665FA8" w:rsidRDefault="00E027DA" w:rsidP="00E027DA">
      <w:pPr>
        <w:jc w:val="both"/>
        <w:rPr>
          <w:rFonts w:cstheme="minorHAnsi"/>
          <w:sz w:val="24"/>
          <w:szCs w:val="24"/>
        </w:rPr>
      </w:pPr>
      <w:r>
        <w:rPr>
          <w:sz w:val="24"/>
        </w:rPr>
        <w:t>À cet égard, l’un des principaux objectifs de cette disposition réglementaire a été d’améliorer l’information sur l’emplacement de l’appelant, en incorporant l’installation appelée AML («Advanced Mobile Location»), c’est-à-dire pour fournir aux services d’urgence des informations de localisation plus précises basées sur le terminal mobile de l’appelant.</w:t>
      </w:r>
    </w:p>
    <w:p w14:paraId="52A5EC1A" w14:textId="374D857F" w:rsidR="00E027DA" w:rsidRPr="00665FA8" w:rsidRDefault="00E027DA" w:rsidP="00E027DA">
      <w:pPr>
        <w:jc w:val="both"/>
        <w:rPr>
          <w:rFonts w:cstheme="minorHAnsi"/>
          <w:sz w:val="24"/>
          <w:szCs w:val="24"/>
        </w:rPr>
      </w:pPr>
      <w:r>
        <w:rPr>
          <w:sz w:val="24"/>
        </w:rPr>
        <w:lastRenderedPageBreak/>
        <w:t>En outre, conformément aux dispositions de l'article 74 de la loi générale sur les télécommunications, le présent décret royal favorise l'accès équivalent au 112 pour les personnes handicapées, en garantissant l'égalité d'accès même lorsqu'elles voyagent depuis un autre État membre. Il favorise également l’accès aux services d’urgence à partir de réseaux de communications électroniques qui ne sont pas accessibles au public et souligne la nécessité pour les utilisateurs finaux de recevoir des informations adéquates sur l’existence et l’utilisation du numéro d’urgence européen unique 112, ainsi que sur ses caractéristiques d’accessibilité.</w:t>
      </w:r>
    </w:p>
    <w:p w14:paraId="6656B6AD" w14:textId="130A94B2" w:rsidR="00E027DA" w:rsidRPr="00665FA8" w:rsidRDefault="00E027DA" w:rsidP="00E027DA">
      <w:pPr>
        <w:jc w:val="both"/>
        <w:rPr>
          <w:rFonts w:cstheme="minorHAnsi"/>
          <w:sz w:val="24"/>
          <w:szCs w:val="24"/>
        </w:rPr>
      </w:pPr>
      <w:r>
        <w:rPr>
          <w:sz w:val="24"/>
        </w:rPr>
        <w:t>Enfin, le décret royal aborde la question de l’utilisation appropriée des données à caractère personnel et de la garantie de leur protection lors de la fourniture de services d’urgence par le biais de communications d’urgence et, en particulier, en ce qui concerne les informations de localisation à partir d’appareils mobiles, car cela implique l’accès et la gestion de données de localisation très précises, ce qui revêt une importance croissante en raison de l’utilisation de plus en plus massive et généralisée des informations personnelles.</w:t>
      </w:r>
    </w:p>
    <w:p w14:paraId="67A2E597" w14:textId="38BB6A68" w:rsidR="00E027DA" w:rsidRPr="00665FA8" w:rsidRDefault="0089567D" w:rsidP="00E027DA">
      <w:pPr>
        <w:jc w:val="both"/>
        <w:rPr>
          <w:rFonts w:cstheme="minorHAnsi"/>
          <w:sz w:val="24"/>
          <w:szCs w:val="24"/>
        </w:rPr>
      </w:pPr>
      <w:r>
        <w:rPr>
          <w:sz w:val="24"/>
        </w:rPr>
        <w:t>En bref, ce décret royal doit contribuer à la fourniture d’un service de communication d’urgence en fonction des possibilités offertes par le développement technologique du XXIe siècle, dans le but ultime d’offrir des services d’urgence de qualité supérieure à travers le numéro unique européen 112.</w:t>
      </w:r>
    </w:p>
    <w:p w14:paraId="3CCC4768" w14:textId="52FBBBF6" w:rsidR="00E027DA" w:rsidRDefault="00E027DA" w:rsidP="00E027DA">
      <w:pPr>
        <w:jc w:val="both"/>
        <w:rPr>
          <w:rFonts w:cstheme="minorHAnsi"/>
          <w:sz w:val="24"/>
          <w:szCs w:val="24"/>
        </w:rPr>
      </w:pPr>
      <w:r>
        <w:rPr>
          <w:sz w:val="24"/>
        </w:rPr>
        <w:t>En ce qui concerne son contenu et son traitement, le décret royal est conforme aux principes de bonne réglementation visés à l’article 129 de la loi 39/2015, du 1er octobre, relative à la procédure administrative commune des administrations publiques.</w:t>
      </w:r>
    </w:p>
    <w:p w14:paraId="38F1EBD0" w14:textId="77777777" w:rsidR="00A81C7E" w:rsidRDefault="00AE2097" w:rsidP="00AE2097">
      <w:pPr>
        <w:jc w:val="both"/>
        <w:rPr>
          <w:rFonts w:cstheme="minorHAnsi"/>
          <w:sz w:val="24"/>
          <w:szCs w:val="24"/>
        </w:rPr>
      </w:pPr>
      <w:r>
        <w:rPr>
          <w:sz w:val="24"/>
        </w:rPr>
        <w:t>Lors de la rédaction du décret royal, les citoyens et les secteurs concernés ont été entendus et un rapport a été demandé à la Commission nationale des marchés et de la concurrence.</w:t>
      </w:r>
    </w:p>
    <w:p w14:paraId="6AAD9DAC" w14:textId="1864001D" w:rsidR="00AE2097" w:rsidRPr="00AE2097" w:rsidRDefault="00A06BFE" w:rsidP="00AE2097">
      <w:pPr>
        <w:jc w:val="both"/>
        <w:rPr>
          <w:rFonts w:cstheme="minorHAnsi"/>
          <w:sz w:val="24"/>
          <w:szCs w:val="24"/>
        </w:rPr>
      </w:pPr>
      <w:r>
        <w:rPr>
          <w:sz w:val="24"/>
        </w:rPr>
        <w:t xml:space="preserve">Le présent décret royal a été soumis à la procédure prévue par la directive (UE) 2015/1535 du Parlement européen et du Conseil du 9 septembre 2015 prévoyant une procédure d’information dans le domaine des réglementations techniques et des règles relatives aux services de la société de l’information, ainsi que les dispositions du décret royal 1337/1999 du 31 juillet, qui régit la communication d’informations sur les normes </w:t>
      </w:r>
      <w:r>
        <w:rPr>
          <w:sz w:val="24"/>
        </w:rPr>
        <w:lastRenderedPageBreak/>
        <w:t>et réglementations techniques et les règles relatives aux services de la société de l’information.</w:t>
      </w:r>
    </w:p>
    <w:p w14:paraId="4A987318" w14:textId="3A667D94" w:rsidR="00AE2097" w:rsidRPr="00AE2097" w:rsidRDefault="00AE2097" w:rsidP="00AE2097">
      <w:pPr>
        <w:jc w:val="both"/>
        <w:rPr>
          <w:rFonts w:cstheme="minorHAnsi"/>
          <w:sz w:val="24"/>
          <w:szCs w:val="24"/>
        </w:rPr>
      </w:pPr>
      <w:r>
        <w:rPr>
          <w:sz w:val="24"/>
        </w:rPr>
        <w:t>Le présent décret royal est émis conformément aux dispositions de l’article 149, paragraphe 1, points 21 et 29 de la Constitution espagnole, qui confère à l’État la compétence en matière de télécommunications et de sécurité publique.</w:t>
      </w:r>
    </w:p>
    <w:p w14:paraId="6E6140D4" w14:textId="2A68573A" w:rsidR="00F70228" w:rsidRPr="00665FA8" w:rsidRDefault="00E027DA" w:rsidP="00E027DA">
      <w:pPr>
        <w:jc w:val="both"/>
        <w:rPr>
          <w:rFonts w:cstheme="minorHAnsi"/>
          <w:sz w:val="24"/>
          <w:szCs w:val="24"/>
        </w:rPr>
      </w:pPr>
      <w:r>
        <w:rPr>
          <w:sz w:val="24"/>
        </w:rPr>
        <w:t xml:space="preserve">En vertu de celle-ci, sur proposition du ministre de </w:t>
      </w:r>
      <w:proofErr w:type="gramStart"/>
      <w:r>
        <w:rPr>
          <w:sz w:val="24"/>
        </w:rPr>
        <w:t>l’économie</w:t>
      </w:r>
      <w:proofErr w:type="gramEnd"/>
      <w:r>
        <w:rPr>
          <w:sz w:val="24"/>
        </w:rPr>
        <w:t xml:space="preserve"> et de la transformation numérique et du ministre de l’intérieur, en accord avec le Conseil d’État et après délibération du Conseil des ministres, lors de sa réunion tenue le 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EST DÉCRÉTÉ CE QUI SUIT:</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CHAPITRE I</w:t>
      </w:r>
    </w:p>
    <w:p w14:paraId="7DC17760" w14:textId="5D7F2D91" w:rsidR="00B655FC" w:rsidRPr="00665FA8" w:rsidRDefault="00B655FC" w:rsidP="00654EA5">
      <w:pPr>
        <w:jc w:val="center"/>
        <w:rPr>
          <w:rFonts w:cstheme="minorHAnsi"/>
          <w:b/>
          <w:bCs/>
          <w:sz w:val="24"/>
          <w:szCs w:val="24"/>
        </w:rPr>
      </w:pPr>
      <w:r>
        <w:rPr>
          <w:b/>
          <w:sz w:val="24"/>
        </w:rPr>
        <w:t>Dispositions générales</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Article 1.Objet et buts.</w:t>
      </w:r>
    </w:p>
    <w:p w14:paraId="5F4E033B" w14:textId="4F355184" w:rsidR="002C4646" w:rsidRPr="00665FA8" w:rsidRDefault="002C4646" w:rsidP="00216CBB">
      <w:pPr>
        <w:jc w:val="both"/>
        <w:rPr>
          <w:rFonts w:cstheme="minorHAnsi"/>
          <w:bCs/>
          <w:sz w:val="24"/>
          <w:szCs w:val="24"/>
        </w:rPr>
      </w:pPr>
      <w:r>
        <w:rPr>
          <w:sz w:val="24"/>
        </w:rPr>
        <w:t>1.Le but de ce décret royal, dans le cadre de l’élaboration de l’article 74 de la loi 11/2022 du 28 juin, loi générale des télécommunications, est de réglementer les communications d’urgence pour l’accès aux services d’urgence par l’intermédiaire du numéro unique européen 112.</w:t>
      </w:r>
    </w:p>
    <w:p w14:paraId="1EAEDCF1" w14:textId="5B493586" w:rsidR="00F41153" w:rsidRPr="00665FA8" w:rsidRDefault="002C4646" w:rsidP="002C4646">
      <w:pPr>
        <w:jc w:val="both"/>
        <w:rPr>
          <w:rFonts w:cstheme="minorHAnsi"/>
          <w:bCs/>
          <w:sz w:val="24"/>
          <w:szCs w:val="24"/>
        </w:rPr>
      </w:pPr>
      <w:r>
        <w:rPr>
          <w:sz w:val="24"/>
        </w:rPr>
        <w:t>2.Les objectifs poursuivis par le présent règlement sont les suivants:</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Veiller à ce que les plus hauts niveaux d’accès, d’intégrité et de continuité des communications d’urgence soient maintenus.</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Veiller à ce que les réseaux et les installations touchés par cette norme puissent transmettre avec succès les communications d’urgence au service d’intervention d’urgence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Fournir les informations d’emplacement les plus précises disponibles pour les communications d’urgence au service d’intervention d’urgence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lastRenderedPageBreak/>
        <w:t>Garantir l’accès au service d’intervention d’urgence 112 par les utilisateurs finaux handicapés dans des conditions équivalentes à celles des autres utilisateurs.</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Article 2.Champ d’application.</w:t>
      </w:r>
    </w:p>
    <w:p w14:paraId="371C94A6" w14:textId="79CE1E15" w:rsidR="004D313F" w:rsidRDefault="00DD0A72" w:rsidP="00DD0A72">
      <w:pPr>
        <w:jc w:val="both"/>
        <w:rPr>
          <w:rFonts w:cstheme="minorHAnsi"/>
          <w:bCs/>
          <w:sz w:val="24"/>
          <w:szCs w:val="24"/>
        </w:rPr>
      </w:pPr>
      <w:r>
        <w:rPr>
          <w:sz w:val="24"/>
        </w:rPr>
        <w:t>1.Le présent décret royal s’applique aux opérateurs fournissant des services de communications interpersonnelles accessibles au public sur la base du numérotage lorsque ces services permettent aux utilisateurs finaux de passer des appels en utilisant des ressources de numérotages publiques allouées dans le cadre de plans de numérotages nationaux ou internationaux.</w:t>
      </w:r>
    </w:p>
    <w:p w14:paraId="38952C23" w14:textId="186C6211" w:rsidR="00D83C45" w:rsidRPr="00665FA8" w:rsidRDefault="004B14A3" w:rsidP="00DD0A72">
      <w:pPr>
        <w:jc w:val="both"/>
        <w:rPr>
          <w:rFonts w:cstheme="minorHAnsi"/>
          <w:bCs/>
          <w:sz w:val="24"/>
          <w:szCs w:val="24"/>
        </w:rPr>
      </w:pPr>
      <w:r>
        <w:rPr>
          <w:sz w:val="24"/>
        </w:rPr>
        <w:t>2.Le présent décret royal s’applique également aux entités responsables des réseaux de communications électroniques qui ne sont pas accessibles au public mais autorisent les appels vers les réseaux publics, en particulier lorsqu’ils ne fournissent pas un accès simple et alternatif à un service d’urgence.</w:t>
      </w:r>
    </w:p>
    <w:p w14:paraId="75994B45" w14:textId="7364F965" w:rsidR="00111AF9" w:rsidRPr="00665FA8" w:rsidRDefault="004B14A3" w:rsidP="00DD0A72">
      <w:pPr>
        <w:jc w:val="both"/>
        <w:rPr>
          <w:rFonts w:cstheme="minorHAnsi"/>
          <w:bCs/>
          <w:sz w:val="24"/>
          <w:szCs w:val="24"/>
        </w:rPr>
      </w:pPr>
      <w:r>
        <w:rPr>
          <w:sz w:val="24"/>
        </w:rPr>
        <w:t>3.Ce décret royal s’applique aux services de communications vocales, y compris les moyens de communication spécifiquement destinés aux utilisateurs finaux handicapés utilisant du texte à la parole ou des services de conversation complets en mode texte.</w:t>
      </w:r>
    </w:p>
    <w:p w14:paraId="6AC0226C" w14:textId="5E3F13E6" w:rsidR="00B3150A" w:rsidRPr="00665FA8" w:rsidRDefault="00111AF9" w:rsidP="00491EF9">
      <w:pPr>
        <w:jc w:val="both"/>
        <w:rPr>
          <w:rFonts w:cstheme="minorHAnsi"/>
          <w:bCs/>
          <w:sz w:val="24"/>
          <w:szCs w:val="24"/>
        </w:rPr>
      </w:pPr>
      <w:r>
        <w:rPr>
          <w:sz w:val="24"/>
        </w:rPr>
        <w:t xml:space="preserve">La communication d’urgence peut également être déclenchée par un appel d’urgence généré par le véhicule utilisant le système </w:t>
      </w:r>
      <w:proofErr w:type="spellStart"/>
      <w:r>
        <w:rPr>
          <w:sz w:val="24"/>
        </w:rPr>
        <w:t>eCall</w:t>
      </w:r>
      <w:proofErr w:type="spellEnd"/>
      <w:r>
        <w:rPr>
          <w:sz w:val="24"/>
        </w:rPr>
        <w:t xml:space="preserve">, conformément aux conditions énoncées dans le règlement (UE) 2015/758 du Parlement européen et du Conseil du 29 avril 2015 concernant les exigences en matière de réception par type pour le déploiement du système </w:t>
      </w:r>
      <w:proofErr w:type="spellStart"/>
      <w:r>
        <w:rPr>
          <w:sz w:val="24"/>
        </w:rPr>
        <w:t>eCall</w:t>
      </w:r>
      <w:proofErr w:type="spellEnd"/>
      <w:r>
        <w:rPr>
          <w:sz w:val="24"/>
        </w:rPr>
        <w:t xml:space="preserve"> embarqué fondé sur le service 112 et modifiant la directive 2007/46/CE.</w:t>
      </w:r>
    </w:p>
    <w:p w14:paraId="1363A3BC" w14:textId="3000956A" w:rsidR="004D313F" w:rsidRPr="00665FA8" w:rsidRDefault="00C23106" w:rsidP="00416655">
      <w:pPr>
        <w:jc w:val="both"/>
        <w:rPr>
          <w:rFonts w:cstheme="minorHAnsi"/>
          <w:bCs/>
          <w:sz w:val="24"/>
          <w:szCs w:val="24"/>
        </w:rPr>
      </w:pPr>
      <w:bookmarkStart w:id="0" w:name="_Hlk105786198"/>
      <w:r>
        <w:rPr>
          <w:sz w:val="24"/>
        </w:rPr>
        <w:t>4.Il est de la responsabilité des fabricants de systèmes d’exploitation pour appareils mobiles portables dotés d’une fonctionnalité informatique en termes de traitement des données et de capacité de stockage de s’assurer que ces systèmes d’exploitation sont en mesure de fournir la fonctionnalité d’information avancée de localisation mobile AML à partir du dispositif lui-même réglementé par le présent décret royal lorsque la communication d’urgence est déclenchée.</w:t>
      </w:r>
    </w:p>
    <w:bookmarkEnd w:id="0"/>
    <w:p w14:paraId="708D0CCE" w14:textId="11912B3C" w:rsidR="004D313F" w:rsidRPr="00665FA8" w:rsidRDefault="00F74F1A" w:rsidP="0004166D">
      <w:pPr>
        <w:keepNext/>
        <w:jc w:val="both"/>
        <w:rPr>
          <w:rFonts w:cstheme="minorHAnsi"/>
          <w:b/>
          <w:bCs/>
          <w:sz w:val="24"/>
          <w:szCs w:val="24"/>
        </w:rPr>
      </w:pPr>
      <w:r>
        <w:rPr>
          <w:b/>
          <w:sz w:val="24"/>
        </w:rPr>
        <w:lastRenderedPageBreak/>
        <w:t>Article 3.Définitions.</w:t>
      </w:r>
    </w:p>
    <w:p w14:paraId="464E637B" w14:textId="402D4F49" w:rsidR="00FB2916" w:rsidRPr="00665FA8" w:rsidRDefault="00FB2916" w:rsidP="00F63CA4">
      <w:pPr>
        <w:jc w:val="both"/>
        <w:rPr>
          <w:rFonts w:cstheme="minorHAnsi"/>
          <w:bCs/>
          <w:sz w:val="24"/>
          <w:szCs w:val="24"/>
        </w:rPr>
      </w:pPr>
      <w:r>
        <w:rPr>
          <w:sz w:val="24"/>
        </w:rPr>
        <w:t>Aux fins du présent décret royal, outre les définitions déjà contenues dans la loi 11/2022 du 28 juin, loi générale des télécommunications, les définitions suivantes sont incluses:</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Centres d’accueil de communications d’urgence -</w:t>
      </w:r>
      <w:r>
        <w:rPr>
          <w:sz w:val="24"/>
        </w:rPr>
        <w:t xml:space="preserve"> lieu physique où les communications d’urgence vers le numéro d’urgence unique européen 112 ou d’autres numéros d’urgence nationaux sont initialement reçues, traitées et évaluées.</w:t>
      </w:r>
    </w:p>
    <w:p w14:paraId="65111BBC" w14:textId="77777777" w:rsidR="00887CFC" w:rsidRPr="00887CFC" w:rsidRDefault="00A8133A" w:rsidP="00C94CF9">
      <w:pPr>
        <w:pStyle w:val="ListParagraph"/>
        <w:numPr>
          <w:ilvl w:val="0"/>
          <w:numId w:val="19"/>
        </w:numPr>
        <w:jc w:val="both"/>
        <w:rPr>
          <w:rFonts w:cstheme="minorHAnsi"/>
          <w:bCs/>
          <w:iCs/>
          <w:sz w:val="24"/>
          <w:szCs w:val="24"/>
        </w:rPr>
      </w:pPr>
      <w:proofErr w:type="spellStart"/>
      <w:r>
        <w:rPr>
          <w:i/>
          <w:sz w:val="24"/>
        </w:rPr>
        <w:t>eCall</w:t>
      </w:r>
      <w:proofErr w:type="spellEnd"/>
      <w:r>
        <w:rPr>
          <w:sz w:val="24"/>
        </w:rPr>
        <w:t xml:space="preserve"> — définition figurant à l’article 3, paragraphe 2, du règlement (UE) 2015/758 du Parlement européen et du Conseil du 29 avril 2015 concernant les exigences en matière de réception par type pour le déploiement du système </w:t>
      </w:r>
      <w:proofErr w:type="spellStart"/>
      <w:r>
        <w:rPr>
          <w:sz w:val="24"/>
        </w:rPr>
        <w:t>eCall</w:t>
      </w:r>
      <w:proofErr w:type="spellEnd"/>
      <w:r>
        <w:rPr>
          <w:sz w:val="24"/>
        </w:rPr>
        <w:t xml:space="preserve"> embarqué fondé sur le service 112 et modifiant la directive 2007/46/CE.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Emplacement mobile avancé: un système qui active les services de localisation à partir d’un appareil mobile et envoie l’emplacement aux services d’urgence 112, tels que définis par l’Institut européen des normes de télécommunications (ETSI) dans sa norme ETSI-TS-103-625 ou son système équivalent.</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iCs/>
          <w:sz w:val="24"/>
        </w:rPr>
        <w:t>Service d’intervention d’urgence 112</w:t>
      </w:r>
      <w:r>
        <w:rPr>
          <w:sz w:val="24"/>
        </w:rPr>
        <w:t>— un service fournissant une assistance rapide et immédiate dans les situations où il existe, en particulier, un risque direct pour la vie ou le membre de la personne, pour la santé et la sécurité publiques ou individuelles, ou pour les biens publics ou privés ou l’environnement et accessible par communication d’urgence via le numéro d’urgence unique européen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système </w:t>
      </w:r>
      <w:proofErr w:type="spellStart"/>
      <w:r>
        <w:rPr>
          <w:i/>
          <w:sz w:val="24"/>
        </w:rPr>
        <w:t>eCall</w:t>
      </w:r>
      <w:proofErr w:type="spellEnd"/>
      <w:r>
        <w:rPr>
          <w:i/>
          <w:sz w:val="24"/>
        </w:rPr>
        <w:t xml:space="preserve"> embarqué fondé sur le 112 </w:t>
      </w:r>
      <w:r>
        <w:rPr>
          <w:sz w:val="24"/>
        </w:rPr>
        <w:t xml:space="preserve">- définition figurant à l’article 3, paragraphe 1, du règlement (UE) 2015/758 du Parlement européen et du Conseil du 29 avril 2015 concernant les exigences en matière de réception pour le déploiement du système </w:t>
      </w:r>
      <w:proofErr w:type="spellStart"/>
      <w:r>
        <w:rPr>
          <w:sz w:val="24"/>
        </w:rPr>
        <w:t>eCall</w:t>
      </w:r>
      <w:proofErr w:type="spellEnd"/>
      <w:r>
        <w:rPr>
          <w:sz w:val="24"/>
        </w:rPr>
        <w:t xml:space="preserve"> embarqué fondé sur le service 112 et modifiant la directive 2007/46/CE.</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Texte en temps réel: définition figurant à l’article 3, paragraphe 14, de la directive (UE) 2019/882 du Parlement européen et du Conseil du 17 avril 2019 concernant les exigences en matière d’accessibilité applicables aux produits et services.</w:t>
      </w:r>
    </w:p>
    <w:p w14:paraId="099769F3" w14:textId="77777777" w:rsidR="00CC3EF6" w:rsidRPr="00665FA8" w:rsidRDefault="00CC3EF6" w:rsidP="00654EA5">
      <w:pPr>
        <w:jc w:val="center"/>
        <w:rPr>
          <w:rFonts w:cstheme="minorHAnsi"/>
          <w:b/>
          <w:bCs/>
          <w:sz w:val="24"/>
          <w:szCs w:val="24"/>
        </w:rPr>
      </w:pPr>
    </w:p>
    <w:p w14:paraId="637C5BA5" w14:textId="77777777" w:rsidR="0004166D" w:rsidRDefault="0004166D">
      <w:pPr>
        <w:rPr>
          <w:b/>
          <w:sz w:val="24"/>
        </w:rPr>
      </w:pPr>
      <w:r>
        <w:rPr>
          <w:b/>
          <w:sz w:val="24"/>
        </w:rPr>
        <w:br w:type="page"/>
      </w:r>
    </w:p>
    <w:p w14:paraId="777CB5BB" w14:textId="224C483F" w:rsidR="00B655FC" w:rsidRPr="00665FA8" w:rsidRDefault="00B655FC" w:rsidP="00654EA5">
      <w:pPr>
        <w:jc w:val="center"/>
        <w:rPr>
          <w:rFonts w:cstheme="minorHAnsi"/>
          <w:b/>
          <w:bCs/>
          <w:sz w:val="24"/>
          <w:szCs w:val="24"/>
        </w:rPr>
      </w:pPr>
      <w:r>
        <w:rPr>
          <w:b/>
          <w:sz w:val="24"/>
        </w:rPr>
        <w:lastRenderedPageBreak/>
        <w:t>CHAPITRE II</w:t>
      </w:r>
    </w:p>
    <w:p w14:paraId="3F593816" w14:textId="0D12C1E8" w:rsidR="00B25460" w:rsidRPr="00665FA8" w:rsidRDefault="00B25460" w:rsidP="00654EA5">
      <w:pPr>
        <w:jc w:val="center"/>
        <w:rPr>
          <w:rFonts w:cstheme="minorHAnsi"/>
          <w:b/>
          <w:bCs/>
          <w:sz w:val="24"/>
          <w:szCs w:val="24"/>
        </w:rPr>
      </w:pPr>
      <w:r>
        <w:rPr>
          <w:b/>
          <w:sz w:val="24"/>
        </w:rPr>
        <w:t>Service d’intervention d’urgence via le numéro d’urgence unique européen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Article 4.Configuration du service d’intervention d’urgence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1.Les utilisateurs finaux de services de communications interpersonnelles fondés sur la numérotation accessibles au public qui leur permettent de passer des appels à un numéro dans un plan national ou international de numérotage doivent pouvoir accéder au service d’appel d’urgence 112 par l’intermédiaire des centres d’accueil d’appel d’urgence visés à l’article 6 mis à disposition par les prestataires de services autorisés à fournir le service d’appel d’urgence 112.</w:t>
      </w:r>
    </w:p>
    <w:p w14:paraId="6513C95A" w14:textId="55A2A6DD" w:rsidR="00141EE8" w:rsidRDefault="008517E9" w:rsidP="00327211">
      <w:pPr>
        <w:jc w:val="both"/>
        <w:rPr>
          <w:rFonts w:cstheme="minorHAnsi"/>
          <w:bCs/>
          <w:sz w:val="24"/>
          <w:szCs w:val="24"/>
        </w:rPr>
      </w:pPr>
      <w:r>
        <w:rPr>
          <w:sz w:val="24"/>
        </w:rPr>
        <w:t xml:space="preserve">2.Le service d’appel d’urgence du 112 est également accessible par l’intermédiaire des centres de réception des communications d’urgence mentionnés au paragraphe précédent en utilisant le numéro d’urgence européen unique 112 à partir de téléphones payants publics, d’appareils mobiles sans carte SIM ou sans carte SIM activée et de véhicules équipés du système </w:t>
      </w:r>
      <w:proofErr w:type="spellStart"/>
      <w:r>
        <w:rPr>
          <w:sz w:val="24"/>
        </w:rPr>
        <w:t>eCall</w:t>
      </w:r>
      <w:proofErr w:type="spellEnd"/>
      <w:r>
        <w:rPr>
          <w:sz w:val="24"/>
        </w:rPr>
        <w:t xml:space="preserve"> basé sur le 112 intégré au véhicule.</w:t>
      </w:r>
    </w:p>
    <w:p w14:paraId="76343F90" w14:textId="6E1E9AC9" w:rsidR="008517E9" w:rsidRPr="008517E9" w:rsidRDefault="008517E9" w:rsidP="00327211">
      <w:pPr>
        <w:jc w:val="both"/>
        <w:rPr>
          <w:rFonts w:cstheme="minorHAnsi"/>
          <w:sz w:val="24"/>
          <w:szCs w:val="24"/>
        </w:rPr>
      </w:pPr>
      <w:r>
        <w:rPr>
          <w:sz w:val="24"/>
        </w:rPr>
        <w:t>3.Le service d’intervention d’urgence 112 sera compatible avec d’autres services utilisés par les différentes administrations publiques pour répondre aux urgences des citoyens.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Article 5.Entités fournissant le service d’intervention d’urgence 112.</w:t>
      </w:r>
    </w:p>
    <w:p w14:paraId="3B7D51D6" w14:textId="62DAE5D4" w:rsidR="00154C68" w:rsidRPr="00665FA8" w:rsidRDefault="00154C68" w:rsidP="00154C68">
      <w:pPr>
        <w:jc w:val="both"/>
        <w:rPr>
          <w:rFonts w:cstheme="minorHAnsi"/>
          <w:bCs/>
          <w:sz w:val="24"/>
          <w:szCs w:val="24"/>
        </w:rPr>
      </w:pPr>
      <w:r>
        <w:rPr>
          <w:sz w:val="24"/>
        </w:rPr>
        <w:t>1.Le service d’intervention d’urgence 112 est assuré par les communautés autonomes et les villes de Ceuta et Melilla, qui établissent les centres de réception de communications d’urgence correspondants et les réseaux qui, le cas échéant, doivent être installés pour établir d’autres points d’attention pour les services publics qui fournissent une assistance.</w:t>
      </w:r>
    </w:p>
    <w:p w14:paraId="51B94879" w14:textId="07C92872" w:rsidR="00154C68" w:rsidRDefault="00154C68" w:rsidP="00154C68">
      <w:pPr>
        <w:jc w:val="both"/>
        <w:rPr>
          <w:rFonts w:cstheme="minorHAnsi"/>
          <w:bCs/>
          <w:sz w:val="24"/>
          <w:szCs w:val="24"/>
        </w:rPr>
      </w:pPr>
      <w:r>
        <w:rPr>
          <w:sz w:val="24"/>
        </w:rPr>
        <w:t xml:space="preserve">2.En aucun cas, il ne peut y avoir de chevauchement territorial entre les zones couvertes par les entités fournissant le service d’intervention d’urgence 112. À cette fin, les communautés autonomes et les villes de Ceuta et Melilla doivent contrôler la gestion </w:t>
      </w:r>
      <w:r>
        <w:rPr>
          <w:sz w:val="24"/>
        </w:rPr>
        <w:lastRenderedPageBreak/>
        <w:t>du service susmentionné afin que les différents domaines de soins soient clairement différenciés.</w:t>
      </w:r>
    </w:p>
    <w:p w14:paraId="02744B8A" w14:textId="300A7C1C" w:rsidR="00E20E4A" w:rsidRDefault="00E20E4A" w:rsidP="00154C68">
      <w:pPr>
        <w:jc w:val="both"/>
        <w:rPr>
          <w:rFonts w:cstheme="minorHAnsi"/>
          <w:bCs/>
          <w:sz w:val="24"/>
          <w:szCs w:val="24"/>
        </w:rPr>
      </w:pPr>
      <w:r>
        <w:rPr>
          <w:sz w:val="24"/>
        </w:rPr>
        <w:t>3. Afin de garantir une réponse et une attention appropriées aux communications d’urgence qui se produisent et d’assurer une action rapide, ordonnée et efficace de la part des services susmentionnés, dans le cadre des fonctions et compétences qui correspondent à chacun d’eux, les entités fournissant le service d’intervention d’urgence 112 adoptent les mesures nécessaires à l’égard des services d’urgence qui en dépendent et établissent les accords ou arrangements de collaboration nécessaires lorsque ces services ne leur appartiennent pas.</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Article 6.112 Centres de réception des communications d’urgence.</w:t>
      </w:r>
    </w:p>
    <w:p w14:paraId="3635A1EC" w14:textId="3763194E" w:rsidR="00154C68" w:rsidRDefault="00154C68" w:rsidP="00154C68">
      <w:pPr>
        <w:jc w:val="both"/>
        <w:rPr>
          <w:rFonts w:cstheme="minorHAnsi"/>
          <w:bCs/>
          <w:sz w:val="24"/>
          <w:szCs w:val="24"/>
        </w:rPr>
      </w:pPr>
      <w:r>
        <w:rPr>
          <w:sz w:val="24"/>
        </w:rPr>
        <w:t>1.La fourniture du service d’intervention d’urgence 112 nécessite la création de centres de réception des communications d’urgence du 112. Ces centres d’appel d’urgence du 112, ainsi que tout autre point de soins des services publics fournissant l’assistance, ne font pas partie de l’accès au service d’intervention d’urgence via le numéro unique européen 112 et leurs conditions d’exploitation dépendront des prestataires de services.</w:t>
      </w:r>
    </w:p>
    <w:p w14:paraId="6E7B9775" w14:textId="2A2C20CB" w:rsidR="00DE5401" w:rsidRPr="00DE5401" w:rsidRDefault="00DE5401" w:rsidP="00DE5401">
      <w:pPr>
        <w:jc w:val="both"/>
        <w:rPr>
          <w:rFonts w:cstheme="minorHAnsi"/>
          <w:bCs/>
          <w:sz w:val="24"/>
          <w:szCs w:val="24"/>
        </w:rPr>
      </w:pPr>
      <w:r>
        <w:rPr>
          <w:sz w:val="24"/>
        </w:rPr>
        <w:t>2.Chaque centre de réception des communications d’urgence du 112 dessert une zone géographique spécifique, qui est déterminée par l’entité fournissant le service d’intervention d’urgence 112 et communiquée par celui-ci aux opérateurs visés à l’article 2, paragraphe 1.</w:t>
      </w:r>
    </w:p>
    <w:p w14:paraId="458656E8" w14:textId="6F2F8FDC" w:rsidR="00DE5401" w:rsidRPr="00665FA8" w:rsidRDefault="00830B70" w:rsidP="00DE5401">
      <w:pPr>
        <w:jc w:val="both"/>
        <w:rPr>
          <w:rFonts w:cstheme="minorHAnsi"/>
          <w:bCs/>
          <w:sz w:val="24"/>
          <w:szCs w:val="24"/>
        </w:rPr>
      </w:pPr>
      <w:r>
        <w:rPr>
          <w:sz w:val="24"/>
        </w:rPr>
        <w:t>3.Les coûts d’accès aux réseaux de communications électroniques accessibles au public du ou des centres de réception des communications d’urgence sont à la charge des entités fournissant le service d’intervention d’urgence 112.</w:t>
      </w:r>
    </w:p>
    <w:p w14:paraId="1148FB96" w14:textId="6FCE88C5" w:rsidR="00830B70" w:rsidRDefault="00830B70" w:rsidP="00154C68">
      <w:pPr>
        <w:jc w:val="both"/>
        <w:rPr>
          <w:rFonts w:cstheme="minorHAnsi"/>
          <w:bCs/>
          <w:sz w:val="24"/>
          <w:szCs w:val="24"/>
        </w:rPr>
      </w:pPr>
      <w:r>
        <w:rPr>
          <w:sz w:val="24"/>
        </w:rPr>
        <w:t>4.Un maximum d’un point d’accès par province peut être établi. Cette limitation ne s’applique pas aux communautés autonomes insulaires, compte tenu de leurs caractéristiques particulières, de sorte qu’un point d’accès maximum par île peut être établi.</w:t>
      </w:r>
    </w:p>
    <w:p w14:paraId="52FEE43A" w14:textId="4A0FD498" w:rsidR="00B972C1" w:rsidRPr="00665FA8" w:rsidRDefault="00DE5401" w:rsidP="00154C68">
      <w:pPr>
        <w:jc w:val="both"/>
        <w:rPr>
          <w:rFonts w:cstheme="minorHAnsi"/>
          <w:bCs/>
          <w:sz w:val="24"/>
          <w:szCs w:val="24"/>
        </w:rPr>
      </w:pPr>
      <w:r>
        <w:rPr>
          <w:sz w:val="24"/>
        </w:rPr>
        <w:t xml:space="preserve">5.Dans le cas où les communications entre les centres de réception des communications d’urgence du 112 et les autres points de service public fournissant une assistance </w:t>
      </w:r>
      <w:r>
        <w:rPr>
          <w:sz w:val="24"/>
        </w:rPr>
        <w:lastRenderedPageBreak/>
        <w:t>nécessitent la mise en œuvre de réseaux de communications électroniques, les opérateurs visés à l’article 2, paragraphe 1, ne sont pas responsables de l’investissement, de l’exploitation et de l’entretien de ceux-ci, sans préjudice de la possibilité pour ces opérateurs de conclure des accords avec les entités fournissant le service d’intervention d’urgence 112 pour la fourniture partielle ou totale du réseau pour le service qu’ils souhaitent obtenir.</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Article 7.Accès aux informations sur l’annuaire.</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Les entités fournissant le service d’urgence du 112, ainsi que les centres d’accueil des communications d’urgence 112, </w:t>
      </w:r>
      <w:bookmarkEnd w:id="1"/>
      <w:r>
        <w:rPr>
          <w:sz w:val="24"/>
        </w:rPr>
        <w:t>auront accès, conformément aux dispositions de l’article 72, paragraphe 2, point c), de la loi générale sur les télécommunications, aux informations sur les numéros d’abonné pour l’accomplissement strict de leurs fonctions.</w:t>
      </w:r>
    </w:p>
    <w:p w14:paraId="298AC744" w14:textId="11357EB4" w:rsidR="00446862" w:rsidRDefault="00446862" w:rsidP="00D15DCA">
      <w:pPr>
        <w:jc w:val="both"/>
        <w:rPr>
          <w:rFonts w:cstheme="minorHAnsi"/>
          <w:sz w:val="24"/>
          <w:szCs w:val="24"/>
        </w:rPr>
      </w:pPr>
      <w:r>
        <w:rPr>
          <w:sz w:val="24"/>
        </w:rPr>
        <w:t>2.À cette fin, la Commission nationale des marchés et de la concurrence leur fournira gratuitement les données relatives aux numéros d’abonnés, même si les abonnés ont exercé leur droit en vertu de l’article 66, paragraphe 3, point c), de la loi 11/2022 du 28 juin 2002 relative aux télécommunications générales de ne pas être inclus dans les annuaires ou de demander l’omission de certaines de leurs données.</w:t>
      </w:r>
    </w:p>
    <w:p w14:paraId="367E06FD" w14:textId="6F167036" w:rsidR="00794819" w:rsidRDefault="00446862" w:rsidP="00794819">
      <w:pPr>
        <w:jc w:val="both"/>
        <w:rPr>
          <w:rFonts w:cstheme="minorHAnsi"/>
          <w:sz w:val="24"/>
          <w:szCs w:val="24"/>
        </w:rPr>
      </w:pPr>
      <w:r>
        <w:rPr>
          <w:sz w:val="24"/>
        </w:rPr>
        <w:t>3.La fourniture de données par la Commission nationale des marchés et de la concurrence est effectuée de manière actualisée conformément aux conditions fixées dans les règlements régissant les annuaires des abonnés et les services de renseignements téléphoniques et conformément à la procédure de fourniture et de réception des informations qui, le cas échéant, peuvent être établies par la Commission nationale des marchés et de la concurrence au moyen d’une circulaire.</w:t>
      </w:r>
    </w:p>
    <w:p w14:paraId="30CD625E" w14:textId="64C12034" w:rsidR="00794819" w:rsidRDefault="00794819" w:rsidP="00794819">
      <w:pPr>
        <w:jc w:val="both"/>
        <w:rPr>
          <w:rFonts w:cstheme="minorHAnsi"/>
          <w:sz w:val="24"/>
          <w:szCs w:val="24"/>
        </w:rPr>
      </w:pPr>
      <w:r>
        <w:rPr>
          <w:sz w:val="24"/>
        </w:rPr>
        <w:t>4.À tout le moins, la Commission nationale des marchés et de la concurrence doit fournir les données suivantes sur les abonnés:</w:t>
      </w:r>
    </w:p>
    <w:p w14:paraId="783A7AF4" w14:textId="3B69A674" w:rsidR="00D22728" w:rsidRDefault="00D22728" w:rsidP="00D22728">
      <w:pPr>
        <w:pStyle w:val="ListParagraph"/>
        <w:numPr>
          <w:ilvl w:val="0"/>
          <w:numId w:val="21"/>
        </w:numPr>
        <w:jc w:val="both"/>
        <w:rPr>
          <w:rFonts w:cstheme="minorHAnsi"/>
          <w:sz w:val="24"/>
          <w:szCs w:val="24"/>
        </w:rPr>
      </w:pPr>
      <w:r>
        <w:rPr>
          <w:sz w:val="24"/>
        </w:rPr>
        <w:t>Nom complet ou raison sociale.</w:t>
      </w:r>
    </w:p>
    <w:p w14:paraId="5F2386C2" w14:textId="65B9478E" w:rsidR="00D22728" w:rsidRDefault="00D22728" w:rsidP="00D22728">
      <w:pPr>
        <w:pStyle w:val="ListParagraph"/>
        <w:numPr>
          <w:ilvl w:val="0"/>
          <w:numId w:val="21"/>
        </w:numPr>
        <w:jc w:val="both"/>
        <w:rPr>
          <w:rFonts w:cstheme="minorHAnsi"/>
          <w:sz w:val="24"/>
          <w:szCs w:val="24"/>
        </w:rPr>
      </w:pPr>
      <w:r>
        <w:rPr>
          <w:sz w:val="24"/>
        </w:rPr>
        <w:t>Carte d’identité nationale.</w:t>
      </w:r>
    </w:p>
    <w:p w14:paraId="0FFAEDA1" w14:textId="45ED18CF" w:rsidR="00D22728" w:rsidRDefault="00D22728" w:rsidP="00D22728">
      <w:pPr>
        <w:pStyle w:val="ListParagraph"/>
        <w:numPr>
          <w:ilvl w:val="0"/>
          <w:numId w:val="21"/>
        </w:numPr>
        <w:jc w:val="both"/>
        <w:rPr>
          <w:rFonts w:cstheme="minorHAnsi"/>
          <w:sz w:val="24"/>
          <w:szCs w:val="24"/>
        </w:rPr>
      </w:pPr>
      <w:r>
        <w:rPr>
          <w:sz w:val="24"/>
        </w:rPr>
        <w:t>Numéro d’abonné.</w:t>
      </w:r>
    </w:p>
    <w:p w14:paraId="28866C39" w14:textId="39DADDEA" w:rsidR="00D22728" w:rsidRDefault="00D22728" w:rsidP="00D22728">
      <w:pPr>
        <w:pStyle w:val="ListParagraph"/>
        <w:numPr>
          <w:ilvl w:val="0"/>
          <w:numId w:val="21"/>
        </w:numPr>
        <w:jc w:val="both"/>
        <w:rPr>
          <w:rFonts w:cstheme="minorHAnsi"/>
          <w:sz w:val="24"/>
          <w:szCs w:val="24"/>
        </w:rPr>
      </w:pPr>
      <w:r>
        <w:rPr>
          <w:sz w:val="24"/>
        </w:rPr>
        <w:t>Adresse postale de l’adresse, y compris l’étage, l’appartement et la porte.</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Terminal spécifique déclaré.</w:t>
      </w:r>
    </w:p>
    <w:p w14:paraId="477CDC1F" w14:textId="6B3E44EB" w:rsidR="00D22728" w:rsidRDefault="00B801D5" w:rsidP="00794819">
      <w:pPr>
        <w:jc w:val="both"/>
        <w:rPr>
          <w:rFonts w:cstheme="minorHAnsi"/>
          <w:sz w:val="24"/>
          <w:szCs w:val="24"/>
        </w:rPr>
      </w:pPr>
      <w:r>
        <w:rPr>
          <w:sz w:val="24"/>
        </w:rPr>
        <w:lastRenderedPageBreak/>
        <w:t>5.Les données obtenues seront utilisées exclusivement comme support pour la fourniture effective des services d’urgence du 112, et le fournisseur et les centres d’accueil seront responsables de l’utilisation appropriée des données.</w:t>
      </w:r>
    </w:p>
    <w:p w14:paraId="02E4E8FD" w14:textId="18B42222" w:rsidR="00446862" w:rsidRPr="00446862" w:rsidRDefault="00B801D5" w:rsidP="00B801D5">
      <w:pPr>
        <w:jc w:val="both"/>
        <w:rPr>
          <w:rFonts w:cstheme="minorHAnsi"/>
          <w:sz w:val="24"/>
          <w:szCs w:val="24"/>
        </w:rPr>
      </w:pPr>
      <w:r>
        <w:rPr>
          <w:sz w:val="24"/>
        </w:rPr>
        <w:t>6.Les dispositions du présent article s’appliquent sans préjudice de l’application de la législation applicable en matière de protection des données à caractère personnel, en particulier le règlement (UE) 2016/679 du Parlement européen et du Conseil du 27 avril 2016 et la loi organique 3/2018 du 5 décembre relative à la protection des données à caractère personnel et à la garantie des droits numériques, ainsi que ses règlements d’application.</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Article 8.- Informations sur l’existence et l’utilisation du numéro d’urgence unique européen 112.</w:t>
      </w:r>
    </w:p>
    <w:p w14:paraId="7D50E4F1" w14:textId="6161D9B0" w:rsidR="00D15DCA" w:rsidRPr="00665FA8" w:rsidRDefault="00D15DCA" w:rsidP="00D15DCA">
      <w:pPr>
        <w:jc w:val="both"/>
        <w:rPr>
          <w:rFonts w:cstheme="minorHAnsi"/>
          <w:bCs/>
          <w:sz w:val="24"/>
          <w:szCs w:val="24"/>
        </w:rPr>
      </w:pPr>
      <w:r>
        <w:rPr>
          <w:sz w:val="24"/>
        </w:rPr>
        <w:t>Les autorités responsables de la fourniture des services d’urgence du 112 veillent à ce que les citoyens soient correctement informés de l’existence et de l’utilisation du numéro d’urgence unique européen 112 et de ses caractéristiques d’accessibilité, notamment au moyen d’initiatives ciblant spécifiquement les personnes voyageant en provenance d’autres États membres de l’Union européenne et les utilisateurs finaux handicapés. Ces informations sont fournies dans des formats accessibles en fonction des différents types de handicap.</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614C8C96" w14:textId="77777777" w:rsidR="0004166D" w:rsidRDefault="0004166D">
      <w:pPr>
        <w:rPr>
          <w:b/>
          <w:sz w:val="24"/>
        </w:rPr>
      </w:pPr>
      <w:r>
        <w:rPr>
          <w:b/>
          <w:sz w:val="24"/>
        </w:rPr>
        <w:br w:type="page"/>
      </w:r>
    </w:p>
    <w:p w14:paraId="18BD83E7" w14:textId="34D4C313" w:rsidR="0006458E" w:rsidRPr="00665FA8" w:rsidRDefault="0006458E" w:rsidP="00F2452F">
      <w:pPr>
        <w:jc w:val="center"/>
        <w:rPr>
          <w:rFonts w:cstheme="minorHAnsi"/>
          <w:b/>
          <w:bCs/>
          <w:sz w:val="24"/>
          <w:szCs w:val="24"/>
        </w:rPr>
      </w:pPr>
      <w:r>
        <w:rPr>
          <w:b/>
          <w:sz w:val="24"/>
        </w:rPr>
        <w:lastRenderedPageBreak/>
        <w:t>CHAPITRE III</w:t>
      </w:r>
    </w:p>
    <w:p w14:paraId="7100A396" w14:textId="1F55FCE0" w:rsidR="00FC0FB2" w:rsidRPr="00665FA8" w:rsidRDefault="00FC0FB2" w:rsidP="00F2452F">
      <w:pPr>
        <w:jc w:val="center"/>
        <w:rPr>
          <w:rFonts w:cstheme="minorHAnsi"/>
          <w:b/>
          <w:bCs/>
          <w:sz w:val="24"/>
          <w:szCs w:val="24"/>
        </w:rPr>
      </w:pPr>
      <w:r>
        <w:rPr>
          <w:b/>
          <w:sz w:val="24"/>
        </w:rPr>
        <w:t>Accès au service d’intervention d’urgence via le numéro unique européen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Article 9.Accès au service d’intervention d’urgence 112 en utilisant le numéro unique européen 112 à partir de réseaux de communications électroniques accessibles au public.</w:t>
      </w:r>
    </w:p>
    <w:p w14:paraId="2BA03DF5" w14:textId="658D4D37" w:rsidR="00D15643" w:rsidRPr="00665FA8" w:rsidRDefault="00327211" w:rsidP="004A67D9">
      <w:pPr>
        <w:jc w:val="both"/>
        <w:rPr>
          <w:rFonts w:cstheme="minorHAnsi"/>
          <w:bCs/>
          <w:sz w:val="24"/>
          <w:szCs w:val="24"/>
        </w:rPr>
      </w:pPr>
      <w:r>
        <w:rPr>
          <w:sz w:val="24"/>
        </w:rPr>
        <w:t>1.Les utilisateurs finaux de services de communications interpersonnelles fondés sur la numérotation, lorsque ces services permettent de passer des appels à un numéro dans un plan national ou international de numérotage, en composant le numéro d’urgence européen unique 112, ont accès gratuitement aux centres de réception des communications d’urgence fournis par les entités fournissant le service d’intervention d’urgence 112, sans paiement d’aucune sorte et sans avoir à utiliser aucun moyen de paiement à partir de tout appareil prenant en charge des services de communications interpersonnelles fondés sur la numérotation, y compris lorsque les utilisateurs finaux d’un autre État membre utilisent des services d’itinérance en Espagne.</w:t>
      </w:r>
    </w:p>
    <w:p w14:paraId="1FE9F16E" w14:textId="47E2444C" w:rsidR="005E1BBD" w:rsidRPr="00665FA8" w:rsidRDefault="00D15643" w:rsidP="00327211">
      <w:pPr>
        <w:jc w:val="both"/>
        <w:rPr>
          <w:rFonts w:cstheme="minorHAnsi"/>
          <w:bCs/>
          <w:sz w:val="24"/>
          <w:szCs w:val="24"/>
        </w:rPr>
      </w:pPr>
      <w:r>
        <w:rPr>
          <w:sz w:val="24"/>
        </w:rPr>
        <w:t xml:space="preserve">Aux fins du paragraphe précédent, les dispositifs prenant en charge les services de communications interpersonnelles fondés sur la numérotation comprennent les appareils fixes et mobiles, en particulier les appareils mobiles sans carte SIM activée, les téléphones payants publics et les véhicules équipés du système </w:t>
      </w:r>
      <w:proofErr w:type="spellStart"/>
      <w:r>
        <w:rPr>
          <w:sz w:val="24"/>
        </w:rPr>
        <w:t>eCall</w:t>
      </w:r>
      <w:proofErr w:type="spellEnd"/>
      <w:r>
        <w:rPr>
          <w:sz w:val="24"/>
        </w:rPr>
        <w:t xml:space="preserve"> embarqué fondé sur le 112.</w:t>
      </w:r>
    </w:p>
    <w:p w14:paraId="2D8DAE3C" w14:textId="01E912FA" w:rsidR="00327211" w:rsidRPr="00665FA8" w:rsidRDefault="005578F4" w:rsidP="00327211">
      <w:pPr>
        <w:jc w:val="both"/>
        <w:rPr>
          <w:rFonts w:cstheme="minorHAnsi"/>
          <w:bCs/>
          <w:sz w:val="24"/>
          <w:szCs w:val="24"/>
        </w:rPr>
      </w:pPr>
      <w:r>
        <w:rPr>
          <w:sz w:val="24"/>
        </w:rPr>
        <w:t>2.À cette fin, les opérateurs visés à l’article 2, paragraphe 1, du présent décret royal acheminent les communications d’urgence vers le numéro d’urgence européen unique 112 vers le centre d’accueil de l’entité correspondante fournissant le service d’intervention d’urgence 112, en fonction de la zone géographique d’origine de la communication. Cette obligation s’applique même lorsque l’accès est fourni par l’intermédiaire d’opérateurs indépendants du réseau de services de communications interpersonnelles fondés sur la numérotation, de sorte que cet accès soit comparable à celui exigé des fournisseurs de services de communications interpersonnelles fondés sur la numérotation fournis sur une connexion qu’ils gèrent.</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Article 10.Accès au </w:t>
      </w:r>
      <w:bookmarkStart w:id="2" w:name="_Hlk105583432"/>
      <w:r>
        <w:rPr>
          <w:b/>
          <w:sz w:val="24"/>
        </w:rPr>
        <w:t xml:space="preserve">service d’intervention d’urgence 112 </w:t>
      </w:r>
      <w:bookmarkEnd w:id="2"/>
      <w:r>
        <w:rPr>
          <w:b/>
          <w:sz w:val="24"/>
        </w:rPr>
        <w:t>utilisant le numéro unique européen 112 à partir de réseaux de communications électroniques qui ne sont pas accessibles au public mais autorisent les appels vers les réseaux publics.</w:t>
      </w:r>
    </w:p>
    <w:p w14:paraId="68250DF3" w14:textId="2D83A3A3" w:rsidR="00AA54EE" w:rsidRPr="00665FA8" w:rsidRDefault="00AA54EE" w:rsidP="00AA54EE">
      <w:pPr>
        <w:jc w:val="both"/>
        <w:rPr>
          <w:rFonts w:cstheme="minorHAnsi"/>
          <w:bCs/>
          <w:sz w:val="24"/>
          <w:szCs w:val="24"/>
        </w:rPr>
      </w:pPr>
      <w:r>
        <w:rPr>
          <w:sz w:val="24"/>
        </w:rPr>
        <w:t>L’accès au numéro d’urgence européen unique 112 est assuré à partir de réseaux de communications électroniques qui ne sont pas accessibles au public mais qui permettent des appels vers des réseaux publics, en particulier lorsque l’entreprise responsable d’un tel réseau ne fournit pas un accès alternatif et facile à un service d’intervention d’urgence.</w:t>
      </w:r>
    </w:p>
    <w:p w14:paraId="589E741A" w14:textId="0D005FEA" w:rsidR="00AA54EE" w:rsidRPr="00665FA8" w:rsidRDefault="00AA54EE" w:rsidP="00AA54EE">
      <w:pPr>
        <w:jc w:val="both"/>
        <w:rPr>
          <w:rFonts w:cstheme="minorHAnsi"/>
          <w:bCs/>
          <w:sz w:val="24"/>
          <w:szCs w:val="24"/>
        </w:rPr>
      </w:pPr>
      <w:r>
        <w:rPr>
          <w:sz w:val="24"/>
        </w:rPr>
        <w:t xml:space="preserve">Un arrêté du ministre de </w:t>
      </w:r>
      <w:proofErr w:type="gramStart"/>
      <w:r>
        <w:rPr>
          <w:sz w:val="24"/>
        </w:rPr>
        <w:t>l’économie</w:t>
      </w:r>
      <w:proofErr w:type="gramEnd"/>
      <w:r>
        <w:rPr>
          <w:sz w:val="24"/>
        </w:rPr>
        <w:t xml:space="preserve"> et de la transformation numérique précise les conditions d’accès de ces réseaux au numéro d’urgence unique européen 112.</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Article 11.Obligations des opérateurs en ce qui concerne les communications d’urgence via le numéro d’urgence unique européen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Les opérateurs visés à l’article 2, paragraphe 1, du présent décret royal</w:t>
      </w:r>
      <w:bookmarkEnd w:id="3"/>
      <w:r>
        <w:rPr>
          <w:sz w:val="24"/>
        </w:rPr>
        <w:t>, lorsque leurs services de communications interpersonnelles fondés sur la numérotation permettent d’effectuer des appels vers un numéro national ou international, sont tenus d’acheminer gratuitement les appels vers le numéro unique européen 112, y compris en ce qui concerne les utilisateurs finaux de services de communications interpersonnelles basés sur la numérotation mobile en provenance d’un autre État membre en itinérance en Espagne, qu’ils gèrent ou non la connexion.</w:t>
      </w:r>
    </w:p>
    <w:p w14:paraId="0C5260A6" w14:textId="4E60E532" w:rsidR="001D3755" w:rsidRPr="00665FA8" w:rsidRDefault="001D3755" w:rsidP="001D3755">
      <w:pPr>
        <w:jc w:val="both"/>
        <w:rPr>
          <w:rFonts w:cstheme="minorHAnsi"/>
          <w:bCs/>
          <w:sz w:val="24"/>
          <w:szCs w:val="24"/>
        </w:rPr>
      </w:pPr>
      <w:r>
        <w:rPr>
          <w:sz w:val="24"/>
        </w:rPr>
        <w:t xml:space="preserve">2.Les opérateurs visés à l’article 2, paragraphe 1, du présent décret royal sont tenus de procéder aux adaptations nécessaires à l’acheminement, gratuitement, des appels effectués à partir du système </w:t>
      </w:r>
      <w:proofErr w:type="spellStart"/>
      <w:r>
        <w:rPr>
          <w:sz w:val="24"/>
        </w:rPr>
        <w:t>eCall</w:t>
      </w:r>
      <w:proofErr w:type="spellEnd"/>
      <w:r>
        <w:rPr>
          <w:sz w:val="24"/>
        </w:rPr>
        <w:t xml:space="preserve"> sur la base du numéro 112 intégré dans le véhicule au centre de réception des communications d’urgence du prestataire de services d’intervention d’urgence correspondant au 112, facilitant ainsi la différenciation entre les appels générés manuellement et ceux générés automatiquement.</w:t>
      </w:r>
    </w:p>
    <w:p w14:paraId="2F621009" w14:textId="632AF1B8" w:rsidR="00327211" w:rsidRDefault="00C23106" w:rsidP="00BD6AF1">
      <w:pPr>
        <w:jc w:val="both"/>
        <w:rPr>
          <w:rFonts w:cstheme="minorHAnsi"/>
          <w:bCs/>
          <w:sz w:val="24"/>
          <w:szCs w:val="24"/>
        </w:rPr>
      </w:pPr>
      <w:r>
        <w:rPr>
          <w:sz w:val="24"/>
        </w:rPr>
        <w:t xml:space="preserve">3.Les opérateurs visés à l’article 2, paragraphe 1, du présent décret royal sont tenus de supporter le coût du trafic vers le centre de réception des communications d’urgence du 112 prestataire de services d’urgence concerné, y compris les communications d’urgence effectuées à partir de téléphones payants publics, à partir d’appareils mobiles </w:t>
      </w:r>
      <w:r>
        <w:rPr>
          <w:sz w:val="24"/>
        </w:rPr>
        <w:lastRenderedPageBreak/>
        <w:t xml:space="preserve">sans carte SIM ou sans carte SIM activée et du système </w:t>
      </w:r>
      <w:proofErr w:type="spellStart"/>
      <w:r>
        <w:rPr>
          <w:sz w:val="24"/>
        </w:rPr>
        <w:t>eCall</w:t>
      </w:r>
      <w:proofErr w:type="spellEnd"/>
      <w:r>
        <w:rPr>
          <w:sz w:val="24"/>
        </w:rPr>
        <w:t xml:space="preserve"> basé sur le numéro 112 embarqué.</w:t>
      </w:r>
    </w:p>
    <w:p w14:paraId="17E95762" w14:textId="27C9FCF0" w:rsidR="00D533A9" w:rsidRPr="00665FA8" w:rsidRDefault="00D533A9" w:rsidP="00BD6AF1">
      <w:pPr>
        <w:jc w:val="both"/>
        <w:rPr>
          <w:rFonts w:cstheme="minorHAnsi"/>
          <w:bCs/>
          <w:sz w:val="24"/>
          <w:szCs w:val="24"/>
        </w:rPr>
      </w:pPr>
      <w:r>
        <w:rPr>
          <w:sz w:val="24"/>
        </w:rPr>
        <w:t>4.Les opérateurs visés à l’article 2, paragraphe 1, du présent décret royal, en ce qui concerne les utilisateurs finaux de services de communications interpersonnelles mobiles fondés sur la numérotation à partir d’un autre État membre en itinérance en Espagne, ne facturent pas au fournisseur de services d’itinérance les communications d’urgence via le numéro d’urgence unique européen 112.</w:t>
      </w:r>
    </w:p>
    <w:p w14:paraId="1DB9FBD5" w14:textId="6589B2B8" w:rsidR="004A0EC8" w:rsidRDefault="00D533A9" w:rsidP="00D82583">
      <w:pPr>
        <w:jc w:val="both"/>
        <w:rPr>
          <w:rFonts w:cstheme="minorHAnsi"/>
          <w:bCs/>
          <w:sz w:val="24"/>
          <w:szCs w:val="24"/>
        </w:rPr>
      </w:pPr>
      <w:r>
        <w:rPr>
          <w:sz w:val="24"/>
        </w:rPr>
        <w:t>5.Les opérateurs visés à l’article 2, paragraphe 1, du présent décret royal facilitent l’identification de la ligne d’origine à partir de laquelle les appels sont effectués vers le numéro d’urgence unique européen 112, dans les limites des possibilités techniques du réseau et conformément à la réglementation en matière d’installations de présentation et de limitation des lignes d’appel établies dans les réglementations nationales et européennes. Les opérateurs doivent fournir l’identification de la ligne d’origine même si l’utilisateur final, conformément à l’article 65, paragraphe 1, point o), de la Loi générale des télécommunications 11/2022 du 28 juin, a exercé son droit d’empêcher la présentation de sa ligne d’identification.</w:t>
      </w:r>
    </w:p>
    <w:p w14:paraId="43B12FFB" w14:textId="6E9A3BFF" w:rsidR="00D82583" w:rsidRDefault="00D533A9" w:rsidP="00D82583">
      <w:pPr>
        <w:jc w:val="both"/>
        <w:rPr>
          <w:rFonts w:cstheme="minorHAnsi"/>
          <w:bCs/>
          <w:sz w:val="24"/>
          <w:szCs w:val="24"/>
        </w:rPr>
      </w:pPr>
      <w:r>
        <w:rPr>
          <w:sz w:val="24"/>
        </w:rPr>
        <w:t>6.Les opérateurs visés à l’article 2, paragraphe 1, du présent décret royal doivent, dans les conditions prévues à l’article 72 de la loi 11/2022 du 28 juin, loi générale sur les télécommunications et ses règlements d’application, fournir les informations relatives aux numéros d’abonnés à la Commission nationale des marchés et de la concurrence afin qu’ils puissent fournir ces données gratuitement aux entités fournissant le service d’intervention d’urgence 112 et aux centres de réception des communications d’urgence du 112. Les opérateurs doivent fournir les détails des abonnés, même ceux qui ont exercé leur droit en vertu de l’article 66, paragraphe 3, point c), de la loi 11/2022 du 28 juin, loi générale des télécommunications, de ne pas être inclus dans les annuaires ou de demander l’omission de certaines de leurs coordonnées.</w:t>
      </w:r>
    </w:p>
    <w:p w14:paraId="5F85024C" w14:textId="068D4C79" w:rsidR="004851CC" w:rsidRDefault="00D533A9" w:rsidP="00D82583">
      <w:pPr>
        <w:jc w:val="both"/>
        <w:rPr>
          <w:rFonts w:cstheme="minorHAnsi"/>
          <w:bCs/>
          <w:sz w:val="24"/>
          <w:szCs w:val="24"/>
        </w:rPr>
      </w:pPr>
      <w:r>
        <w:rPr>
          <w:sz w:val="24"/>
        </w:rPr>
        <w:t>7.Les opérateurs visés à l’article 2, paragraphe 1, du présent décret royal sont tenus de fournir des informations sur la localisation des utilisateurs appelant le numéro d’urgence unique européen 112 dans les conditions énoncées à l’article suivant.</w:t>
      </w:r>
    </w:p>
    <w:p w14:paraId="74736523" w14:textId="538D1DFC" w:rsidR="004851CC" w:rsidRPr="004851CC" w:rsidRDefault="00D533A9" w:rsidP="004851CC">
      <w:pPr>
        <w:jc w:val="both"/>
        <w:rPr>
          <w:rFonts w:cstheme="minorHAnsi"/>
          <w:bCs/>
          <w:sz w:val="24"/>
          <w:szCs w:val="24"/>
        </w:rPr>
      </w:pPr>
      <w:r>
        <w:rPr>
          <w:sz w:val="24"/>
        </w:rPr>
        <w:t xml:space="preserve">8.Le traitement des données à caractère personnel visé dans le présent article et dans le prochain article est couvert par le respect de l’obligation légale de garantir un service </w:t>
      </w:r>
      <w:r>
        <w:rPr>
          <w:sz w:val="24"/>
        </w:rPr>
        <w:lastRenderedPageBreak/>
        <w:t>d’intervention d’urgence 112 établi par l’article 74 de la loi 11/2022, du 28 juin, loi générale des télécommunications, dans le but de protéger l’intérêt vital de l’appelant, de sauvegarder la sécurité nationale, la défense, la sécurité publique et la prévention, les enquêtes et les poursuites en matière de criminalité, la sécurité de la vie humaine ou des raisons d’intérêt public.</w:t>
      </w:r>
    </w:p>
    <w:p w14:paraId="37010891" w14:textId="1B9F5213" w:rsidR="004851CC" w:rsidRPr="00665FA8" w:rsidRDefault="00D533A9" w:rsidP="004851CC">
      <w:pPr>
        <w:jc w:val="both"/>
        <w:rPr>
          <w:rFonts w:cstheme="minorHAnsi"/>
          <w:bCs/>
          <w:sz w:val="24"/>
          <w:szCs w:val="24"/>
        </w:rPr>
      </w:pPr>
      <w:r>
        <w:rPr>
          <w:sz w:val="24"/>
        </w:rPr>
        <w:t>9.En tout état de cause, les dispositions du présent article et les dispositions suivantes sont sans préjudice des mesures adoptées pour garantir le secret des communications, conformément aux dispositions de l’article 18. 3 de la Constitution et de la protection des données à caractère personnel, conformément aux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et la loi organique 3/2018 du 5 décembre relative à la protection des données à caractère personnel et à la garantie des droits numériques, ainsi que dans ses règlements d’application.</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Article 12.Obligation aux opérateurs de fournir des informations de localisation aux utilisateurs appelant le numéro d’urgence unique européen 112.</w:t>
      </w:r>
    </w:p>
    <w:p w14:paraId="2C9EFE22" w14:textId="65FA7A20" w:rsidR="00EC41B0" w:rsidRDefault="002C4646" w:rsidP="00F2452F">
      <w:pPr>
        <w:jc w:val="both"/>
        <w:rPr>
          <w:rFonts w:cstheme="minorHAnsi"/>
          <w:bCs/>
          <w:sz w:val="24"/>
          <w:szCs w:val="24"/>
        </w:rPr>
      </w:pPr>
      <w:r>
        <w:rPr>
          <w:sz w:val="24"/>
        </w:rPr>
        <w:t>1.Les opérateurs visés à l’article 2, paragraphe 1, du présent décret royal fournissent immédiatement des informations sur la localisation de l’appelant, tant à partir du réseau que de l’appareil mobile, y compris en ce qui concerne les utilisateurs finaux de services de communications interpersonnelles mobiles basés sur la numérotation à partir d’un autre État membre en itinérance en Espagne.</w:t>
      </w:r>
    </w:p>
    <w:p w14:paraId="4365FB14" w14:textId="0220707D" w:rsidR="00470472" w:rsidRDefault="00EC41B0" w:rsidP="00EC41B0">
      <w:pPr>
        <w:jc w:val="both"/>
        <w:rPr>
          <w:rFonts w:cstheme="minorHAnsi"/>
          <w:bCs/>
          <w:sz w:val="24"/>
          <w:szCs w:val="24"/>
        </w:rPr>
      </w:pPr>
      <w:r>
        <w:rPr>
          <w:sz w:val="24"/>
        </w:rPr>
        <w:t>Conformément à l’article 66, paragraphe 2, point c), de la loi 11/2022 du 28 juin, loi générale sur les télécommunications, fournit ces informations même à l’égard des utilisateurs finaux qui ont exercé leur droit en vertu de l’article susmentionné et, par conséquent, n’ont pas donné leur consentement au traitement de leurs données de localisation.</w:t>
      </w:r>
    </w:p>
    <w:p w14:paraId="5C2A1455" w14:textId="4989846D" w:rsidR="00F2452F" w:rsidRPr="00665FA8" w:rsidRDefault="00F2452F" w:rsidP="00EC41B0">
      <w:pPr>
        <w:jc w:val="both"/>
        <w:rPr>
          <w:rFonts w:cstheme="minorHAnsi"/>
          <w:bCs/>
          <w:sz w:val="24"/>
          <w:szCs w:val="24"/>
        </w:rPr>
      </w:pPr>
      <w:r>
        <w:rPr>
          <w:sz w:val="24"/>
        </w:rPr>
        <w:t xml:space="preserve">Ces informations sont fournies gratuitement à l’utilisateur final, au centre de réception des communications d’urgence du 112, au centre de réception et de distribution d’informations de localisation basées sur un appareil mobile et au fournisseur de </w:t>
      </w:r>
      <w:r>
        <w:rPr>
          <w:sz w:val="24"/>
        </w:rPr>
        <w:lastRenderedPageBreak/>
        <w:t>services d’itinérance en ce qui concerne les utilisateurs finaux de services de communications interpersonnelles mobiles fondés sur la numérotation à partir d’un autre État membre en itinérance Espagne.</w:t>
      </w:r>
    </w:p>
    <w:p w14:paraId="335EFF9D" w14:textId="4470D2DF" w:rsidR="00D26689" w:rsidRPr="00665FA8" w:rsidRDefault="002C4646" w:rsidP="00327211">
      <w:pPr>
        <w:jc w:val="both"/>
        <w:rPr>
          <w:rFonts w:cstheme="minorHAnsi"/>
          <w:bCs/>
          <w:sz w:val="24"/>
          <w:szCs w:val="24"/>
        </w:rPr>
      </w:pPr>
      <w:r>
        <w:rPr>
          <w:sz w:val="24"/>
        </w:rPr>
        <w:t>2.Les opérateurs visés à l’article 2, paragraphe 1, du présent décret royal, y compris en ce qui concerne les utilisateurs finaux de services de communications interpersonnelles mobiles basés sur la numérotation en provenance d’un autre État membre en itinérance en Espagne, doivent fournir des informations de localisation en réseau au centre de réception des communications d’urgence le plus approprié en fonction de l’origine de l’appel, y compris pour les appels effectués sans carte SIM ou sans que la carte SIM ne soit activée.</w:t>
      </w:r>
    </w:p>
    <w:p w14:paraId="7F87D888" w14:textId="34C3645D" w:rsidR="00327211" w:rsidRPr="00665FA8" w:rsidRDefault="00327211" w:rsidP="00327211">
      <w:pPr>
        <w:jc w:val="both"/>
        <w:rPr>
          <w:rFonts w:cstheme="minorHAnsi"/>
          <w:bCs/>
          <w:sz w:val="24"/>
          <w:szCs w:val="24"/>
        </w:rPr>
      </w:pPr>
      <w:r>
        <w:rPr>
          <w:sz w:val="24"/>
        </w:rPr>
        <w:t>Le secrétaire d’État aux télécommunications et à l’infrastructure numérique peut publier des instructions sur la forme et le contenu des informations de localisation basées sur le réseau.</w:t>
      </w:r>
    </w:p>
    <w:p w14:paraId="198ACBAD" w14:textId="51DA02D1" w:rsidR="00327211" w:rsidRPr="00665FA8" w:rsidRDefault="002C4646" w:rsidP="00327211">
      <w:pPr>
        <w:jc w:val="both"/>
        <w:rPr>
          <w:rFonts w:cstheme="minorHAnsi"/>
          <w:bCs/>
          <w:sz w:val="24"/>
          <w:szCs w:val="24"/>
        </w:rPr>
      </w:pPr>
      <w:r>
        <w:rPr>
          <w:sz w:val="24"/>
        </w:rPr>
        <w:t>3.En outre, si l’équipement terminal mobile est compatible et que les informations sont disponibles, les opérateurs visés à l’article 2, paragraphe 1, du présent décret royal, y compris en ce qui concerne les utilisateurs finaux de services de communications interpersonnelles mobiles basés sur la numérotation en provenance d’un autre État membre en itinérance en Espagne, acheminent les informations de localisation du dispositif mobile obtenues grâce à la fonctionnalité AML afin de fournir les informations les plus précises sur l’emplacement de l’utilisateur appelant.</w:t>
      </w:r>
    </w:p>
    <w:p w14:paraId="2EBF8491" w14:textId="2DFC9FD9" w:rsidR="00327211" w:rsidRPr="00665FA8" w:rsidRDefault="00327211" w:rsidP="00327211">
      <w:pPr>
        <w:jc w:val="both"/>
        <w:rPr>
          <w:rFonts w:cstheme="minorHAnsi"/>
          <w:bCs/>
          <w:sz w:val="24"/>
          <w:szCs w:val="24"/>
        </w:rPr>
      </w:pPr>
      <w:r>
        <w:rPr>
          <w:sz w:val="24"/>
        </w:rPr>
        <w:t>Le centre de réception et de diffusion des informations de localisation sur la base de l’appareil mobile est géré par le ministère de l’intérieur. Ce centre reçoit et distribue les informations de localisation au centre de réception des communications d’urgence du 112 le plus approprié, en fonction de l’emplacement géographique de l’appelant.</w:t>
      </w:r>
    </w:p>
    <w:p w14:paraId="044D7FD4" w14:textId="490091F1" w:rsidR="00327211" w:rsidRDefault="00327211" w:rsidP="00327211">
      <w:pPr>
        <w:jc w:val="both"/>
        <w:rPr>
          <w:rFonts w:cstheme="minorHAnsi"/>
          <w:bCs/>
          <w:sz w:val="24"/>
          <w:szCs w:val="24"/>
        </w:rPr>
      </w:pPr>
      <w:r>
        <w:rPr>
          <w:sz w:val="24"/>
        </w:rPr>
        <w:t>Le secrétaire d’État aux télécommunications et à l’infrastructure numérique peut publier des instructions sur la forme et le contenu des informations de localisation basées sur l’appareil mobile.</w:t>
      </w:r>
    </w:p>
    <w:p w14:paraId="18214334" w14:textId="0E6FDD13" w:rsidR="00693F87" w:rsidRDefault="00693F87" w:rsidP="00327211">
      <w:pPr>
        <w:jc w:val="both"/>
        <w:rPr>
          <w:sz w:val="24"/>
          <w:szCs w:val="24"/>
        </w:rPr>
      </w:pPr>
      <w:r>
        <w:rPr>
          <w:sz w:val="24"/>
        </w:rPr>
        <w:t>4.En ce qui concerne le traitement des données à caractère personnel provenant d’informations de localisation provenant de l’appareil mobile obtenues grâce à la fonctionnalité AML, les précautions supplémentaires suivantes sont prévues:</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lastRenderedPageBreak/>
        <w:t>Respecter le principe de limitation de la finalité, de sorte que les données de localisation soient utilisées exclusivement pour faciliter la localisation de l’appelant par rapport à l’appel d’urgence spécifique.</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Respecter le principe de minimisation des données à traiter, de sorte qu’aucune donnée supplémentaire ne soit collectée autre que celles strictement liées à la localisation de l’appelant de l’utilisateur final.</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Respecter l’obligation de confidentialité de la part des personnes qui accèdent aux données.</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Les informations de localisation sont supprimées dès que possible et, en tout état de cause, dans un délai d’un mois.</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Article 13.Transparence en ce qui concerne l’accès aux communications d’urgence par l’intermédiaire du numéro d’urgence unique européen 112 en itinérance internationale.</w:t>
      </w:r>
    </w:p>
    <w:p w14:paraId="35BCA3D0" w14:textId="42F2BB8D" w:rsidR="00B361D9" w:rsidRPr="00114542" w:rsidRDefault="00114542" w:rsidP="00114542">
      <w:pPr>
        <w:jc w:val="both"/>
        <w:rPr>
          <w:rFonts w:cstheme="minorHAnsi"/>
          <w:sz w:val="24"/>
          <w:szCs w:val="24"/>
        </w:rPr>
      </w:pPr>
      <w:r>
        <w:rPr>
          <w:sz w:val="24"/>
        </w:rPr>
        <w:t>1.Les opérateurs visés à l’article 2, paragraphe 1, du présent décret royal, en leur qualité de fournisseurs d’itinérance, veillent à ce que leurs utilisateurs finaux en itinérance soient correctement informés des moyens d’accès aux services d’urgence dans l’État membre visité.</w:t>
      </w:r>
    </w:p>
    <w:p w14:paraId="267EBC27" w14:textId="700D464C" w:rsidR="00B361D9" w:rsidRPr="00114542" w:rsidRDefault="00114542" w:rsidP="00114542">
      <w:pPr>
        <w:jc w:val="both"/>
        <w:rPr>
          <w:rFonts w:cstheme="minorHAnsi"/>
          <w:sz w:val="24"/>
          <w:szCs w:val="24"/>
        </w:rPr>
      </w:pPr>
      <w:r>
        <w:rPr>
          <w:sz w:val="24"/>
        </w:rPr>
        <w:t>2.Le fournisseur de services d’itinérance informe gratuitement l’utilisateur final en itinérance, au moyen d’un message automatisé, de la possibilité d’accéder gratuitement aux services d’urgence en appelant le numéro d’urgence unique européen 112. Ce message fournit également à l’utilisateur final itinérant un lien vers un site web spécifique, accessible aux personnes handicapées, avec des informations sur les autres moyens d’accès aux services d’urgence par le biais des communications d’urgence adoptées dans l’État membre visité, gratuitement. Les informations sont envoyées au dispositif mobile de l’utilisateur final itinérant au moyen d’un SMS ou, le cas échéant, par un moyen approprié adapté pour faciliter sa réception et sa compréhension facile chaque fois qu’un utilisateur final itinérant entre dans un autre État membre. Les informations seront fournies gratuitement.</w:t>
      </w:r>
    </w:p>
    <w:p w14:paraId="15D3B0E7" w14:textId="77777777" w:rsidR="0004166D" w:rsidRDefault="0004166D">
      <w:pPr>
        <w:rPr>
          <w:b/>
          <w:sz w:val="24"/>
        </w:rPr>
      </w:pPr>
      <w:r>
        <w:rPr>
          <w:b/>
          <w:sz w:val="24"/>
        </w:rPr>
        <w:br w:type="page"/>
      </w:r>
    </w:p>
    <w:p w14:paraId="348FAEA9" w14:textId="50BA4AC8" w:rsidR="00327211" w:rsidRPr="00665FA8" w:rsidRDefault="00810C8B" w:rsidP="00B3150A">
      <w:pPr>
        <w:jc w:val="center"/>
        <w:rPr>
          <w:rFonts w:cstheme="minorHAnsi"/>
          <w:b/>
          <w:bCs/>
          <w:sz w:val="24"/>
          <w:szCs w:val="24"/>
        </w:rPr>
      </w:pPr>
      <w:r>
        <w:rPr>
          <w:b/>
          <w:sz w:val="24"/>
        </w:rPr>
        <w:lastRenderedPageBreak/>
        <w:t>CHAPITRE IV</w:t>
      </w:r>
    </w:p>
    <w:p w14:paraId="4271AC67" w14:textId="3340E8D3" w:rsidR="00810C8B" w:rsidRPr="00665FA8" w:rsidRDefault="00810C8B" w:rsidP="00B3150A">
      <w:pPr>
        <w:jc w:val="center"/>
        <w:rPr>
          <w:rFonts w:cstheme="minorHAnsi"/>
          <w:b/>
          <w:bCs/>
          <w:sz w:val="24"/>
          <w:szCs w:val="24"/>
        </w:rPr>
      </w:pPr>
      <w:r>
        <w:rPr>
          <w:b/>
          <w:sz w:val="24"/>
        </w:rPr>
        <w:t>Accès au service d’intervention d’urgence 112 par les utilisateurs finaux handicapés.</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Article 14.Accès au service d’intervention d’urgence 112 par les utilisateurs finaux handicapés.</w:t>
      </w:r>
    </w:p>
    <w:p w14:paraId="0A547A1A" w14:textId="43457518" w:rsidR="00327211" w:rsidRPr="00665FA8" w:rsidRDefault="00EE306F" w:rsidP="00327211">
      <w:pPr>
        <w:jc w:val="both"/>
        <w:rPr>
          <w:rFonts w:cstheme="minorHAnsi"/>
          <w:bCs/>
          <w:sz w:val="24"/>
          <w:szCs w:val="24"/>
        </w:rPr>
      </w:pPr>
      <w:r>
        <w:rPr>
          <w:sz w:val="24"/>
        </w:rPr>
        <w:t>1.L’accès aux services d’intervention d’urgence 112 par les utilisateurs finaux handicapés doit être disponible et équivalent à celui dont bénéficient les autres utilisateurs finaux, conformément à l’article 74, paragraphe 3, de la loi 11/2022 du 28 juin relative aux télécommunications générales et à la directive 2019/882 du Parlement européen et du Conseil du 17 avril 2019 relative aux exigences en matière d’accessibilité applicables aux produits et services.</w:t>
      </w:r>
    </w:p>
    <w:p w14:paraId="65DCE00E" w14:textId="63B7AA44" w:rsidR="00327211" w:rsidRPr="00665FA8" w:rsidRDefault="00EE306F" w:rsidP="00FE7B47">
      <w:pPr>
        <w:jc w:val="both"/>
        <w:rPr>
          <w:rFonts w:cstheme="minorHAnsi"/>
          <w:bCs/>
          <w:sz w:val="24"/>
          <w:szCs w:val="24"/>
        </w:rPr>
      </w:pPr>
      <w:r>
        <w:rPr>
          <w:sz w:val="24"/>
        </w:rPr>
        <w:t>2.Les communications d’urgence au numéro d’urgence unique européen 112 reçoivent une réponse appropriée par les centres de réception des communications d’urgence en utilisant les mêmes moyens de communication que pour leur réception, à savoir en utilisant la voix et le texte synchronisés (en particulier du texte en temps réel) ou, si la vidéo est fournie, la voix synchronisée, le texte (en particulier le texte en temps réel) et la vidéo en tant que conversation complète.</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Article 15.Accès au service d’intervention d’urgence 112 par les utilisateurs finaux handicapés d’autres États membres.</w:t>
      </w:r>
    </w:p>
    <w:p w14:paraId="386F8FBD" w14:textId="7ECBC70D" w:rsidR="00D83518" w:rsidRPr="00665FA8" w:rsidRDefault="0065753F" w:rsidP="00327211">
      <w:pPr>
        <w:jc w:val="both"/>
        <w:rPr>
          <w:rFonts w:cstheme="minorHAnsi"/>
          <w:bCs/>
          <w:sz w:val="24"/>
          <w:szCs w:val="24"/>
        </w:rPr>
      </w:pPr>
      <w:r>
        <w:rPr>
          <w:sz w:val="24"/>
        </w:rPr>
        <w:t>Le chef du ministère de l’économie et de la transformation numérique adopte, par voie d’ordonnance, les mesures appropriées pour garantir que, lorsqu’ils se rendent en Espagne, les utilisateurs finaux handicapés d’un autre État membre puissent accéder aux services d’urgence dans les mêmes conditions que les autres utilisateurs finaux.</w:t>
      </w:r>
    </w:p>
    <w:p w14:paraId="6E42BFAF" w14:textId="77777777" w:rsidR="00665FA8" w:rsidRDefault="00665FA8" w:rsidP="00327211">
      <w:pPr>
        <w:jc w:val="both"/>
        <w:rPr>
          <w:rFonts w:cstheme="minorHAnsi"/>
          <w:b/>
          <w:bCs/>
          <w:sz w:val="24"/>
          <w:szCs w:val="24"/>
        </w:rPr>
      </w:pPr>
    </w:p>
    <w:p w14:paraId="71343C01" w14:textId="484ECA78" w:rsidR="00851702" w:rsidRDefault="00851702" w:rsidP="0004166D">
      <w:pPr>
        <w:keepNext/>
        <w:jc w:val="both"/>
        <w:rPr>
          <w:rFonts w:cstheme="minorHAnsi"/>
          <w:b/>
          <w:bCs/>
          <w:sz w:val="24"/>
          <w:szCs w:val="24"/>
        </w:rPr>
      </w:pPr>
      <w:r>
        <w:rPr>
          <w:b/>
          <w:sz w:val="24"/>
        </w:rPr>
        <w:lastRenderedPageBreak/>
        <w:t>Première disposition additionnelle. Communications d’urgence via d’autres numéros de téléphone.</w:t>
      </w:r>
    </w:p>
    <w:p w14:paraId="17D0E0BB" w14:textId="6A54DA74" w:rsidR="00A839C2" w:rsidRDefault="002F25B0" w:rsidP="008D7285">
      <w:pPr>
        <w:jc w:val="both"/>
        <w:rPr>
          <w:rFonts w:cstheme="minorHAnsi"/>
          <w:sz w:val="24"/>
          <w:szCs w:val="24"/>
        </w:rPr>
      </w:pPr>
      <w:r>
        <w:rPr>
          <w:sz w:val="24"/>
        </w:rPr>
        <w:t>1.Conformément aux dispositions de l’article 74, paragraphe 1, de la loi 11/2022 du 28 juin, loi générale sur les télécommunications, les utilisateurs finaux de services de communications interpersonnelles fondés sur la numérotation accessibles au public peuvent effectuer des communications d’urgence, en plus du numéro 112, par l’intermédiaire des numéros de téléphone suivants:</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062Garde civile.</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080Services d’incendie locaux.</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085Services provinciaux d’incendie.</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088Forces de police régionales.</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091Police nationale.</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092Police locale.</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1006Protection civile.</w:t>
      </w:r>
    </w:p>
    <w:p w14:paraId="6CA5B403" w14:textId="1E82A940" w:rsidR="009B4CA7" w:rsidRPr="00ED3F17" w:rsidRDefault="002F25B0" w:rsidP="00881147">
      <w:pPr>
        <w:jc w:val="both"/>
        <w:rPr>
          <w:rFonts w:cstheme="minorHAnsi"/>
          <w:sz w:val="24"/>
          <w:szCs w:val="24"/>
        </w:rPr>
      </w:pPr>
      <w:r>
        <w:rPr>
          <w:sz w:val="24"/>
        </w:rPr>
        <w:t>2.Le secrétaire d’État aux télécommunications et à l’infrastructure numérique peut, au moyen d’une résolution, identifier d’autres numéros de téléphone par lesquels des communications d’urgence peuvent être effectuées.</w:t>
      </w:r>
    </w:p>
    <w:p w14:paraId="33ACE95D" w14:textId="363E3413" w:rsidR="00DD401C" w:rsidRDefault="009B4CA7" w:rsidP="002F25B0">
      <w:pPr>
        <w:jc w:val="both"/>
        <w:rPr>
          <w:rFonts w:cstheme="minorHAnsi"/>
          <w:sz w:val="24"/>
          <w:szCs w:val="24"/>
        </w:rPr>
      </w:pPr>
      <w:r>
        <w:rPr>
          <w:sz w:val="24"/>
        </w:rPr>
        <w:t>3.Pour le traitement et la gestion appropriés des communications d’urgence adressées aux numéros de téléphone réglementés par la présente disposition, les pouvoirs suivants sont reconnus, aux fins exclusives des dispositions du présent décret royal, tels qu’énoncées dans les sections suivantes concernant les informations relatives au numéro d’abonné, à l’emplacement de l’appelant et à l’identification de la ligne d’origine.</w:t>
      </w:r>
    </w:p>
    <w:p w14:paraId="55AB48A8" w14:textId="6D3662EA" w:rsidR="004B43EE" w:rsidRPr="009B4CA7" w:rsidRDefault="00254ABF" w:rsidP="002F25B0">
      <w:pPr>
        <w:jc w:val="both"/>
        <w:rPr>
          <w:sz w:val="24"/>
          <w:szCs w:val="24"/>
        </w:rPr>
      </w:pPr>
      <w:r>
        <w:rPr>
          <w:sz w:val="24"/>
        </w:rPr>
        <w:t>4.Les autorités chargées de la gestion des communications d’urgence adressées aux numéros de téléphone réglementés par la présente disposition peuvent avoir accès, conformément aux dispositions de l’article 72, paragraphe 2, point c), de la Loi 11/2022, du 28 juin, Loi générale des télécommunications, aux informations sur les numéros d’abonnés pour l’exercice strict de leurs fonctions, dans les mêmes conditions que celles établies pour le service d’intervention d’urgence 112 à l’article 7 du présent décret royal.</w:t>
      </w:r>
    </w:p>
    <w:p w14:paraId="45FD934B" w14:textId="2043A11F" w:rsidR="004B43EE" w:rsidRDefault="0014170A" w:rsidP="004B43EE">
      <w:pPr>
        <w:jc w:val="both"/>
        <w:rPr>
          <w:rFonts w:cstheme="minorHAnsi"/>
          <w:bCs/>
          <w:sz w:val="24"/>
          <w:szCs w:val="24"/>
        </w:rPr>
      </w:pPr>
      <w:r>
        <w:t>5.</w:t>
      </w:r>
      <w:r>
        <w:rPr>
          <w:sz w:val="24"/>
        </w:rPr>
        <w:t xml:space="preserve">Les opérateurs visés à l’article 2, paragraphe 1, du présent décret royal fournissent immédiatement aux autorités responsables de la gestion des communications d’urgence </w:t>
      </w:r>
      <w:r>
        <w:rPr>
          <w:sz w:val="24"/>
        </w:rPr>
        <w:lastRenderedPageBreak/>
        <w:t>aux numéros de téléphone réglementés par la présente disposition des informations provenant du réseau concernant la localisation des appelants.</w:t>
      </w:r>
    </w:p>
    <w:p w14:paraId="12732828" w14:textId="5009A59B" w:rsidR="004B43EE" w:rsidRDefault="004B43EE" w:rsidP="004B43EE">
      <w:pPr>
        <w:jc w:val="both"/>
        <w:rPr>
          <w:rFonts w:cstheme="minorHAnsi"/>
          <w:bCs/>
          <w:sz w:val="24"/>
          <w:szCs w:val="24"/>
        </w:rPr>
      </w:pPr>
      <w:r>
        <w:rPr>
          <w:sz w:val="24"/>
        </w:rPr>
        <w:t>Conformément à l’article 66, paragraphe 2, point c), de la loi 11/2022 du 28 juin, loi générale sur les télécommunications, fournit ces informations même à l’égard des utilisateurs finaux qui ont exercé leur droit en vertu de l’article susmentionné et, par conséquent, n’ont pas donné leur consentement au traitement de leurs données de localisation.</w:t>
      </w:r>
    </w:p>
    <w:p w14:paraId="7C4E150B" w14:textId="11BA36FD" w:rsidR="00F5331B" w:rsidRDefault="0014170A" w:rsidP="00F5331B">
      <w:pPr>
        <w:jc w:val="both"/>
        <w:rPr>
          <w:rFonts w:cstheme="minorHAnsi"/>
          <w:bCs/>
          <w:sz w:val="24"/>
          <w:szCs w:val="24"/>
        </w:rPr>
      </w:pPr>
      <w:r>
        <w:rPr>
          <w:sz w:val="24"/>
        </w:rPr>
        <w:t>6.Les opérateurs visés à l’article 2, paragraphe 1, du présent décret royal fournissent aux autorités chargées de la gestion des communications d’urgence adressées aux numéros de téléphone réglementés par la présente disposition l’identification de la ligne d’origine à partir de laquelle les appels sont effectués, dans le cadre des possibilités techniques du réseau et conformément à la réglementation en matière de présentation et de limitation de la ligne d’appel établie dans les réglementations nationales et européennes. Les opérateurs fournissent l’identification en ligne de la ligne d’origine même si l’utilisateur final, conformément à l’article 65, paragraphe 1, point o), de la loi no 11/2022 du 28 juin, loi générale sur les télécommunications, a exercé son droit d’empêcher la présentation de son identification de ligne.</w:t>
      </w:r>
    </w:p>
    <w:p w14:paraId="0D51DF69" w14:textId="43BC92BE" w:rsidR="004544CB" w:rsidRPr="004544CB" w:rsidRDefault="0014170A" w:rsidP="004544CB">
      <w:pPr>
        <w:jc w:val="both"/>
        <w:rPr>
          <w:rFonts w:cstheme="minorHAnsi"/>
          <w:bCs/>
          <w:sz w:val="24"/>
          <w:szCs w:val="24"/>
        </w:rPr>
      </w:pPr>
      <w:r>
        <w:rPr>
          <w:sz w:val="24"/>
        </w:rPr>
        <w:t>7.L’accès aux numéros de téléphone couverts par la présente disposition est garanti à partir de réseaux de communications électroniques qui ne sont pas accessibles au public mais qui permettent des appels vers des réseaux publics, en particulier lorsque l’entreprise responsable d’un tel réseau ne fournit pas un accès alternatif et facile à un service d’intervention d’urgence.</w:t>
      </w:r>
    </w:p>
    <w:p w14:paraId="218D3340" w14:textId="6138FF74" w:rsidR="00ED3F17" w:rsidRDefault="004544CB" w:rsidP="004544CB">
      <w:pPr>
        <w:jc w:val="both"/>
        <w:rPr>
          <w:rFonts w:cstheme="minorHAnsi"/>
          <w:bCs/>
          <w:sz w:val="24"/>
          <w:szCs w:val="24"/>
        </w:rPr>
      </w:pPr>
      <w:r>
        <w:rPr>
          <w:sz w:val="24"/>
        </w:rPr>
        <w:t xml:space="preserve">Un arrêté du ministre de </w:t>
      </w:r>
      <w:proofErr w:type="gramStart"/>
      <w:r>
        <w:rPr>
          <w:sz w:val="24"/>
        </w:rPr>
        <w:t>l'économie</w:t>
      </w:r>
      <w:proofErr w:type="gramEnd"/>
      <w:r>
        <w:rPr>
          <w:sz w:val="24"/>
        </w:rPr>
        <w:t xml:space="preserve"> et de la transformation numérique précise les conditions d’accès aux numéros de téléphone de la présente disposition à partir de ces réseaux.</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Deuxième disposition additionnelle. Services de communications interpersonnelles fondés sur la numérotation et adaptés aux communications d’urgence.</w:t>
      </w:r>
    </w:p>
    <w:p w14:paraId="0A68585B" w14:textId="56D2BA86" w:rsidR="00AE2097" w:rsidRDefault="00AE2097" w:rsidP="00AE2097">
      <w:pPr>
        <w:jc w:val="both"/>
        <w:rPr>
          <w:rFonts w:cstheme="minorHAnsi"/>
          <w:bCs/>
          <w:sz w:val="24"/>
          <w:szCs w:val="24"/>
        </w:rPr>
      </w:pPr>
      <w:r>
        <w:rPr>
          <w:sz w:val="24"/>
        </w:rPr>
        <w:t xml:space="preserve">Le chef du ministère de l’économie et de la transformation numérique, par voie d’ordonnance, à la suite d’une audition publique et d’un rapport de la Commission </w:t>
      </w:r>
      <w:r>
        <w:rPr>
          <w:sz w:val="24"/>
        </w:rPr>
        <w:lastRenderedPageBreak/>
        <w:t>nationale des marchés et de la concurrence, peut décider quels services de communications interpersonnelles fondés sur la numérotation qui s’ajoutent aux communications vocales visées à l’article 2 du présent décret royal, tels que les SMS, les messages, les vidéos, les services de texte en temps réel, le total des services de conversation ou les services de conversion, devraient être inclus dans les communications d’urgence, compte tenu de l’état de la technique et de l’état du marché des communications électroniques en Espagne, des caractéristiques techniques des principaux réseaux et services mis en œuvre et fournis dans notre pays et des capacités et équipements techniques des centres de réception d’urgence du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Troisième disposition additionnelle. Introduction sur le marché espagnol des appareils mobiles qui rendent la fonctionnalité avancée d’informations de localisation mobile AML efficace.</w:t>
      </w:r>
    </w:p>
    <w:p w14:paraId="6D4A7C52" w14:textId="4A91E8ED" w:rsidR="00B72801" w:rsidRDefault="00B72801" w:rsidP="00B72801">
      <w:pPr>
        <w:jc w:val="both"/>
        <w:rPr>
          <w:rFonts w:cstheme="minorHAnsi"/>
          <w:bCs/>
          <w:sz w:val="24"/>
          <w:szCs w:val="24"/>
        </w:rPr>
      </w:pPr>
      <w:r>
        <w:rPr>
          <w:sz w:val="24"/>
        </w:rPr>
        <w:t>Après un délai de trois mois à compter de l’entrée en vigueur du présent décret royal, les appareils mobiles portables avec des fonctionnalités similaires à celles d’un ordinateur en termes de capacité à traiter et stocker des données qui ne permettent pas la fonctionnalité avancée d’informations de localisation mobile AML à partir de l’appareil lui-même réglementé dans le présent décret royal ne peuvent pas être introduits sur le marché espagnol.</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Disposition abrogatoire unique. Abrogation des règlements.</w:t>
      </w:r>
    </w:p>
    <w:p w14:paraId="5C63BA96" w14:textId="77777777" w:rsidR="00A2457F" w:rsidRDefault="0099639A" w:rsidP="001924E4">
      <w:pPr>
        <w:jc w:val="both"/>
        <w:rPr>
          <w:rFonts w:cstheme="minorHAnsi"/>
          <w:bCs/>
          <w:sz w:val="24"/>
          <w:szCs w:val="24"/>
        </w:rPr>
      </w:pPr>
      <w:r>
        <w:rPr>
          <w:sz w:val="24"/>
        </w:rPr>
        <w:t>Les dispositions suivantes sont abrogées:</w:t>
      </w:r>
    </w:p>
    <w:p w14:paraId="05D92213" w14:textId="6C51D996" w:rsidR="001924E4" w:rsidRDefault="00A2457F" w:rsidP="00A2457F">
      <w:pPr>
        <w:pStyle w:val="ListParagraph"/>
        <w:numPr>
          <w:ilvl w:val="0"/>
          <w:numId w:val="25"/>
        </w:numPr>
        <w:jc w:val="both"/>
        <w:rPr>
          <w:rFonts w:cstheme="minorHAnsi"/>
          <w:sz w:val="24"/>
          <w:szCs w:val="24"/>
        </w:rPr>
      </w:pPr>
      <w:r>
        <w:rPr>
          <w:sz w:val="24"/>
        </w:rPr>
        <w:t>Décret royal 903/1997 du 16 juin, qui réglemente l’accès, par l’intermédiaire des réseaux de télécommunications, au service de réponse aux appels d’urgence par le numéro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L’arrêté du 14 octobre 1999 relatif aux conditions de fourniture d’informations pertinentes pour le service d’appel d’urgence par l’intermédiaire du numéro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 xml:space="preserve">Ordonnance ITC/750/2010 du 17 mars, qui fixe les conditions de mise à disposition des données de localisation de l’utilisateur appelant du service de </w:t>
      </w:r>
      <w:r>
        <w:rPr>
          <w:sz w:val="24"/>
        </w:rPr>
        <w:lastRenderedPageBreak/>
        <w:t>téléphonie mobile aux services de réponse aux appels d’urgence fournis par les numéros 062 et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Toute autre disposition de rang égal ou inférieur qui s’oppose aux dispositions du présent décret royal est également abrogée.</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Première disposition finale. Attribution de compétence.</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Le présent décret royal est émis conformément aux dispositions de l’article 149, paragraphe 1, points 21 et 29, de la Constitution espagnole, qui confère respectivement à l’État des compétences exclusives en matière de télécommunications et de sécurité publique.</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Deuxième disposition finale. Pouvoirs d’exécution réglementaire.</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Le chef du ministère de l’économie et de la transformation numérique, ainsi que le chef du ministère de l’intérieur, dans le cadre de leurs compétences, sont habilités à émettre les dispositions nécessaires au respect des dispositions du présent décret royal.</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Troisième disposition finale. Entrée en vigueur</w:t>
      </w:r>
    </w:p>
    <w:p w14:paraId="543338E4" w14:textId="297ADC2C" w:rsidR="00327211" w:rsidRPr="00665FA8" w:rsidRDefault="00327211" w:rsidP="00327211">
      <w:pPr>
        <w:jc w:val="both"/>
        <w:rPr>
          <w:rFonts w:cstheme="minorHAnsi"/>
          <w:bCs/>
          <w:sz w:val="24"/>
          <w:szCs w:val="24"/>
        </w:rPr>
      </w:pPr>
      <w:r>
        <w:rPr>
          <w:sz w:val="24"/>
        </w:rPr>
        <w:t>Le présent décret royal entrera en vigueur le lendemain de sa publication au Journal officiel de l’État espagnol.</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04166D"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558198"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MINISTÈRE DES AFFAIRES ÉCONOMIQUES ET DE LA TRANSFORMATION NUMÉRIQUE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SECRÉTARIAT D’ÉTAT AUX TÉLÉCOMMUNICATIONS ET AUX INFRASTRUCTURES NUMÉRIQUES</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DIRECTION GÉNÉRALE DES SERVICES DE TÉLÉCOMMUNICATIONS ET DE COMMUNICATIONS AUDIOVISUELLES</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4166D"/>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6248</Words>
  <Characters>35619</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2022-07-28T21:04:00Z</dcterms:modified>
</cp:coreProperties>
</file>