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Heading2"/>
        <w:numPr>
          <w:ilvl w:val="0"/>
          <w:numId w:val="0"/>
        </w:numPr>
      </w:pPr>
      <w:r>
        <w:t>Projekt ustawy o beztytoniowych produktach zawierających nikotynę</w:t>
      </w:r>
    </w:p>
    <w:p w14:paraId="4E8B58B9" w14:textId="0BE63907" w:rsidR="00F52C9A" w:rsidRDefault="00F52C9A" w:rsidP="00F52C9A">
      <w:pPr>
        <w:pStyle w:val="BodyText"/>
      </w:pPr>
      <w:r>
        <w:t>Niniejszym ustanawia się co następuje.</w:t>
      </w:r>
    </w:p>
    <w:p w14:paraId="1A267191" w14:textId="11961CD8" w:rsidR="00F52C9A" w:rsidRDefault="00F52C9A" w:rsidP="00F52C9A">
      <w:pPr>
        <w:pStyle w:val="Rubrik4utannumrering"/>
      </w:pPr>
      <w:r>
        <w:t>Cel i treść ustawy</w:t>
      </w:r>
    </w:p>
    <w:p w14:paraId="73997BF2" w14:textId="19D90BF1" w:rsidR="00F52C9A" w:rsidRDefault="00F52C9A" w:rsidP="00802553">
      <w:pPr>
        <w:pStyle w:val="BodyText"/>
      </w:pPr>
      <w:r>
        <w:rPr>
          <w:b/>
        </w:rPr>
        <w:t>Artykuł 1</w:t>
      </w:r>
      <w:r w:rsidR="00F60971">
        <w:t>    </w:t>
      </w:r>
      <w:r>
        <w:t>Niniejsza ustawa ma na celu ograniczenie zagrożeń dla zdrowia i uciążliwości związanych ze stosowaniem beztytoniowych produktów zawierających nikotynę.</w:t>
      </w:r>
    </w:p>
    <w:p w14:paraId="5D96850B" w14:textId="77777777" w:rsidR="00672C9F" w:rsidRPr="00672C9F" w:rsidRDefault="00672C9F" w:rsidP="00672C9F">
      <w:pPr>
        <w:pStyle w:val="BodyTextIndent"/>
      </w:pPr>
    </w:p>
    <w:p w14:paraId="22FD2F44" w14:textId="49E0F879" w:rsidR="00672C9F" w:rsidRPr="00672C9F" w:rsidRDefault="00672C9F" w:rsidP="00672C9F">
      <w:pPr>
        <w:pStyle w:val="BodyText"/>
      </w:pPr>
      <w:r>
        <w:rPr>
          <w:b/>
        </w:rPr>
        <w:t>Artykuł 2</w:t>
      </w:r>
      <w:r w:rsidR="00F60971">
        <w:t>    </w:t>
      </w:r>
      <w:r>
        <w:t>Niniejsza ustawa zawiera przepisy dotyczące zgłaszania produktów, wymagań dotyczących produktów, sprzedaży i marketingu beztytoniowych produktów zawierających nikotynę.</w:t>
      </w:r>
    </w:p>
    <w:p w14:paraId="20E1744E" w14:textId="3A27EB80" w:rsidR="00F52C9A" w:rsidRDefault="00F52C9A" w:rsidP="00F52C9A">
      <w:pPr>
        <w:pStyle w:val="Rubrik4utannumrering"/>
      </w:pPr>
      <w:r>
        <w:t>Definicje stosowane w niniejszej ustawie</w:t>
      </w:r>
    </w:p>
    <w:p w14:paraId="68088BAC" w14:textId="66C8B41D" w:rsidR="00F52C9A" w:rsidRDefault="00296214" w:rsidP="00640C08">
      <w:pPr>
        <w:pStyle w:val="BodyText"/>
      </w:pPr>
      <w:r>
        <w:rPr>
          <w:b/>
        </w:rPr>
        <w:t>Artykuł 3</w:t>
      </w:r>
      <w:r w:rsidR="00F60971">
        <w:t>    </w:t>
      </w:r>
      <w:r>
        <w:t>Do celów niniejszej ustawy stosuje się następujące definicje:</w:t>
      </w:r>
    </w:p>
    <w:p w14:paraId="48B42CBF" w14:textId="0D461B0C" w:rsidR="00672C9F" w:rsidRDefault="00672C9F" w:rsidP="00672C9F">
      <w:pPr>
        <w:pStyle w:val="BodyTextIndent"/>
      </w:pPr>
      <w:r>
        <w:t>1. </w:t>
      </w:r>
      <w:r>
        <w:rPr>
          <w:i/>
        </w:rPr>
        <w:t>beztytoniowy produkt zawierający nikotynę</w:t>
      </w:r>
      <w:r>
        <w:t>: produkt bez tytoniu zawierający nikotynę, przeznaczony do spożycia przez ludzi;</w:t>
      </w:r>
    </w:p>
    <w:p w14:paraId="6855C167" w14:textId="01FA4DF3" w:rsidR="00672C9F" w:rsidRDefault="00672C9F" w:rsidP="00672C9F">
      <w:pPr>
        <w:pStyle w:val="BodyTextIndent"/>
      </w:pPr>
      <w:r>
        <w:t>2. </w:t>
      </w:r>
      <w:r>
        <w:rPr>
          <w:i/>
        </w:rPr>
        <w:t>sprzedaż detaliczna</w:t>
      </w:r>
      <w:r>
        <w:t>: sprzedaż konsumentom;</w:t>
      </w:r>
    </w:p>
    <w:p w14:paraId="57F84C2A" w14:textId="315CEA76" w:rsidR="00672C9F" w:rsidRDefault="00672C9F" w:rsidP="00672C9F">
      <w:pPr>
        <w:pStyle w:val="BodyTextIndent"/>
      </w:pPr>
      <w:r>
        <w:t>3. </w:t>
      </w:r>
      <w:r>
        <w:rPr>
          <w:i/>
        </w:rPr>
        <w:t>punkt sprzedaży</w:t>
      </w:r>
      <w:r>
        <w:t>: fizyczny punkt sprzedaży lub strona internetowa poświęcona sprzedaży detalicznej;</w:t>
      </w:r>
    </w:p>
    <w:p w14:paraId="5727FDD7" w14:textId="7C03B83C" w:rsidR="00672C9F" w:rsidRDefault="00672C9F" w:rsidP="00672C9F">
      <w:pPr>
        <w:pStyle w:val="BodyTextIndent"/>
      </w:pPr>
      <w:r>
        <w:t>4. </w:t>
      </w:r>
      <w:r>
        <w:rPr>
          <w:i/>
        </w:rPr>
        <w:t>fizyczny punkt sprzedaży</w:t>
      </w:r>
      <w:r>
        <w:t xml:space="preserve">: </w:t>
      </w:r>
      <w:bookmarkStart w:id="0" w:name="_Hlk86848708"/>
      <w:r>
        <w:t>specjalnie wyznaczony lokal lub inne wydzielone miejsce dla handlu detalicznego</w:t>
      </w:r>
      <w:bookmarkEnd w:id="0"/>
      <w:r>
        <w:t>.</w:t>
      </w:r>
    </w:p>
    <w:p w14:paraId="288250F0" w14:textId="0F8AB1E6" w:rsidR="00F52C9A" w:rsidRDefault="00D74CD4" w:rsidP="00F52C9A">
      <w:pPr>
        <w:pStyle w:val="Rubrik4utannumrering"/>
      </w:pPr>
      <w:r>
        <w:t>Związek z innymi przepisami</w:t>
      </w:r>
    </w:p>
    <w:p w14:paraId="1754498F" w14:textId="1D1514D8" w:rsidR="00D74CD4" w:rsidRDefault="00296214" w:rsidP="00D74CD4">
      <w:pPr>
        <w:pStyle w:val="BodyText"/>
      </w:pPr>
      <w:r>
        <w:rPr>
          <w:b/>
        </w:rPr>
        <w:t>Artykuł 4</w:t>
      </w:r>
      <w:r w:rsidR="00F60971">
        <w:t>    </w:t>
      </w:r>
      <w:r>
        <w:t>Niniejsza ustawa nie ma zastosowania do:</w:t>
      </w:r>
    </w:p>
    <w:p w14:paraId="43B33325" w14:textId="0F171357" w:rsidR="00D74CD4" w:rsidRDefault="00D74CD4" w:rsidP="00D74CD4">
      <w:pPr>
        <w:pStyle w:val="BodyTextIndent"/>
      </w:pPr>
      <w:r>
        <w:t>1. produktów objętych ustawą (2018:2088) o tytoniu i produktach podobnych;</w:t>
      </w:r>
    </w:p>
    <w:p w14:paraId="37602ED8" w14:textId="585530A8" w:rsidR="00F52C9A" w:rsidRDefault="00D74CD4" w:rsidP="00D74CD4">
      <w:pPr>
        <w:pStyle w:val="BodyTextIndent"/>
      </w:pPr>
      <w:r>
        <w:t>2. produktów zakwalifikowanych jako środki odurzające zgodnie z ustawą o karaniu za środki odurzające (1968:64) lub jako produkty szkodliwe dla zdrowia zgodnie z ustawą (1999:42) o zakazie stosowania niektórych produktów szkodliwych dla zdrowia;</w:t>
      </w:r>
    </w:p>
    <w:p w14:paraId="170ADD29" w14:textId="5B8A590A" w:rsidR="00D74CD4" w:rsidRDefault="00D74CD4" w:rsidP="0013787B">
      <w:pPr>
        <w:pStyle w:val="BodyTextIndent"/>
      </w:pPr>
      <w:r>
        <w:t>3. produktów leczniczych lub produktów medycznych objętych ustawą o lekach (2015:315) lub ustawą (2021:600) z przepisami uzupełniającymi do rozporządzenia UE w sprawie produktów medycznych.</w:t>
      </w:r>
    </w:p>
    <w:p w14:paraId="3EC2A461" w14:textId="77DBFFE7" w:rsidR="00D74CD4" w:rsidRDefault="008B2C39" w:rsidP="00A55E8F">
      <w:pPr>
        <w:pStyle w:val="Rubrik4utannumrering"/>
      </w:pPr>
      <w:r>
        <w:t>Powiadomienie o produkcie</w:t>
      </w:r>
    </w:p>
    <w:p w14:paraId="489F76A4" w14:textId="517BEFAB" w:rsidR="008B2C39" w:rsidRDefault="00265BAC" w:rsidP="008B2C39">
      <w:pPr>
        <w:pStyle w:val="BodyText"/>
      </w:pPr>
      <w:r>
        <w:rPr>
          <w:b/>
        </w:rPr>
        <w:t>Artykuł 5</w:t>
      </w:r>
      <w:r w:rsidR="00F60971">
        <w:t>    </w:t>
      </w:r>
      <w:r>
        <w:t>Producenci i importerzy powiadamiają szwedzki Urząd ds. Zdrowia Publicznego o wszystkich beztytoniowych produktach zawierających nikotynę, które zamierzają udostępnić konsumentom na rynku. W przypadku każdej istotnej modyfikacji produktu należy złożyć nowe powiadomienie. Powiadomienie należy złożyć nie później niż sześć miesięcy przed planowanym udostępnieniem produktu konsumentom na rynku. Należy również powiadomić o wycofaniu produktu z rynku przez producenta lub importera.</w:t>
      </w:r>
    </w:p>
    <w:p w14:paraId="17C1ADFB" w14:textId="025D607E" w:rsidR="008B2C39" w:rsidRDefault="008B2C39" w:rsidP="008B2C39">
      <w:pPr>
        <w:pStyle w:val="BodyTextIndent"/>
      </w:pPr>
      <w:r>
        <w:lastRenderedPageBreak/>
        <w:t>Beztytoniowe produkty zawierające nikotynę nie mogą być udostępniane konsumentom na rynku, jeżeli nie dokonano takiego powiadomienia. To samo ma zastosowanie, jeżeli powiadomienie nie jest zgodne z przepisami dotyczącymi powiadamiania o produkcie wydanymi zgodnie z art. 48 ust. 1.</w:t>
      </w:r>
    </w:p>
    <w:p w14:paraId="4D4C739E" w14:textId="7EE134A9" w:rsidR="008B2C39" w:rsidRDefault="008B2C39" w:rsidP="008B2C39">
      <w:pPr>
        <w:pStyle w:val="Rubrik4utannumrering"/>
      </w:pPr>
      <w:r>
        <w:t>Wymagania dotyczące produktu</w:t>
      </w:r>
    </w:p>
    <w:p w14:paraId="61EC04AF" w14:textId="32FE5378" w:rsidR="009B03EE" w:rsidRDefault="00265BAC" w:rsidP="00265BAC">
      <w:pPr>
        <w:pStyle w:val="BodyTextIndent"/>
        <w:ind w:firstLine="0"/>
      </w:pPr>
      <w:r>
        <w:rPr>
          <w:b/>
        </w:rPr>
        <w:t>Artykuł 6</w:t>
      </w:r>
      <w:r w:rsidR="00F60971">
        <w:t>    </w:t>
      </w:r>
      <w:r>
        <w:t>Producenci i importerzy beztytoniowych produktów zawierających nikotynę są odpowiedzialni za zapewnienie, że produkty te spełniają wymagania określone w przepisach dotyczących zawartości i wyglądu, wydane zgodnie z art. 48 ust. 2.</w:t>
      </w:r>
    </w:p>
    <w:p w14:paraId="01EAFA54" w14:textId="1D1AE5C8" w:rsidR="008B2C39" w:rsidRDefault="005303BB" w:rsidP="005303BB">
      <w:pPr>
        <w:pStyle w:val="BodyTextIndent"/>
      </w:pPr>
      <w:r>
        <w:t>Niezgodne z przepisami beztytoniowe produkty zawierające nikotynę nie mogą być udostępniane konsumentom na rynku.</w:t>
      </w:r>
    </w:p>
    <w:p w14:paraId="579B7AA4" w14:textId="390D267F" w:rsidR="00524416" w:rsidRPr="00524416" w:rsidRDefault="00AF341C" w:rsidP="00524416">
      <w:pPr>
        <w:pStyle w:val="Rubrik4utannumrering"/>
      </w:pPr>
      <w:r>
        <w:t>Oznakowanie</w:t>
      </w:r>
    </w:p>
    <w:p w14:paraId="5E57AD35" w14:textId="6ECDBAD6" w:rsidR="00AF341C" w:rsidRDefault="00265BAC" w:rsidP="00AF341C">
      <w:pPr>
        <w:pStyle w:val="BodyText"/>
      </w:pPr>
      <w:r>
        <w:rPr>
          <w:b/>
        </w:rPr>
        <w:t>Artykuł 7</w:t>
      </w:r>
      <w:bookmarkStart w:id="1" w:name="_Hlk99640972"/>
      <w:r w:rsidR="00F60971">
        <w:t>    </w:t>
      </w:r>
      <w:bookmarkEnd w:id="1"/>
      <w:r>
        <w:t xml:space="preserve">Na opakowaniach beztytoniowych produktów zawierających nikotynę musi znajdować się </w:t>
      </w:r>
      <w:bookmarkStart w:id="2" w:name="_Hlk90269558"/>
      <w:r>
        <w:t>deklaracja zawartości i tekst wskazujący na szkodliwe działanie nikotyny (ostrzeżenie zdrowotne)</w:t>
      </w:r>
      <w:bookmarkEnd w:id="2"/>
      <w:r>
        <w:t>.</w:t>
      </w:r>
    </w:p>
    <w:p w14:paraId="6D15A76D" w14:textId="77777777" w:rsidR="00AF341C" w:rsidRDefault="00AF341C" w:rsidP="00AF341C">
      <w:pPr>
        <w:pStyle w:val="BodyTextIndent"/>
      </w:pPr>
      <w:r>
        <w:t>Producenci i importerzy beztytoniowych wyrobów zawierających nikotynę są odpowiedzialni za zapewnienie zgodności opakowania z ustępem pierwszym.</w:t>
      </w:r>
    </w:p>
    <w:p w14:paraId="1F8F92D6" w14:textId="7137651C" w:rsidR="00AF341C" w:rsidRDefault="00AF341C" w:rsidP="00AF341C">
      <w:pPr>
        <w:pStyle w:val="BodyTextIndent"/>
      </w:pPr>
      <w:bookmarkStart w:id="3" w:name="_Hlk90628633"/>
      <w:r>
        <w:t xml:space="preserve">W przypadku, gdy opakowanie jest niezgodne z przepisami, produkt może nie zostać udostępniony konsumentom na rynku. </w:t>
      </w:r>
      <w:bookmarkEnd w:id="3"/>
      <w:r>
        <w:t>To samo ma zastosowanie, jeżeli powiadomienie nie jest zgodne z przepisami dotyczącymi powiadamiania o produkcie wydanymi zgodnie z art. 48 ust. 3 i 4.</w:t>
      </w:r>
    </w:p>
    <w:p w14:paraId="4BD2E147" w14:textId="4BE0AA0A" w:rsidR="00AF341C" w:rsidRDefault="00AF341C" w:rsidP="007D3399">
      <w:pPr>
        <w:pStyle w:val="BodyText"/>
      </w:pPr>
    </w:p>
    <w:p w14:paraId="732A21FC" w14:textId="08090DBB" w:rsidR="00AF341C" w:rsidRDefault="00265BAC" w:rsidP="00AF341C">
      <w:pPr>
        <w:pStyle w:val="BodyText"/>
      </w:pPr>
      <w:r>
        <w:rPr>
          <w:b/>
        </w:rPr>
        <w:t>Artykuł 8</w:t>
      </w:r>
      <w:r w:rsidR="00F60971">
        <w:t>    </w:t>
      </w:r>
      <w:r>
        <w:t>Oznakowanie na beztytoniowych produktach zawierających nikotynę lub na opakowaniu takich produktów nie może:</w:t>
      </w:r>
    </w:p>
    <w:p w14:paraId="392411C9" w14:textId="77777777" w:rsidR="00AF341C" w:rsidRDefault="00AF341C" w:rsidP="00AF341C">
      <w:pPr>
        <w:pStyle w:val="BodyTextIndent"/>
      </w:pPr>
      <w:r>
        <w:t>1. sugerować, że dany beztytoniowy produkt zawierający nikotynę jest mniej szkodliwy niż inne takie produkty; lub</w:t>
      </w:r>
    </w:p>
    <w:p w14:paraId="73604BB7" w14:textId="3FF410D8" w:rsidR="00AF341C" w:rsidRDefault="00AF341C" w:rsidP="00AF341C">
      <w:pPr>
        <w:pStyle w:val="BodyTextIndent"/>
      </w:pPr>
      <w:r>
        <w:t>2. przypominać środek spożywczy lub produkt kosmetyczny.</w:t>
      </w:r>
    </w:p>
    <w:p w14:paraId="66C03F45" w14:textId="0CBA1A38" w:rsidR="00524416" w:rsidRPr="00524416" w:rsidRDefault="00817680" w:rsidP="00524416">
      <w:pPr>
        <w:pStyle w:val="Rubrik4utannumrering"/>
      </w:pPr>
      <w:r>
        <w:t>Wprowadzanie do obrotu</w:t>
      </w:r>
    </w:p>
    <w:p w14:paraId="54B6FAF8" w14:textId="3448C0DF" w:rsidR="003A42B6" w:rsidRDefault="00265BAC" w:rsidP="00817680">
      <w:pPr>
        <w:pStyle w:val="BodyText"/>
      </w:pPr>
      <w:r>
        <w:rPr>
          <w:b/>
        </w:rPr>
        <w:t>Artykuł 9</w:t>
      </w:r>
      <w:r w:rsidR="00F60971">
        <w:t>    </w:t>
      </w:r>
      <w:r>
        <w:t xml:space="preserve">Przy wprowadzaniu do obrotu wśród konsumentów beztytoniowych produktów zawierających nikotynę należy zachować szczególny umiar. Reklama lub inne środki marketingowe nie mogą być natarczywe, wymagające lub zachęcające do używania beztytoniowych produktów zawierających nikotynę. </w:t>
      </w:r>
      <w:bookmarkStart w:id="4" w:name="_Hlk90283579"/>
    </w:p>
    <w:p w14:paraId="5AF56677" w14:textId="72E1F6FE" w:rsidR="00817680" w:rsidRDefault="00AC7074" w:rsidP="003A42B6">
      <w:pPr>
        <w:pStyle w:val="BodyTextIndent"/>
      </w:pPr>
      <w:bookmarkStart w:id="5" w:name="_Hlk90420770"/>
      <w:r>
        <w:t>Odniesienie do smaku produktu może mieć miejsce tylko wtedy, gdy jest to uzasadnione potrzebą uzyskania informacji o produkcie przez konsumenta.</w:t>
      </w:r>
      <w:bookmarkEnd w:id="4"/>
    </w:p>
    <w:bookmarkEnd w:id="5"/>
    <w:p w14:paraId="4CD1293E" w14:textId="5DA44FF5" w:rsidR="00817680" w:rsidRDefault="00817680" w:rsidP="00817680">
      <w:pPr>
        <w:pStyle w:val="BodyTextIndent"/>
      </w:pPr>
      <w:r>
        <w:t>Marketing nie może być specjalnie skierowany do dzieci lub młodzieży poniżej 25 roku życia ani ich przedstawiać.</w:t>
      </w:r>
    </w:p>
    <w:p w14:paraId="3D58B056" w14:textId="6ECCF4A5" w:rsidR="00817680" w:rsidRDefault="00817680" w:rsidP="00817680">
      <w:pPr>
        <w:pStyle w:val="BodyText"/>
      </w:pPr>
    </w:p>
    <w:p w14:paraId="20B1D686" w14:textId="591E9175" w:rsidR="00817680" w:rsidRDefault="00817680" w:rsidP="00817680">
      <w:pPr>
        <w:pStyle w:val="BodyText"/>
      </w:pPr>
      <w:r>
        <w:rPr>
          <w:b/>
        </w:rPr>
        <w:t>Artykuł 10</w:t>
      </w:r>
      <w:bookmarkStart w:id="6" w:name="_Hlk90629596"/>
      <w:r w:rsidR="00F60971">
        <w:t>    </w:t>
      </w:r>
      <w:r>
        <w:t>Ostrzeżenie zdrowotne musi być wyraźnie widoczne przy sprzedaży konsumentom beztytoniowych produktów zawierających nikotynę poprzez komercyjne reklamy w:</w:t>
      </w:r>
    </w:p>
    <w:bookmarkEnd w:id="6"/>
    <w:p w14:paraId="744D2AB8" w14:textId="1B6EF48B" w:rsidR="00817680" w:rsidRDefault="00817680" w:rsidP="00817680">
      <w:pPr>
        <w:pStyle w:val="BodyTextIndent"/>
      </w:pPr>
      <w:r>
        <w:lastRenderedPageBreak/>
        <w:t>1. czasopismach lub innych porównywalnych publikacjach, do których stosuje się przepisy o wolności prasy;</w:t>
      </w:r>
    </w:p>
    <w:p w14:paraId="32B4404E" w14:textId="1CDA72ED" w:rsidR="00817680" w:rsidRDefault="00817680" w:rsidP="00817680">
      <w:pPr>
        <w:pStyle w:val="BodyTextIndent"/>
      </w:pPr>
      <w:r>
        <w:t>2. innych materiałach drukowanych, do których stosuje się przepisy o wolności prasy; lub</w:t>
      </w:r>
    </w:p>
    <w:p w14:paraId="27D4619A" w14:textId="4D981F85" w:rsidR="00FC7688" w:rsidRDefault="00817680" w:rsidP="00817680">
      <w:pPr>
        <w:pStyle w:val="BodyTextIndent"/>
      </w:pPr>
      <w:r>
        <w:t>3. usługach społeczeństwa informacyjnego.</w:t>
      </w:r>
    </w:p>
    <w:p w14:paraId="3460E228" w14:textId="080DC79B" w:rsidR="00817680" w:rsidRDefault="00817680" w:rsidP="00817680">
      <w:pPr>
        <w:pStyle w:val="BodyTextIndent"/>
      </w:pPr>
      <w:r>
        <w:t>Jeżeli istnieje kilka ostrzeżeń zdrowotnych, należy wyeksponować co najmniej jedno z nich. W przypadku powtarzających się reklam należy stosować różne ostrzeżenia zdrowotne zamiennie i, w miarę możliwości, w tym samym zakresie.</w:t>
      </w:r>
    </w:p>
    <w:p w14:paraId="5A2849D8" w14:textId="493D4F12" w:rsidR="00817680" w:rsidRDefault="00817680" w:rsidP="00817680">
      <w:pPr>
        <w:pStyle w:val="BodyTextIndent"/>
      </w:pPr>
      <w:r>
        <w:t>Ustęp pierwszy pkt 2 nie ma zastosowania do wprowadzania do obrotu w fizycznych punktach sprzedaży.</w:t>
      </w:r>
    </w:p>
    <w:p w14:paraId="086C9880" w14:textId="77777777" w:rsidR="00296214" w:rsidRDefault="00296214" w:rsidP="00817680">
      <w:pPr>
        <w:pStyle w:val="BodyTextIndent"/>
      </w:pPr>
    </w:p>
    <w:p w14:paraId="590A0773" w14:textId="3112B0C3" w:rsidR="00296214" w:rsidRDefault="00296214" w:rsidP="00296214">
      <w:pPr>
        <w:pStyle w:val="BodyText"/>
      </w:pPr>
      <w:r>
        <w:rPr>
          <w:b/>
        </w:rPr>
        <w:t>Artykuł 11</w:t>
      </w:r>
      <w:r w:rsidR="00F60971">
        <w:t>    </w:t>
      </w:r>
      <w:r>
        <w:t>Zabrania się sprzedaży konsumentom beztytoniowych produktów zawierających nikotynę poprzez komercyjną reklamę w telewizji, telewizji na żądanie lub audycjach radiowych.</w:t>
      </w:r>
    </w:p>
    <w:p w14:paraId="3BE26530" w14:textId="78EE31BA" w:rsidR="00736C3C" w:rsidRPr="00736C3C" w:rsidRDefault="00736C3C" w:rsidP="00736C3C">
      <w:pPr>
        <w:pStyle w:val="BodyTextIndent"/>
      </w:pPr>
      <w:r>
        <w:t>Dostawcy platform udostępniania wideo nie mogą dostarczać reklam, o których mowa w ustępie pierwszym powyżej, podczas lub po filmach wideo lub programach telewizyjnych generowanych przez użytkowników na tej platformie.</w:t>
      </w:r>
    </w:p>
    <w:p w14:paraId="47D24C3C" w14:textId="0B596477" w:rsidR="00817680" w:rsidRDefault="00817680" w:rsidP="00817680">
      <w:pPr>
        <w:pStyle w:val="BodyTextIndent"/>
      </w:pPr>
    </w:p>
    <w:p w14:paraId="28F1B986" w14:textId="5A5EAE67" w:rsidR="00296214" w:rsidRDefault="00296214" w:rsidP="00296214">
      <w:pPr>
        <w:pStyle w:val="BodyText"/>
      </w:pPr>
      <w:r>
        <w:rPr>
          <w:b/>
        </w:rPr>
        <w:t>Artykuł 12</w:t>
      </w:r>
      <w:bookmarkStart w:id="7" w:name="_Hlk95430691"/>
      <w:r w:rsidR="00F60971">
        <w:t>    </w:t>
      </w:r>
      <w:r>
        <w:t>Producenci, hurtownicy i importerzy nie mogą sponsorować wydarzeń lub działań, do których ma dostęp publiczność, jeśli sponsoring promuje beztytoniowe produkty zawierające nikot ynę</w:t>
      </w:r>
      <w:bookmarkEnd w:id="7"/>
      <w:r>
        <w:t>.</w:t>
      </w:r>
    </w:p>
    <w:p w14:paraId="7F6FEF36" w14:textId="1E79A3ED" w:rsidR="00296214" w:rsidRDefault="00736C3C" w:rsidP="00817680">
      <w:pPr>
        <w:pStyle w:val="BodyTextIndent"/>
      </w:pPr>
      <w:bookmarkStart w:id="8" w:name="_Hlk95747985"/>
      <w:r>
        <w:t>Przepisy zakazujące sponsoringu w telewizji, radiu i na platformach udostępniania wideo oraz lokowania produktu w telewizji i na platformach udostępniania wideo są zawarte w ustawie o radiu i telewizji (2010:696).</w:t>
      </w:r>
      <w:bookmarkEnd w:id="8"/>
      <w:r>
        <w:t xml:space="preserve"> </w:t>
      </w:r>
    </w:p>
    <w:p w14:paraId="53F73FC1" w14:textId="77777777" w:rsidR="000B7B33" w:rsidRDefault="000B7B33" w:rsidP="00817680">
      <w:pPr>
        <w:pStyle w:val="BodyTextIndent"/>
      </w:pPr>
    </w:p>
    <w:p w14:paraId="2379B084" w14:textId="534DA0AA" w:rsidR="00296214" w:rsidRDefault="00296214" w:rsidP="00296214">
      <w:pPr>
        <w:pStyle w:val="BodyText"/>
      </w:pPr>
      <w:r>
        <w:rPr>
          <w:b/>
        </w:rPr>
        <w:t>Artykuł 13</w:t>
      </w:r>
      <w:r w:rsidR="00F60971">
        <w:t>    </w:t>
      </w:r>
      <w:r>
        <w:t>Do celów stosowania art. 5, 23 i 26 ustawy o marketingu (2008:486), środek marketingowy, który jest sprzeczny z którymkolwiek z art. 8-11 i art. 12 ustęp pierwszy, uważa się za nieuczciwy wobec konsumentów. Środek marketingowy sprzeczny z art. 11 może być podstawą do nałożenia kary za zakłócenie rynku zgodnie z postanowieniami art. 29-36 ustawy o marketingu.</w:t>
      </w:r>
    </w:p>
    <w:p w14:paraId="0AF37C21" w14:textId="652EA5DD" w:rsidR="00296214" w:rsidRDefault="00296214" w:rsidP="00296214">
      <w:pPr>
        <w:pStyle w:val="Rubrik4utannumrering"/>
      </w:pPr>
      <w:r>
        <w:t>Obowiązek zgłaszania</w:t>
      </w:r>
    </w:p>
    <w:p w14:paraId="6241CBBD" w14:textId="432EDB51" w:rsidR="002D43C0" w:rsidRDefault="002D43C0" w:rsidP="002D43C0">
      <w:pPr>
        <w:pStyle w:val="BodyText"/>
      </w:pPr>
      <w:r>
        <w:rPr>
          <w:b/>
        </w:rPr>
        <w:t>Artykuł 14</w:t>
      </w:r>
      <w:r w:rsidR="00F60971">
        <w:t>    </w:t>
      </w:r>
      <w:r>
        <w:t>Producenci i importerzy beztytoniowych produktów zawierających nikotynę przedkładają co roku Urzędowi ds. Zdrowia Publicznego:</w:t>
      </w:r>
    </w:p>
    <w:p w14:paraId="5CAC650C" w14:textId="77777777" w:rsidR="002D43C0" w:rsidRDefault="002D43C0" w:rsidP="002D43C0">
      <w:pPr>
        <w:pStyle w:val="BodyTextIndent"/>
      </w:pPr>
      <w:r>
        <w:t>1. pełne dane o wielkości sprzedaży; oraz</w:t>
      </w:r>
    </w:p>
    <w:p w14:paraId="4BAE07E5" w14:textId="5654AC30" w:rsidR="002D43C0" w:rsidRDefault="002D43C0" w:rsidP="002D43C0">
      <w:pPr>
        <w:pStyle w:val="BodyTextIndent"/>
      </w:pPr>
      <w:r>
        <w:t xml:space="preserve">2. szczegóły dotyczące </w:t>
      </w:r>
      <w:bookmarkStart w:id="9" w:name="_Hlk90827518"/>
      <w:r>
        <w:t>preferencji różnych grup konsumentów</w:t>
      </w:r>
      <w:bookmarkEnd w:id="9"/>
      <w:r>
        <w:t>, w tym dzieci lub młodzieży poniżej 25 roku życia.</w:t>
      </w:r>
    </w:p>
    <w:p w14:paraId="6F189633" w14:textId="549C5B62" w:rsidR="002D43C0" w:rsidRDefault="002D43C0" w:rsidP="002D43C0">
      <w:pPr>
        <w:pStyle w:val="BodyTextIndent"/>
      </w:pPr>
      <w:r>
        <w:t>Beztytoniowe produkty zawierające nikotynę nie mogą być udostępnione konsumentom na rynku, jeżeli nie został spełniony obowiązek sprawozdawczy wynikający z ustępu pierwszego lub z przepisów wydanych zgodnie z art. 48 ust. 5.</w:t>
      </w:r>
    </w:p>
    <w:p w14:paraId="0E28ACD1" w14:textId="3C0B3906" w:rsidR="002D43C0" w:rsidRDefault="002D43C0" w:rsidP="002D43C0">
      <w:pPr>
        <w:pStyle w:val="Rubrik4utannumrering"/>
      </w:pPr>
      <w:r>
        <w:t>Monitorowanie produktów</w:t>
      </w:r>
    </w:p>
    <w:p w14:paraId="667956AB" w14:textId="670F08E8" w:rsidR="002E42EA" w:rsidRDefault="002E42EA" w:rsidP="002E42EA">
      <w:pPr>
        <w:pStyle w:val="BodyText"/>
      </w:pPr>
      <w:r>
        <w:rPr>
          <w:b/>
        </w:rPr>
        <w:t>Artykuł 15</w:t>
      </w:r>
      <w:bookmarkStart w:id="10" w:name="_Hlk95497178"/>
      <w:bookmarkStart w:id="11" w:name="_Hlk90025175"/>
      <w:bookmarkEnd w:id="10"/>
      <w:r w:rsidR="00F60971">
        <w:t>    </w:t>
      </w:r>
      <w:r>
        <w:t xml:space="preserve"> Producenci, importerzy i dystrybutorzy beztytoniowych produktów zawierających nikotynę stworzą i będą utrzymywać system </w:t>
      </w:r>
      <w:r>
        <w:lastRenderedPageBreak/>
        <w:t>zbierania informacji o wszelkich podejrzeniach dotyczących negatywnego wpływu tych produktów na zdrowie ludzkie.</w:t>
      </w:r>
    </w:p>
    <w:p w14:paraId="55ECA3DB" w14:textId="2DD2997A" w:rsidR="002E42EA" w:rsidRDefault="002E42EA" w:rsidP="002E42EA">
      <w:pPr>
        <w:pStyle w:val="BodyTextIndent"/>
      </w:pPr>
      <w:r>
        <w:t>Informacje te są przekazywane na żądanie Urzędowi ds. Zdrowia Publicznego</w:t>
      </w:r>
      <w:bookmarkEnd w:id="11"/>
      <w:r>
        <w:t>.</w:t>
      </w:r>
    </w:p>
    <w:p w14:paraId="0F4781F6" w14:textId="77777777" w:rsidR="002E42EA" w:rsidRPr="002E42EA" w:rsidRDefault="002E42EA" w:rsidP="002E42EA">
      <w:pPr>
        <w:pStyle w:val="BodyText"/>
      </w:pPr>
    </w:p>
    <w:p w14:paraId="03D2036F" w14:textId="096D1A97" w:rsidR="002D43C0" w:rsidRDefault="00296214" w:rsidP="002D43C0">
      <w:pPr>
        <w:pStyle w:val="BodyText"/>
      </w:pPr>
      <w:r>
        <w:rPr>
          <w:b/>
        </w:rPr>
        <w:t>Artykuł 16</w:t>
      </w:r>
      <w:r w:rsidR="00F60971">
        <w:t>    </w:t>
      </w:r>
      <w:r>
        <w:t>Jeżeli producent, importer lub dystrybutor beztytoniowych produktów zawierających nikotynę uważa lub ma powody, aby uważać, że taki produkt nie jest bezpieczny lub dobrej jakości, lub że w inny sposób nie jest zgodny z niniejszą ustawą lub z odnośnymi przepisami, powinien natychmiast:</w:t>
      </w:r>
    </w:p>
    <w:p w14:paraId="3E2DB50D" w14:textId="77777777" w:rsidR="002D43C0" w:rsidRDefault="002D43C0" w:rsidP="002D43C0">
      <w:pPr>
        <w:pStyle w:val="BodyTextIndent"/>
      </w:pPr>
      <w:r>
        <w:t>1. podjąć działania naprawcze niezbędne do doprowadzenia danego produktu do zgodności z niniejszą ustawą;</w:t>
      </w:r>
    </w:p>
    <w:p w14:paraId="457763CD" w14:textId="77777777" w:rsidR="002D43C0" w:rsidRDefault="002D43C0" w:rsidP="002D43C0">
      <w:pPr>
        <w:pStyle w:val="BodyTextIndent"/>
      </w:pPr>
      <w:r>
        <w:t>2. zaprzestać sprzedaży produktu; lub</w:t>
      </w:r>
    </w:p>
    <w:p w14:paraId="5FBDA2E6" w14:textId="77777777" w:rsidR="002D43C0" w:rsidRDefault="002D43C0" w:rsidP="002D43C0">
      <w:pPr>
        <w:pStyle w:val="BodyTextIndent"/>
      </w:pPr>
      <w:r>
        <w:t>3. wycofać produkt z rynku.</w:t>
      </w:r>
    </w:p>
    <w:p w14:paraId="4637FE1E" w14:textId="723F70D3" w:rsidR="003D1DC2" w:rsidRDefault="002D43C0" w:rsidP="002D43C0">
      <w:pPr>
        <w:pStyle w:val="BodyTextIndent"/>
      </w:pPr>
      <w:r>
        <w:t>W przypadku podjęcia działań zgodnie z ustępem pierwszym, Urząd ds. Zdrowia Publicznego musi zostać niezwłocznie poinformowany o wadach produktu, podjętych działaniach korygujących i ich wynikach.</w:t>
      </w:r>
    </w:p>
    <w:p w14:paraId="20B8F25A" w14:textId="09A38CFD" w:rsidR="00AE6850" w:rsidRDefault="00AE6850" w:rsidP="00AE6850">
      <w:pPr>
        <w:pStyle w:val="Rubrik4utannumrering"/>
      </w:pPr>
      <w:r>
        <w:t>Powiadomienie o sprzedaży</w:t>
      </w:r>
    </w:p>
    <w:p w14:paraId="6292D317" w14:textId="1087226E" w:rsidR="002D3A85" w:rsidRDefault="00265BAC" w:rsidP="00AE6850">
      <w:pPr>
        <w:pStyle w:val="BodyText"/>
      </w:pPr>
      <w:r>
        <w:rPr>
          <w:b/>
        </w:rPr>
        <w:t>Artykuł 17</w:t>
      </w:r>
      <w:r w:rsidR="00F60971">
        <w:t>    </w:t>
      </w:r>
      <w:r>
        <w:t xml:space="preserve">Przedsiębiorca nie może prowadzić sprzedaży detalicznej beztytoniowych produktów zawierających nikotynę bez uprzedniego powiadomienia o sprzedaży. </w:t>
      </w:r>
    </w:p>
    <w:p w14:paraId="6AF5CCD6" w14:textId="664B87C9" w:rsidR="00AE6850" w:rsidRDefault="00197440" w:rsidP="002D3A85">
      <w:pPr>
        <w:pStyle w:val="BodyTextIndent"/>
      </w:pPr>
      <w:r>
        <w:t>Przedsiębiorca, który ma swoją siedzibę lub stałe miejsce prowadzenia działalności gospodarczej w Szwecji, zgłasza gminę, w której znajduje się fizyczny punkt sprzedaży. W przypadku braku fizycznego punktu sprzedaży, zgłoszenie musi być dokonane w gminie, w której przedsiębiorstwo ma swoją siedzibę lub, w przypadku braku siedziby w kraju, w gminie, w której przedsiębiorstwo ma stałe miejsce prowadzenia działalności.</w:t>
      </w:r>
    </w:p>
    <w:p w14:paraId="2036D935" w14:textId="65A3399A" w:rsidR="002D3A85" w:rsidRDefault="002D3A85" w:rsidP="002D3A85">
      <w:pPr>
        <w:pStyle w:val="BodyTextIndent"/>
      </w:pPr>
      <w:r>
        <w:t>Jeśli przedsiębiorca nie ma w Szwecji siedziby lub stałego miejsca prowadzenia działalności gospodarczej, zgłoszenia należy dokonać w Urzędzie ds. Zdrowia Publicznego.</w:t>
      </w:r>
    </w:p>
    <w:p w14:paraId="1CD4FA57" w14:textId="77777777" w:rsidR="00B23EA0" w:rsidRDefault="00B23EA0" w:rsidP="00B23EA0">
      <w:pPr>
        <w:pStyle w:val="Rubrik4utannumrering"/>
      </w:pPr>
      <w:r>
        <w:t>Samokontrola</w:t>
      </w:r>
    </w:p>
    <w:p w14:paraId="3194ABA1" w14:textId="678ECC38" w:rsidR="00B23EA0" w:rsidRDefault="00B23EA0" w:rsidP="00B23EA0">
      <w:pPr>
        <w:pStyle w:val="BodyText"/>
      </w:pPr>
      <w:r>
        <w:rPr>
          <w:b/>
        </w:rPr>
        <w:t>Artykuł 18</w:t>
      </w:r>
      <w:r w:rsidR="00F60971">
        <w:t>    </w:t>
      </w:r>
      <w:r>
        <w:t>Sprzedawcy detaliczni wyrobów zawierających nikotynę bez tytoniu prowadzą samokontrolę w odniesieniu do sprzedaży i innego postępowania z wyrobami zawierającymi nikotynę bez tytoniu i zapewniają istnienie odpowiedniego programu samokontroli dla przedsiębiorstwa.</w:t>
      </w:r>
    </w:p>
    <w:p w14:paraId="2F891907" w14:textId="401E0553" w:rsidR="00B23EA0" w:rsidRDefault="00B23EA0" w:rsidP="00B23EA0">
      <w:pPr>
        <w:pStyle w:val="BodyTextIndent"/>
      </w:pPr>
      <w:r>
        <w:t>Do powiadomienia o sprzedaży zgodnie z art. 17 musi być dołączony program samokontroli i inne informacje potrzebne do nadzoru przez gminę i Urząd ds. Zdrowia Publicznego. Każda zmiana tych informacji musi być niezwłocznie zgłoszona do gminy lub Urząd ds. Zdrowia Publicznego.</w:t>
      </w:r>
    </w:p>
    <w:p w14:paraId="526498F8" w14:textId="46EC026A" w:rsidR="003D1DC2" w:rsidRDefault="003D1DC2" w:rsidP="003D1DC2">
      <w:pPr>
        <w:pStyle w:val="Rubrik4utannumrering"/>
      </w:pPr>
      <w:r>
        <w:t>Wymagania dotyczące wieku</w:t>
      </w:r>
    </w:p>
    <w:p w14:paraId="784D3902" w14:textId="093DC8CD" w:rsidR="003D1DC2" w:rsidRDefault="00265BAC" w:rsidP="003D1DC2">
      <w:pPr>
        <w:pStyle w:val="BodyText"/>
      </w:pPr>
      <w:r>
        <w:rPr>
          <w:b/>
        </w:rPr>
        <w:t>Artykuł 19</w:t>
      </w:r>
      <w:r w:rsidR="00F60971">
        <w:t>    </w:t>
      </w:r>
      <w:r>
        <w:t xml:space="preserve">Nie wolno sprzedawać lub w inny sposób dostarczać w obrocie handlowym beztytoniowych produktów zawierających nikotynę </w:t>
      </w:r>
      <w:r>
        <w:lastRenderedPageBreak/>
        <w:t>osobom poniżej 18 roku życia. Osoba wydająca taki wyrób lub produkt ma obowiązek upewnić się, że ich odbiorca osiągnął taki wiek.</w:t>
      </w:r>
    </w:p>
    <w:p w14:paraId="4590F68A" w14:textId="71220C71" w:rsidR="003D1DC2" w:rsidRDefault="003D1DC2" w:rsidP="003D1DC2">
      <w:pPr>
        <w:pStyle w:val="BodyTextIndent"/>
      </w:pPr>
      <w:r>
        <w:t>Jeżeli istnieją szczególne powody, aby zakładać, że produkty są przeznaczone do przekazania osobie, która nie ukończyła co najmniej 18 lat, nie wolno ich wydawać.</w:t>
      </w:r>
    </w:p>
    <w:p w14:paraId="654EECDD" w14:textId="64300C9E" w:rsidR="003D1DC2" w:rsidRDefault="003D1DC2" w:rsidP="003D1DC2">
      <w:pPr>
        <w:pStyle w:val="BodyTextIndent"/>
      </w:pPr>
      <w:r>
        <w:t>W punktach sprzedaży musi znajdować się wyraźna i widoczna informacja o zakazie sprzedaży lub dostarczania beztytoniowych produktów zawierających nikotynę osobom poniżej 18 roku życia.</w:t>
      </w:r>
    </w:p>
    <w:p w14:paraId="1FE1C73C" w14:textId="77777777" w:rsidR="003D1DC2" w:rsidRDefault="003D1DC2" w:rsidP="003D1DC2">
      <w:pPr>
        <w:pStyle w:val="BodyText"/>
      </w:pPr>
    </w:p>
    <w:p w14:paraId="33A50052" w14:textId="02481FD9" w:rsidR="003D1DC2" w:rsidRDefault="00265BAC" w:rsidP="003D1DC2">
      <w:pPr>
        <w:pStyle w:val="BodyText"/>
      </w:pPr>
      <w:r>
        <w:rPr>
          <w:b/>
        </w:rPr>
        <w:t>Artykuł 20</w:t>
      </w:r>
      <w:r w:rsidR="00F60971">
        <w:t>    </w:t>
      </w:r>
      <w:r>
        <w:t>Beztytoniowe produkty zawierające nikotynę, sprzedawane konsumentom, muszą być udostępniane w taki sposób, aby można było sprawdzić wiek odbiorcy. Dotyczy to również sytuacji, gdy sprzedaż odbywa się za pośrednictwem automatu, poprzez sprzedaż na odległość lub w podobny sposób.</w:t>
      </w:r>
    </w:p>
    <w:p w14:paraId="5C0A141E" w14:textId="77777777" w:rsidR="003D1DC2" w:rsidRDefault="003D1DC2" w:rsidP="003D1DC2">
      <w:pPr>
        <w:pStyle w:val="BodyTextIndent"/>
      </w:pPr>
    </w:p>
    <w:p w14:paraId="09B2A3EF" w14:textId="5DB4FC37" w:rsidR="003D1DC2" w:rsidRDefault="00265BAC" w:rsidP="003D1DC2">
      <w:pPr>
        <w:pStyle w:val="BodyText"/>
      </w:pPr>
      <w:r>
        <w:rPr>
          <w:b/>
        </w:rPr>
        <w:t>Artykuł 21</w:t>
      </w:r>
      <w:r w:rsidR="00F60971">
        <w:t>    </w:t>
      </w:r>
      <w:r>
        <w:t>Beztytoniowe produkty zawierające nikotynę mogą być wwożone do kraju tylko przez osoby, które ukończyły 18 lat.</w:t>
      </w:r>
    </w:p>
    <w:p w14:paraId="332019EA" w14:textId="703F84ED" w:rsidR="00FA2DD5" w:rsidRPr="00FA2DD5" w:rsidRDefault="00AE6850" w:rsidP="00FA2DD5">
      <w:pPr>
        <w:pStyle w:val="Rubrik4utannumrering"/>
      </w:pPr>
      <w:r>
        <w:t>Kontrola regulacyjna</w:t>
      </w:r>
    </w:p>
    <w:p w14:paraId="508EA797" w14:textId="48909F05" w:rsidR="00F76D9E" w:rsidRDefault="00AE6850" w:rsidP="00F76D9E">
      <w:pPr>
        <w:pStyle w:val="BodyText"/>
      </w:pPr>
      <w:r>
        <w:rPr>
          <w:b/>
        </w:rPr>
        <w:t>Artykuł 22</w:t>
      </w:r>
      <w:r w:rsidR="00F60971">
        <w:t>    </w:t>
      </w:r>
      <w:r>
        <w:t>Urząd ds. Zdrowia Publicznego jest odpowiedzialny za wytyczne nadzorcze dotyczące nadzoru sprawowanego przez gminę zgodnie z art. 24, ustęp pierwszy, punkty 1-4 oraz nadzoru sprawowanego przez gminę i organ policji zgodnie z art. 25.</w:t>
      </w:r>
    </w:p>
    <w:p w14:paraId="7480D434" w14:textId="52901B26" w:rsidR="00AE6850" w:rsidRDefault="00F76D9E" w:rsidP="00F76D9E">
      <w:pPr>
        <w:pStyle w:val="BodyTextIndent"/>
      </w:pPr>
      <w:r>
        <w:t>Urząd ds. Konsumentów jest odpowiedzialny za wytyczne dotyczące nadzoru sprawowanego przez gminę zgodnie z art. 24, ustęp drugi.</w:t>
      </w:r>
    </w:p>
    <w:p w14:paraId="2A50CDFD" w14:textId="68865C42" w:rsidR="00AE6850" w:rsidRDefault="00AE6850" w:rsidP="00AE6850">
      <w:pPr>
        <w:pStyle w:val="BodyText"/>
      </w:pPr>
    </w:p>
    <w:p w14:paraId="5B1F14DB" w14:textId="4FDA46E3" w:rsidR="00F76D9E" w:rsidRDefault="00AE6850" w:rsidP="00F76D9E">
      <w:pPr>
        <w:pStyle w:val="BodyText"/>
      </w:pPr>
      <w:r>
        <w:rPr>
          <w:b/>
        </w:rPr>
        <w:t>Artykuł 23</w:t>
      </w:r>
      <w:bookmarkStart w:id="12" w:name="_Hlk89148550"/>
      <w:r w:rsidR="00F60971">
        <w:t>    </w:t>
      </w:r>
      <w:r>
        <w:t>Zarząd regionu sprawuje nadzór nad regionem na mocy art. 24 i 25. Nadzór obejmuje:</w:t>
      </w:r>
    </w:p>
    <w:p w14:paraId="45BCADC6" w14:textId="765AA945" w:rsidR="00F76D9E" w:rsidRDefault="00F76D9E" w:rsidP="00F76D9E">
      <w:pPr>
        <w:pStyle w:val="BodyTextIndent"/>
      </w:pPr>
      <w:r>
        <w:t>1. monitorowanie działalności gmin i wspomaganie gmin poprzez udzielanie informacji i porad; oraz</w:t>
      </w:r>
    </w:p>
    <w:p w14:paraId="37EA4383" w14:textId="3C96C241" w:rsidR="00AE6850" w:rsidRDefault="00F76D9E" w:rsidP="00F76D9E">
      <w:pPr>
        <w:pStyle w:val="BodyTextIndent"/>
      </w:pPr>
      <w:r>
        <w:t>2. wspieranie współpracy między różnymi organami nadzoru oraz między organami nadzoru a innymi podmiotami</w:t>
      </w:r>
      <w:bookmarkEnd w:id="12"/>
      <w:r>
        <w:t>.</w:t>
      </w:r>
    </w:p>
    <w:p w14:paraId="058E483E" w14:textId="0DF8B41F" w:rsidR="00AE6850" w:rsidRDefault="00AE6850" w:rsidP="00AE6850">
      <w:pPr>
        <w:pStyle w:val="BodyTextIndent"/>
      </w:pPr>
    </w:p>
    <w:p w14:paraId="339262B3" w14:textId="61560CCB" w:rsidR="008F4DE0" w:rsidRDefault="00AE6850" w:rsidP="008F4DE0">
      <w:pPr>
        <w:pStyle w:val="BodyText"/>
      </w:pPr>
      <w:r>
        <w:rPr>
          <w:b/>
        </w:rPr>
        <w:t>Artykuł 24</w:t>
      </w:r>
      <w:r w:rsidR="00F60971">
        <w:t>    </w:t>
      </w:r>
      <w:r>
        <w:t>Gmina sprawuje nadzór nad fizycznymi punktami sprzedaży w celu zapewnienia, że niniejsza ustawa i związane z nią przepisy są przestrzegane w odniesieniu do:</w:t>
      </w:r>
    </w:p>
    <w:p w14:paraId="737A42BE" w14:textId="6216B422" w:rsidR="008F4DE0" w:rsidRDefault="008F4DE0" w:rsidP="008F4DE0">
      <w:pPr>
        <w:pStyle w:val="BodyTextIndent"/>
      </w:pPr>
      <w:bookmarkStart w:id="13" w:name="_Hlk90820776"/>
      <w:r>
        <w:t>1. powiadomienia o produkcie zgodnie z art. 5;</w:t>
      </w:r>
    </w:p>
    <w:p w14:paraId="697CFB4D" w14:textId="5E2DECF8" w:rsidR="008F4DE0" w:rsidRDefault="008F4DE0" w:rsidP="008F4DE0">
      <w:pPr>
        <w:pStyle w:val="BodyTextIndent"/>
      </w:pPr>
      <w:r>
        <w:t xml:space="preserve">2. wymagań dotyczących produktu zgodnie z art. 6; </w:t>
      </w:r>
    </w:p>
    <w:p w14:paraId="4233B5A5" w14:textId="1EE78839" w:rsidR="007D4AE6" w:rsidRDefault="008F4DE0" w:rsidP="008F4DE0">
      <w:pPr>
        <w:pStyle w:val="BodyTextIndent"/>
      </w:pPr>
      <w:r>
        <w:t>3. deklaracji zawartości, ostrzeżenia zdrowotnego i oznakowania zgodnie z art. 7 i 8; oraz</w:t>
      </w:r>
    </w:p>
    <w:p w14:paraId="3E0F4D3D" w14:textId="2A48F121" w:rsidR="00B60980" w:rsidRDefault="007D4AE6" w:rsidP="008F4DE0">
      <w:pPr>
        <w:pStyle w:val="BodyTextIndent"/>
      </w:pPr>
      <w:r>
        <w:t>4. </w:t>
      </w:r>
      <w:bookmarkStart w:id="14" w:name="_Hlk90370567"/>
      <w:r>
        <w:t>obowiązku sprawozdawczego na mocy art. 14.</w:t>
      </w:r>
    </w:p>
    <w:p w14:paraId="67DB80DA" w14:textId="05BBCDB2" w:rsidR="00AE6850" w:rsidRDefault="00B60980" w:rsidP="008F4DE0">
      <w:pPr>
        <w:pStyle w:val="BodyTextIndent"/>
      </w:pPr>
      <w:bookmarkStart w:id="15" w:name="_Hlk90817100"/>
      <w:bookmarkEnd w:id="13"/>
      <w:r>
        <w:t xml:space="preserve">Gmina sprawuje również nadzór nad fizycznymi punktami sprzedaży lub w związku z nimi, aby zapewnić przestrzeganie niniejszej ustawy i związanych z nią przepisów w odniesieniu do </w:t>
      </w:r>
      <w:bookmarkEnd w:id="14"/>
      <w:r>
        <w:t>marketingu na podstawie art. 9 i 10.</w:t>
      </w:r>
      <w:bookmarkEnd w:id="15"/>
    </w:p>
    <w:p w14:paraId="1922B6D2" w14:textId="79929A1D" w:rsidR="00AE6850" w:rsidRDefault="00AE6850" w:rsidP="00AE6850">
      <w:pPr>
        <w:pStyle w:val="BodyTextIndent"/>
      </w:pPr>
    </w:p>
    <w:p w14:paraId="671AFB69" w14:textId="4F2D3598" w:rsidR="00CE16B8" w:rsidRDefault="00AE6850" w:rsidP="00CE16B8">
      <w:pPr>
        <w:pStyle w:val="BodyText"/>
      </w:pPr>
      <w:r>
        <w:rPr>
          <w:b/>
        </w:rPr>
        <w:t>Artykuł 25</w:t>
      </w:r>
      <w:r w:rsidR="00F60971">
        <w:t>    </w:t>
      </w:r>
      <w:r>
        <w:t>Gmina i Policja sprawują nadzór w celu zapewnienia przestrzegania niniejszej ustawy i związanych z nią przepisów w odniesieniu do:</w:t>
      </w:r>
    </w:p>
    <w:p w14:paraId="62C736BE" w14:textId="6C89736F" w:rsidR="00CE16B8" w:rsidRDefault="00CE16B8" w:rsidP="00CE16B8">
      <w:pPr>
        <w:pStyle w:val="BodyTextIndent"/>
      </w:pPr>
      <w:bookmarkStart w:id="16" w:name="_Hlk90822493"/>
      <w:r>
        <w:lastRenderedPageBreak/>
        <w:t>1. </w:t>
      </w:r>
      <w:bookmarkStart w:id="17" w:name="_Hlk93935953"/>
      <w:r>
        <w:t xml:space="preserve">powiadomienia o sprzedaży i samokontroli </w:t>
      </w:r>
      <w:bookmarkEnd w:id="17"/>
      <w:r>
        <w:t>zgodnie z art. 17 i 18, jeżeli przedsiębiorca ma w Szwecji siedzibę lub stałe miejsce prowadzenia działalności gospodarczej; oraz</w:t>
      </w:r>
    </w:p>
    <w:p w14:paraId="12A27A8A" w14:textId="721FFB34" w:rsidR="00CE16B8" w:rsidRDefault="00CE16B8" w:rsidP="00CE16B8">
      <w:pPr>
        <w:pStyle w:val="BodyTextIndent"/>
      </w:pPr>
      <w:r>
        <w:t>2. wymagań wiekowych zgodnie z art. 19 i 20.</w:t>
      </w:r>
    </w:p>
    <w:p w14:paraId="0EF39589" w14:textId="36EE8B6D" w:rsidR="00AE6850" w:rsidRDefault="00AE6850" w:rsidP="00CE16B8">
      <w:pPr>
        <w:pStyle w:val="BodyTextIndent"/>
      </w:pPr>
    </w:p>
    <w:bookmarkEnd w:id="16"/>
    <w:p w14:paraId="56732454" w14:textId="7F7D33CA" w:rsidR="00CE16B8" w:rsidRDefault="00AE6850" w:rsidP="00CE16B8">
      <w:pPr>
        <w:pStyle w:val="BodyText"/>
      </w:pPr>
      <w:r>
        <w:rPr>
          <w:b/>
        </w:rPr>
        <w:t>Artykuł 26</w:t>
      </w:r>
      <w:r w:rsidR="00F60971">
        <w:t>    </w:t>
      </w:r>
      <w:r>
        <w:t>Agencja ds. Zdrowia Publicznego sprawuje nadzór nad fizycznymi punktami sprzedaży w celu zapewnienia, że niniejsza ustawa i związane z nią przepisy są przestrzegane w odniesieniu do:</w:t>
      </w:r>
    </w:p>
    <w:p w14:paraId="0BE10DA0" w14:textId="0F5A3E7A" w:rsidR="00CE16B8" w:rsidRDefault="00CE16B8" w:rsidP="00CE16B8">
      <w:pPr>
        <w:pStyle w:val="BodyTextIndent"/>
      </w:pPr>
      <w:r>
        <w:t xml:space="preserve">1. powiadomienia o produkcie, wymogów dotyczących produktu, obowiązku sprawozdawczości i monitorowania produktu zgodnie z art. 5, 6 i 14-16, w przypadkach innych niż te, o których mowa w art. 24 ustęp pierwszy; </w:t>
      </w:r>
    </w:p>
    <w:p w14:paraId="55ECFE4C" w14:textId="59DACF96" w:rsidR="00AE6850" w:rsidRDefault="00CE16B8" w:rsidP="00CE16B8">
      <w:pPr>
        <w:pStyle w:val="BodyTextIndent"/>
      </w:pPr>
      <w:r>
        <w:t>2. deklaracji zawartości, ostrzeżenia zdrowotnego i oznakowania zgodnie z art. 7 i 8, w przypadkach innych niż te, o których mowa w art. 24 ustęp pierwszy; oraz</w:t>
      </w:r>
    </w:p>
    <w:p w14:paraId="1A47D364" w14:textId="007CE7B2" w:rsidR="00AE6850" w:rsidRDefault="00A755AE" w:rsidP="00AE6850">
      <w:pPr>
        <w:pStyle w:val="BodyTextIndent"/>
      </w:pPr>
      <w:r>
        <w:t>3. zgłoszenia sprzedaży i samokontroli na podstawie art. 17 i 18, jeżeli przedsiębiorca nie posiada w Szwecji siedziby lub stałego miejsca prowadzenia działalności gospodarczej.</w:t>
      </w:r>
    </w:p>
    <w:p w14:paraId="0BFEB243" w14:textId="77777777" w:rsidR="00A755AE" w:rsidRDefault="00A755AE" w:rsidP="00AE6850">
      <w:pPr>
        <w:pStyle w:val="BodyTextIndent"/>
      </w:pPr>
    </w:p>
    <w:p w14:paraId="2251C3A2" w14:textId="7719C2C2" w:rsidR="00CE16B8" w:rsidRDefault="00AE6850" w:rsidP="00CE16B8">
      <w:pPr>
        <w:pStyle w:val="BodyText"/>
      </w:pPr>
      <w:r>
        <w:rPr>
          <w:b/>
        </w:rPr>
        <w:t>Artykuł 27</w:t>
      </w:r>
      <w:r w:rsidR="00F60971">
        <w:t>    </w:t>
      </w:r>
      <w:r>
        <w:t>Urząd ds. Konsumentów sprawuje nadzór w celu zapewnienia przestrzegania niniejszej ustawy i związanych z nią przepisów w odniesieniu do wprowadzania do obrotu na podstawie art. 9-11 i 12 ustęp pierwszy, w przypadkach innych niż te, o których mowa w art. 24 ustęp drugi.</w:t>
      </w:r>
    </w:p>
    <w:p w14:paraId="4651F904" w14:textId="61659B4B" w:rsidR="00AE6850" w:rsidRDefault="00CE16B8" w:rsidP="00CE16B8">
      <w:pPr>
        <w:pStyle w:val="BodyTextIndent"/>
      </w:pPr>
      <w:r>
        <w:t>Nadzór Urzędu ds. Konsumentów podlega przepisom ustawy o marketingu (2008:486).</w:t>
      </w:r>
    </w:p>
    <w:p w14:paraId="39A48066" w14:textId="36BD9870" w:rsidR="00AE6850" w:rsidRDefault="00CE16B8" w:rsidP="00CE16B8">
      <w:pPr>
        <w:pStyle w:val="Rubrik4utannumrering"/>
      </w:pPr>
      <w:r>
        <w:t>Uprawnienia</w:t>
      </w:r>
    </w:p>
    <w:p w14:paraId="0B5AD358" w14:textId="674D1DB1" w:rsidR="00CE16B8" w:rsidRDefault="00CE16B8" w:rsidP="00CE16B8">
      <w:pPr>
        <w:pStyle w:val="BodyText"/>
      </w:pPr>
      <w:r>
        <w:rPr>
          <w:b/>
        </w:rPr>
        <w:t>Artykuł 28</w:t>
      </w:r>
      <w:r w:rsidR="00F60971">
        <w:t>    </w:t>
      </w:r>
      <w:r>
        <w:t>Organ nadzorczy, o którym mowa w art. 24-26, może w ramach swojej działalności nadzorczej nakładać nakazy lub zakazy niezbędne do przestrzegania niniejszej ustawy i związanych z nią przepisów.</w:t>
      </w:r>
    </w:p>
    <w:p w14:paraId="228DBEA8" w14:textId="68841D99" w:rsidR="00CE16B8" w:rsidRDefault="00CE16B8" w:rsidP="00CE16B8">
      <w:pPr>
        <w:pStyle w:val="BodyText"/>
      </w:pPr>
    </w:p>
    <w:p w14:paraId="05AACF89" w14:textId="71412E43" w:rsidR="007D5CAC" w:rsidRDefault="007D5CAC" w:rsidP="007D5CAC">
      <w:pPr>
        <w:pStyle w:val="BodyText"/>
      </w:pPr>
      <w:r>
        <w:rPr>
          <w:b/>
        </w:rPr>
        <w:t>Artykuł 29</w:t>
      </w:r>
      <w:bookmarkStart w:id="18" w:name="_Hlk89150206"/>
      <w:r w:rsidR="00F60971">
        <w:t>    </w:t>
      </w:r>
      <w:r>
        <w:t>W przypadku poważnych lub powtarzających się naruszeń niniejszej ustawy gmina może zakazać sprzedawcy detalicznemu kontynuowania sprzedaży beztytoniowych wyrobów zawierających nikotynę lub, jeśli taki zakaz zostanie uznany za środek nadmierny, wystosować ostrzeżenie. Decyzję gminy stosuje się ze skutkiem natychmiastowym, chyba że decyzja stanowi inaczej</w:t>
      </w:r>
      <w:bookmarkEnd w:id="18"/>
      <w:r>
        <w:t>.</w:t>
      </w:r>
    </w:p>
    <w:p w14:paraId="4FBB5BF5" w14:textId="04E877C4" w:rsidR="00CE16B8" w:rsidRDefault="007D5CAC" w:rsidP="007D5CAC">
      <w:pPr>
        <w:pStyle w:val="BodyTextIndent"/>
      </w:pPr>
      <w:r>
        <w:t>Zakaz może być wydany na okres nie dłuższy niż sześć miesięcy.</w:t>
      </w:r>
    </w:p>
    <w:p w14:paraId="2F70676D" w14:textId="65474822" w:rsidR="00CE16B8" w:rsidRDefault="00CE16B8" w:rsidP="00CE16B8">
      <w:pPr>
        <w:pStyle w:val="BodyTextIndent"/>
      </w:pPr>
    </w:p>
    <w:p w14:paraId="525711C5" w14:textId="6B42E826" w:rsidR="00006B25" w:rsidRDefault="007D5CAC" w:rsidP="007D5CAC">
      <w:pPr>
        <w:pStyle w:val="BodyText"/>
      </w:pPr>
      <w:r>
        <w:rPr>
          <w:b/>
        </w:rPr>
        <w:t>Artykuł 30</w:t>
      </w:r>
      <w:r w:rsidR="00F60971">
        <w:t>    </w:t>
      </w:r>
      <w:r>
        <w:t xml:space="preserve">Jeżeli Urząd ds. Zdrowia Publicznego stwierdzi lub ma uzasadnione podstawy, aby sądzić, że dany rodzaj lub konkretny beztytoniowy produkt zawierający nikotynę może stanowić poważne zagrożenie dla zdrowia ludzkiego, pomimo tego, że produkt ten spełnia wymogi niniejszej ustawy, może zakazać udostępniania tych produktów konsumentom na rynku. </w:t>
      </w:r>
    </w:p>
    <w:p w14:paraId="7A7F3D5B" w14:textId="33B2DD4D" w:rsidR="007D5CAC" w:rsidRDefault="007D5CAC" w:rsidP="00006B25">
      <w:pPr>
        <w:pStyle w:val="BodyTextIndent"/>
      </w:pPr>
      <w:r>
        <w:t xml:space="preserve">W przypadku, gdy takie produkty zostały udostępnione konsumentom na rynku, Urząd ds. Zdrowia Publicznego może nakazać producentowi, </w:t>
      </w:r>
      <w:r>
        <w:lastRenderedPageBreak/>
        <w:t xml:space="preserve">importerowi lub dystrybutorowi tych produktów zaprzestania ich sprzedaży lub wycofanie z rynku. </w:t>
      </w:r>
    </w:p>
    <w:p w14:paraId="7AA72773" w14:textId="4ADECA48" w:rsidR="007D5CAC" w:rsidRDefault="007D5CAC" w:rsidP="00CE16B8">
      <w:pPr>
        <w:pStyle w:val="BodyTextIndent"/>
      </w:pPr>
    </w:p>
    <w:p w14:paraId="4C21BECA" w14:textId="06EAA14D" w:rsidR="007D5CAC" w:rsidRDefault="007D5CAC" w:rsidP="007D5CAC">
      <w:pPr>
        <w:pStyle w:val="BodyText"/>
      </w:pPr>
      <w:r>
        <w:rPr>
          <w:b/>
        </w:rPr>
        <w:t>Artykuł 31</w:t>
      </w:r>
      <w:r w:rsidR="00F60971">
        <w:t>    </w:t>
      </w:r>
      <w:r>
        <w:t>Decyzje na podstawie art. 28 i 30 mogą podlegać karze grzywny. Grzywna nie może zostać przekształcona w karę pozbawienia wolności.</w:t>
      </w:r>
    </w:p>
    <w:p w14:paraId="60030698" w14:textId="3C992032" w:rsidR="007D5CAC" w:rsidRDefault="007D5CAC" w:rsidP="007D5CAC">
      <w:pPr>
        <w:pStyle w:val="Rubrik4utannumrering"/>
      </w:pPr>
      <w:r>
        <w:t>Prawo do informacji i dostępu</w:t>
      </w:r>
    </w:p>
    <w:p w14:paraId="4B2F9D5C" w14:textId="2C99EA19" w:rsidR="007D5CAC" w:rsidRDefault="007D5CAC" w:rsidP="007D5CAC">
      <w:pPr>
        <w:pStyle w:val="BodyText"/>
      </w:pPr>
      <w:r>
        <w:rPr>
          <w:b/>
        </w:rPr>
        <w:t>Artykuł 32</w:t>
      </w:r>
      <w:r w:rsidR="00F60971">
        <w:t>    </w:t>
      </w:r>
      <w:r>
        <w:t>Organ nadzorczy może, na żądanie, uzyskać informacje, dokumenty, próbki i tym podobne, niezbędne do sprawowania nadzoru przez ten organ na mocy niniejszej ustawy.</w:t>
      </w:r>
    </w:p>
    <w:p w14:paraId="5974FB99" w14:textId="3A539676" w:rsidR="007D5CAC" w:rsidRDefault="007D5CAC" w:rsidP="007D5CAC">
      <w:pPr>
        <w:pStyle w:val="BodyText"/>
      </w:pPr>
    </w:p>
    <w:p w14:paraId="5A395077" w14:textId="7F863F22" w:rsidR="007D5CAC" w:rsidRDefault="007D5CAC" w:rsidP="007D5CAC">
      <w:pPr>
        <w:pStyle w:val="BodyText"/>
      </w:pPr>
      <w:r>
        <w:rPr>
          <w:b/>
        </w:rPr>
        <w:t>Artykuł 33</w:t>
      </w:r>
      <w:r w:rsidR="00F60971">
        <w:t>    </w:t>
      </w:r>
      <w:r>
        <w:t>W celu wypełnienia swoich obowiązków wynikających z niniejszej ustawy, organ nadzorczy ma prawo uzyskać dostęp do obszarów, lokali i innych pomieszczeń, których dotyczy niniejsza ustawa lub powiązane przepisy, i może przeprowadzać tam dochodzenia i pobierać próbki. Za pobrane próbki nie będzie wypłacane odszkodowanie.</w:t>
      </w:r>
    </w:p>
    <w:p w14:paraId="33C00ECD" w14:textId="4CE1F39D" w:rsidR="007D5CAC" w:rsidRDefault="007D5CAC" w:rsidP="007D5CAC">
      <w:pPr>
        <w:pStyle w:val="BodyTextIndent"/>
      </w:pPr>
    </w:p>
    <w:p w14:paraId="020EC8D6" w14:textId="594D4522" w:rsidR="00F9411B" w:rsidRDefault="007D5CAC" w:rsidP="007D5CAC">
      <w:pPr>
        <w:pStyle w:val="BodyText"/>
      </w:pPr>
      <w:r>
        <w:rPr>
          <w:b/>
        </w:rPr>
        <w:t>Artykuł 34</w:t>
      </w:r>
      <w:r w:rsidR="00F60971">
        <w:t>    </w:t>
      </w:r>
      <w:r>
        <w:t>Policja, na wniosek innego organu nadzorczego, udziela pomocy wymaganej przy stosowaniu art. 33.</w:t>
      </w:r>
    </w:p>
    <w:p w14:paraId="5D5B8038" w14:textId="1A52B961" w:rsidR="00F9411B" w:rsidRDefault="007D5CAC" w:rsidP="00F9411B">
      <w:pPr>
        <w:pStyle w:val="BodyTextIndent"/>
      </w:pPr>
      <w:r>
        <w:t>Wniosek na podstawie ustępu pierwszego może być złożony tylko wtedy, gdy:</w:t>
      </w:r>
    </w:p>
    <w:p w14:paraId="68A692A9" w14:textId="58ED1D56" w:rsidR="00F9411B" w:rsidRDefault="00F9411B" w:rsidP="00F9411B">
      <w:pPr>
        <w:pStyle w:val="BodyTextIndent"/>
      </w:pPr>
      <w:r>
        <w:t>1. w związku z zaistniałymi szczególnymi okolicznościami zachodzą obawy, że czynności nie będzie można wykonać bez wykorzystania szczególnych uprawnień funkcjonariuszy policji na podstawie art. 10 ustawy o policji (1984:387); lub</w:t>
      </w:r>
    </w:p>
    <w:p w14:paraId="5436AA3A" w14:textId="5C3A04DB" w:rsidR="007D5CAC" w:rsidRDefault="007D5CAC" w:rsidP="00F9411B">
      <w:pPr>
        <w:pStyle w:val="BodyTextIndent"/>
      </w:pPr>
      <w:r>
        <w:t>2. istnieją inne wyjątkowe powody.</w:t>
      </w:r>
    </w:p>
    <w:p w14:paraId="134BB298" w14:textId="2369336C" w:rsidR="007D5CAC" w:rsidRDefault="00F9411B" w:rsidP="00F9411B">
      <w:pPr>
        <w:pStyle w:val="Rubrik4utannumrering"/>
      </w:pPr>
      <w:r>
        <w:t>Wzajemne udzielanie informacji</w:t>
      </w:r>
    </w:p>
    <w:p w14:paraId="38C34BB4" w14:textId="6DD93B47" w:rsidR="00F9411B" w:rsidRDefault="00F9411B" w:rsidP="00F9411B">
      <w:pPr>
        <w:pStyle w:val="BodyText"/>
      </w:pPr>
      <w:r>
        <w:rPr>
          <w:b/>
        </w:rPr>
        <w:t>Artykuł 35</w:t>
      </w:r>
      <w:r w:rsidR="00F60971">
        <w:t>    </w:t>
      </w:r>
      <w:r>
        <w:t>Gmina i Policja informują się wzajemnie o okolicznościach istotnych dla nadzoru.</w:t>
      </w:r>
    </w:p>
    <w:p w14:paraId="0079758B" w14:textId="1832207C" w:rsidR="00F9411B" w:rsidRDefault="00F9411B" w:rsidP="00F9411B">
      <w:pPr>
        <w:pStyle w:val="BodyTextIndent"/>
      </w:pPr>
      <w:r>
        <w:t>Gmina, która podjęła decyzję w sprawie na podstawie niniejszej ustawy, przesyła kopię decyzji Urzędowi ds. Zdrowia Publicznego, Policji oraz radzie administracyjnej regionu, którego dotyczy decyzja.</w:t>
      </w:r>
    </w:p>
    <w:p w14:paraId="15E68A9B" w14:textId="53EC2FFC" w:rsidR="00F9411B" w:rsidRDefault="00F9411B" w:rsidP="00F9411B">
      <w:pPr>
        <w:pStyle w:val="BodyText"/>
      </w:pPr>
    </w:p>
    <w:p w14:paraId="0C15DECF" w14:textId="34A0976E" w:rsidR="00F9411B" w:rsidRDefault="00F9411B" w:rsidP="00F9411B">
      <w:pPr>
        <w:pStyle w:val="BodyText"/>
      </w:pPr>
      <w:r>
        <w:rPr>
          <w:b/>
        </w:rPr>
        <w:t>Artykuł 36</w:t>
      </w:r>
      <w:r w:rsidR="00F60971">
        <w:t>    </w:t>
      </w:r>
      <w:r>
        <w:t>Gminy informują Urząd ds. Zdrowia Publicznego, jeżeli posiądą wiedzę o czymś, co może mieć znaczenie dla nadzoru ze strony Urzędu ds. Zdrowia Publicznego.</w:t>
      </w:r>
    </w:p>
    <w:p w14:paraId="3238023D" w14:textId="6AE4995A" w:rsidR="00F9411B" w:rsidRDefault="00F9411B" w:rsidP="00F9411B">
      <w:pPr>
        <w:pStyle w:val="Rubrik4utannumrering"/>
      </w:pPr>
      <w:r>
        <w:t>Zakupy kontrolne</w:t>
      </w:r>
    </w:p>
    <w:p w14:paraId="252D8C8B" w14:textId="7704468D" w:rsidR="00F9411B" w:rsidRDefault="00F9411B" w:rsidP="00F9411B">
      <w:pPr>
        <w:pStyle w:val="BodyText"/>
      </w:pPr>
      <w:r>
        <w:rPr>
          <w:b/>
        </w:rPr>
        <w:t>Artykuł 37</w:t>
      </w:r>
      <w:bookmarkStart w:id="19" w:name="_Hlk94471995"/>
      <w:r w:rsidR="00F60971">
        <w:t>    </w:t>
      </w:r>
      <w:r>
        <w:t xml:space="preserve">Gmina może dokonywać zakupów kontrolnych </w:t>
      </w:r>
      <w:bookmarkEnd w:id="19"/>
      <w:r>
        <w:t>w celu stworzenia podstawy do dialogu między gminą a dostawcą beztytoniowych wyrobów zawierających nikotynę na temat obowiązku zapewnienia ukończenia 18 roku życia przez odbiorcę. Do takich zakupów gmina może wykorzystać tylko osoby, które ukończyły 18 lat.</w:t>
      </w:r>
    </w:p>
    <w:p w14:paraId="3BF0E8C6" w14:textId="08BE69D8" w:rsidR="00F9411B" w:rsidRDefault="00F9411B" w:rsidP="00F9411B">
      <w:pPr>
        <w:pStyle w:val="BodyTextIndent"/>
      </w:pPr>
      <w:r>
        <w:t>Zakupy kontrolne mogą być dokonywane bez wcześniejszego powiadomienia przedsiębiorcy o zakupie kontrolnym. Gmina powiadomi przedsiębiorcę o zakupie kontrolnym tak szybko, jak to możliwe po dokonaniu zakupu kontrolnego.</w:t>
      </w:r>
    </w:p>
    <w:p w14:paraId="5EDC071B" w14:textId="0A242851" w:rsidR="00F9411B" w:rsidRDefault="00F9411B" w:rsidP="00F9411B">
      <w:pPr>
        <w:pStyle w:val="BodyText"/>
      </w:pPr>
    </w:p>
    <w:p w14:paraId="740197BC" w14:textId="28C136A1" w:rsidR="00F9411B" w:rsidRDefault="00F9411B" w:rsidP="00250FD6">
      <w:pPr>
        <w:pStyle w:val="BodyText"/>
      </w:pPr>
      <w:r>
        <w:rPr>
          <w:b/>
        </w:rPr>
        <w:t>Artykuł 38</w:t>
      </w:r>
      <w:r w:rsidR="00F60971">
        <w:t>    </w:t>
      </w:r>
      <w:r>
        <w:t>Ustalenia dotyczące zakupów kontrolnych nie mogą stanowić dla gminy podstawy do wydania nakazu, zakazu lub ostrzeżenia na podstawie art. 28 lub 29.</w:t>
      </w:r>
    </w:p>
    <w:p w14:paraId="282B5FCD" w14:textId="1B7B0D4F" w:rsidR="00F9411B" w:rsidRDefault="00250FD6" w:rsidP="00250FD6">
      <w:pPr>
        <w:pStyle w:val="Rubrik4utannumrering"/>
      </w:pPr>
      <w:r>
        <w:t>Tajemnica zawodowa</w:t>
      </w:r>
    </w:p>
    <w:p w14:paraId="093CEDB3" w14:textId="2907042C" w:rsidR="00250FD6" w:rsidRDefault="00250FD6" w:rsidP="00250FD6">
      <w:pPr>
        <w:pStyle w:val="BodyText"/>
      </w:pPr>
      <w:r>
        <w:rPr>
          <w:b/>
        </w:rPr>
        <w:t>Artykuł 39</w:t>
      </w:r>
      <w:r w:rsidR="00F60971">
        <w:t>    </w:t>
      </w:r>
      <w:r>
        <w:t>Osoba, która zajęła się jakąś sprawą na podstawie niniejszej ustawy, nie może bez zezwolenia ujawniać lub w inny sposób wykorzystywać tego, czego się w ten sposób dowiedziała w zakresie tajemnic handlowych lub warunków prowadzenia działalności gospodarczej.</w:t>
      </w:r>
    </w:p>
    <w:p w14:paraId="6509DBF7" w14:textId="66D85665" w:rsidR="00250FD6" w:rsidRDefault="00250FD6" w:rsidP="00250FD6">
      <w:pPr>
        <w:pStyle w:val="BodyTextIndent"/>
      </w:pPr>
      <w:r>
        <w:t>W administracji publicznej stosuje się przepisy ustawy (2009:400) o publicznym dostępie do informacji i tajemnicy.</w:t>
      </w:r>
    </w:p>
    <w:p w14:paraId="5ABA40DA" w14:textId="20D68F89" w:rsidR="00250FD6" w:rsidRDefault="008577A8" w:rsidP="0006791A">
      <w:pPr>
        <w:pStyle w:val="Rubrik4utannumrering"/>
      </w:pPr>
      <w:r>
        <w:t>Opłaty</w:t>
      </w:r>
    </w:p>
    <w:p w14:paraId="02416C02" w14:textId="137A20E9" w:rsidR="008577A8" w:rsidRDefault="008577A8" w:rsidP="008577A8">
      <w:pPr>
        <w:pStyle w:val="BodyText"/>
      </w:pPr>
      <w:r>
        <w:rPr>
          <w:b/>
        </w:rPr>
        <w:t>Artykuł 40</w:t>
      </w:r>
      <w:r w:rsidR="00F60971">
        <w:t>    </w:t>
      </w:r>
      <w:r>
        <w:t>Gmina może pobierać opłaty za nadzór nad osobami zaangażowanymi w sprzedaż wymagającą powiadomienia zgodnie z art. 17.</w:t>
      </w:r>
    </w:p>
    <w:p w14:paraId="733810AE" w14:textId="08E138DF" w:rsidR="008577A8" w:rsidRDefault="008577A8" w:rsidP="008577A8">
      <w:pPr>
        <w:pStyle w:val="BodyText"/>
      </w:pPr>
    </w:p>
    <w:p w14:paraId="2A7EF524" w14:textId="0BC4151F" w:rsidR="008577A8" w:rsidRDefault="008577A8" w:rsidP="008577A8">
      <w:pPr>
        <w:pStyle w:val="BodyText"/>
      </w:pPr>
      <w:r>
        <w:rPr>
          <w:b/>
        </w:rPr>
        <w:t>Artykuł 41</w:t>
      </w:r>
      <w:r w:rsidR="00F60971">
        <w:t>    </w:t>
      </w:r>
      <w:r>
        <w:t>Urząd ds. Zdrowia Publicznego może pobierać opłaty od producentów i importerów beztytoniowych produktów zawierających nikotynę za przyjmowanie, przechowywanie, przetwarzanie, analizowanie i publikowanie informacji przekazywanych urzędowi na podstawie art. 5.</w:t>
      </w:r>
    </w:p>
    <w:p w14:paraId="6E5256BF" w14:textId="78AFAD5F" w:rsidR="006264EA" w:rsidRPr="006264EA" w:rsidRDefault="006264EA" w:rsidP="00F065C2">
      <w:pPr>
        <w:pStyle w:val="BodyTextIndent"/>
      </w:pPr>
      <w:bookmarkStart w:id="20" w:name="_Hlk89239763"/>
      <w:r>
        <w:t>Urząd ds. Zdrowia Publicznego może pobierać opłaty od producentów i importerów za przyjmowanie, przechowywanie, przetwarzanie i analizowanie informacji przekazywanych organowi na podstawie art. 14 oraz za publikację informacji o spełnieniu obowiązku sprawozdawczego.</w:t>
      </w:r>
    </w:p>
    <w:bookmarkEnd w:id="20"/>
    <w:p w14:paraId="79E1B6FF" w14:textId="184F9BD6" w:rsidR="006264EA" w:rsidRDefault="008577A8" w:rsidP="008577A8">
      <w:pPr>
        <w:pStyle w:val="BodyTextIndent"/>
      </w:pPr>
      <w:r>
        <w:t>Urząd ds. Zdrowia Publicznego może pobierać opłaty za nadzór nad osobami zaangażowanymi w sprzedaż wymagającą powiadomienia zgodnie z art. 17.</w:t>
      </w:r>
    </w:p>
    <w:p w14:paraId="205B6505" w14:textId="33A98B98" w:rsidR="008577A8" w:rsidRDefault="008577A8" w:rsidP="0006791A">
      <w:pPr>
        <w:pStyle w:val="Rubrik4utannumrering"/>
      </w:pPr>
      <w:r>
        <w:t>Odwołania</w:t>
      </w:r>
    </w:p>
    <w:p w14:paraId="32A45628" w14:textId="399956B0" w:rsidR="008577A8" w:rsidRDefault="008577A8" w:rsidP="008577A8">
      <w:pPr>
        <w:pStyle w:val="BodyText"/>
      </w:pPr>
      <w:r>
        <w:rPr>
          <w:b/>
        </w:rPr>
        <w:t>Artykuł 42</w:t>
      </w:r>
      <w:r w:rsidR="00F60971">
        <w:t>    </w:t>
      </w:r>
      <w:r>
        <w:t>Odwołania od decyzji wydanych na podstawie niniejszej ustawy lub związanych z nią rozporządzeń można składać w powszechnym sądzie administracyjnym.</w:t>
      </w:r>
    </w:p>
    <w:p w14:paraId="26F182D3" w14:textId="7EA8A91C" w:rsidR="008577A8" w:rsidRDefault="008577A8" w:rsidP="008577A8">
      <w:pPr>
        <w:pStyle w:val="BodyTextIndent"/>
      </w:pPr>
      <w:r>
        <w:t>W przypadku wniesienia odwołania do Administracyjnego Sądu Apelacyjnego wymagane jest zezwolenie na odwołanie.</w:t>
      </w:r>
    </w:p>
    <w:p w14:paraId="2C3BA194" w14:textId="3DDB68F6" w:rsidR="008577A8" w:rsidRDefault="008577A8" w:rsidP="0006791A">
      <w:pPr>
        <w:pStyle w:val="Rubrik4utannumrering"/>
      </w:pPr>
      <w:r>
        <w:t>Kary i przepadki</w:t>
      </w:r>
    </w:p>
    <w:p w14:paraId="54B492D6" w14:textId="3FB6A7A6" w:rsidR="008577A8" w:rsidRDefault="008577A8" w:rsidP="008577A8">
      <w:pPr>
        <w:pStyle w:val="BodyText"/>
      </w:pPr>
      <w:r>
        <w:rPr>
          <w:b/>
        </w:rPr>
        <w:t>Artykuł 43</w:t>
      </w:r>
      <w:r w:rsidR="00F60971">
        <w:t>    </w:t>
      </w:r>
      <w:r>
        <w:t xml:space="preserve">Kto umyślnie dostarcza konsumentom beztytoniowe produkty zawierające nikotynę, które nie spełniają wymagań dotyczących deklaracji zawartości lub ostrzeżeń zdrowotnych z naruszeniem art. 7 ustęp trzeci, zostanie skazany na grzywnę lub karę pozbawienia wolności do sześciu miesięcy za </w:t>
      </w:r>
      <w:r>
        <w:rPr>
          <w:i/>
        </w:rPr>
        <w:t>nieuprawnione postępowanie z beztytoniowymi produktami zawierającymi nikotynę</w:t>
      </w:r>
      <w:r>
        <w:t>.</w:t>
      </w:r>
    </w:p>
    <w:p w14:paraId="5CBF3376" w14:textId="77777777" w:rsidR="00551A61" w:rsidRDefault="008577A8" w:rsidP="008577A8">
      <w:pPr>
        <w:pStyle w:val="BodyTextIndent"/>
      </w:pPr>
      <w:r>
        <w:t>Jeżeli waga czynu jest niewielka, nie powoduje powstania odpowiedzialności.</w:t>
      </w:r>
    </w:p>
    <w:p w14:paraId="4261F4DD" w14:textId="569FF4CE" w:rsidR="00551A61" w:rsidRDefault="008577A8" w:rsidP="00551A61">
      <w:pPr>
        <w:pStyle w:val="BodyText"/>
      </w:pPr>
      <w:r>
        <w:lastRenderedPageBreak/>
        <w:br/>
      </w:r>
      <w:r>
        <w:rPr>
          <w:b/>
        </w:rPr>
        <w:t>Artykuł 44</w:t>
      </w:r>
      <w:bookmarkStart w:id="21" w:name="_Hlk95725330"/>
      <w:r w:rsidR="00F60971">
        <w:t>    </w:t>
      </w:r>
      <w:r>
        <w:t xml:space="preserve">Każdy, kto umyślnie sprzedaje beztytoniowe produkty zawierające nikotynę z naruszeniem zakazu nałożonego zgodnie z art. 29, zostanie skazany na grzywnę lub karę pozbawienia wolności do sześciu miesięcy za </w:t>
      </w:r>
      <w:r>
        <w:rPr>
          <w:i/>
        </w:rPr>
        <w:t>niedozwoloną sprzedaż beztytoniowych produktów zawierających nikotynę</w:t>
      </w:r>
      <w:r>
        <w:t>.</w:t>
      </w:r>
    </w:p>
    <w:p w14:paraId="079DAD74" w14:textId="381961C2" w:rsidR="00FC7D94" w:rsidRPr="00FC7D94" w:rsidRDefault="00FC7D94" w:rsidP="00FC7D94">
      <w:pPr>
        <w:pStyle w:val="BodyTextIndent"/>
      </w:pPr>
      <w:r>
        <w:t>Jeżeli waga czynu jest niewielka, nie powoduje powstania odpowiedzialności</w:t>
      </w:r>
      <w:bookmarkEnd w:id="21"/>
      <w:r>
        <w:t>.</w:t>
      </w:r>
    </w:p>
    <w:p w14:paraId="7635DDCD" w14:textId="77777777" w:rsidR="00695892" w:rsidRDefault="00695892" w:rsidP="00EF4D0A">
      <w:pPr>
        <w:pStyle w:val="BodyTextIndent"/>
      </w:pPr>
    </w:p>
    <w:p w14:paraId="5C5A3D97" w14:textId="252E85AC" w:rsidR="00EF4D0A" w:rsidRDefault="00695892" w:rsidP="00A54740">
      <w:pPr>
        <w:pStyle w:val="BodyTextIndent"/>
        <w:ind w:firstLine="0"/>
      </w:pPr>
      <w:r>
        <w:rPr>
          <w:b/>
        </w:rPr>
        <w:t>Artykuł 45</w:t>
      </w:r>
      <w:bookmarkStart w:id="22" w:name="_Hlk95725428"/>
      <w:r w:rsidR="00F60971">
        <w:t>    </w:t>
      </w:r>
      <w:r>
        <w:t>Każdy, kto umyślnie lub przez zaniedbanie prowadzi detaliczną sprzedaż beztytoniowych produktów zawierających nikotynę z naruszeniem art. 17 lub sprzedaje lub dostarcza beztytoniowe produkty zawierające nikotynę z naruszeniem art. 19, ustęp pierwszy lub drugi, zostanie skazany na grzywnę lub karę pozbawienia wolności do sześciu miesięcy.</w:t>
      </w:r>
      <w:bookmarkStart w:id="23" w:name="_Hlk95692228"/>
    </w:p>
    <w:bookmarkEnd w:id="23"/>
    <w:p w14:paraId="11608CC6" w14:textId="2947B7E9" w:rsidR="00EF4D0A" w:rsidRPr="00EF4D0A" w:rsidRDefault="00EF4D0A" w:rsidP="00EF4D0A">
      <w:pPr>
        <w:pStyle w:val="BodyTextIndent"/>
      </w:pPr>
      <w:r>
        <w:t>Jeżeli waga czynu jest niewielka, nie powoduje powstania odpowiedzialności</w:t>
      </w:r>
      <w:bookmarkEnd w:id="22"/>
      <w:r>
        <w:t>.</w:t>
      </w:r>
    </w:p>
    <w:p w14:paraId="1EA5D503" w14:textId="77777777" w:rsidR="00551A61" w:rsidRDefault="00551A61" w:rsidP="00551A61">
      <w:pPr>
        <w:pStyle w:val="BodyTextIndent"/>
        <w:ind w:firstLine="0"/>
      </w:pPr>
    </w:p>
    <w:p w14:paraId="77430726" w14:textId="2FCB0973" w:rsidR="008577A8" w:rsidRDefault="008577A8" w:rsidP="00640C08">
      <w:pPr>
        <w:pStyle w:val="BodyText"/>
      </w:pPr>
      <w:r>
        <w:rPr>
          <w:b/>
        </w:rPr>
        <w:t>Artykuł 46</w:t>
      </w:r>
      <w:r w:rsidR="00F60971">
        <w:t>    </w:t>
      </w:r>
      <w:r>
        <w:t>Kto naruszył nakaz lub zakaz z nałożoną grzywną, nie może być skazany na podstawie niniejszej ustawy za czyn lub czyny, którego lub których dotyczy nakaz lub zakaz.</w:t>
      </w:r>
    </w:p>
    <w:p w14:paraId="5FA1F131" w14:textId="1A959903" w:rsidR="008577A8" w:rsidRDefault="008577A8" w:rsidP="008577A8">
      <w:pPr>
        <w:pStyle w:val="BodyTextIndent"/>
      </w:pPr>
    </w:p>
    <w:p w14:paraId="38EC3509" w14:textId="5A44000A" w:rsidR="008577A8" w:rsidRDefault="008577A8" w:rsidP="00B419CC">
      <w:pPr>
        <w:pStyle w:val="BodyText"/>
      </w:pPr>
      <w:r>
        <w:rPr>
          <w:b/>
        </w:rPr>
        <w:t>Artykuł 47</w:t>
      </w:r>
      <w:r w:rsidR="00F60971">
        <w:t>    </w:t>
      </w:r>
      <w:r>
        <w:t>Beztytoniowe produkty zawierające nikotynę, które były przedmiotem przestępstwa zgodnie z niniejszą ustawą lub ich wartość i korzyści z takiego przestępstwa ulegają przepadkowi, chyba że jest to wyraźnie nieuzasadnione.</w:t>
      </w:r>
    </w:p>
    <w:p w14:paraId="4CABC9BD" w14:textId="0ABB89AE" w:rsidR="00496334" w:rsidRPr="00496334" w:rsidRDefault="00994089" w:rsidP="00496334">
      <w:pPr>
        <w:pStyle w:val="Rubrik4utannumrering"/>
      </w:pPr>
      <w:bookmarkStart w:id="24" w:name="_Hlk95720368"/>
      <w:bookmarkEnd w:id="24"/>
      <w:r>
        <w:t>Upoważnienia</w:t>
      </w:r>
    </w:p>
    <w:p w14:paraId="0B8349C5" w14:textId="43837D9E" w:rsidR="00B419CC" w:rsidRDefault="008577A8" w:rsidP="00B419CC">
      <w:pPr>
        <w:pStyle w:val="BodyText"/>
      </w:pPr>
      <w:r>
        <w:rPr>
          <w:b/>
        </w:rPr>
        <w:t>Artykuł 48</w:t>
      </w:r>
      <w:r w:rsidR="00F60971">
        <w:t>    </w:t>
      </w:r>
      <w:r>
        <w:t>Rząd lub organ powołany przez rząd może wydawać przepisy dotyczące:</w:t>
      </w:r>
    </w:p>
    <w:p w14:paraId="54E4E0C3" w14:textId="1FB1A14D" w:rsidR="00B419CC" w:rsidRDefault="00B419CC" w:rsidP="00B419CC">
      <w:pPr>
        <w:pStyle w:val="BodyTextIndent"/>
      </w:pPr>
      <w:r>
        <w:t xml:space="preserve">1. powiadomienia o produkcie zgodnie z art. 5; </w:t>
      </w:r>
    </w:p>
    <w:p w14:paraId="42D878E5" w14:textId="6495E319" w:rsidR="00B419CC" w:rsidRDefault="00B419CC" w:rsidP="00B419CC">
      <w:pPr>
        <w:pStyle w:val="BodyTextIndent"/>
      </w:pPr>
      <w:r>
        <w:t>2. zawartości produktów i konstrukcji beztytoniowych produktów zawierających nikotynę zgodnie z art. 6;</w:t>
      </w:r>
    </w:p>
    <w:p w14:paraId="7DFC3DC0" w14:textId="73DB7110" w:rsidR="00B419CC" w:rsidRDefault="00B419CC" w:rsidP="00B419CC">
      <w:pPr>
        <w:pStyle w:val="BodyTextIndent"/>
      </w:pPr>
      <w:bookmarkStart w:id="25" w:name="_Hlk90848136"/>
      <w:r>
        <w:t xml:space="preserve">3. treści i wyglądu oświadczenia o zawartości zgodnie z art. 7; </w:t>
      </w:r>
    </w:p>
    <w:p w14:paraId="3962D9BE" w14:textId="448D5917" w:rsidR="00C5425C" w:rsidRDefault="00C5425C" w:rsidP="00B419CC">
      <w:pPr>
        <w:pStyle w:val="BodyTextIndent"/>
      </w:pPr>
      <w:r>
        <w:t>4. tego, w jaki sposób należy projektować i eksponować ostrzeżenie zdrowotne zgodnie z art. 7 i 10;</w:t>
      </w:r>
    </w:p>
    <w:p w14:paraId="3EF40E28" w14:textId="6C3D321D" w:rsidR="00B419CC" w:rsidRDefault="00E54491" w:rsidP="00B419CC">
      <w:pPr>
        <w:pStyle w:val="BodyTextIndent"/>
      </w:pPr>
      <w:r>
        <w:t xml:space="preserve">5. wykonania obowiązku sprawozdawczego zgodnie z art. 14; </w:t>
      </w:r>
    </w:p>
    <w:p w14:paraId="2DB47D5A" w14:textId="7D9FAD54" w:rsidR="00B419CC" w:rsidRDefault="00E54491" w:rsidP="00B419CC">
      <w:pPr>
        <w:pStyle w:val="BodyTextIndent"/>
      </w:pPr>
      <w:r>
        <w:t>6. systemu gromadzenia informacji zgodnie z art. 15;</w:t>
      </w:r>
    </w:p>
    <w:p w14:paraId="119AD2CB" w14:textId="324D6419" w:rsidR="00B419CC" w:rsidRDefault="00E54491" w:rsidP="00B419CC">
      <w:pPr>
        <w:pStyle w:val="BodyTextIndent"/>
      </w:pPr>
      <w:r>
        <w:t>7. obowiązku informowania zgodnie z art. 16 ustęp drugi;</w:t>
      </w:r>
    </w:p>
    <w:p w14:paraId="665B2553" w14:textId="076E32EC" w:rsidR="00B419CC" w:rsidRDefault="00B419CC" w:rsidP="00B419CC">
      <w:pPr>
        <w:pStyle w:val="BodyTextIndent"/>
      </w:pPr>
      <w:r>
        <w:t>8. projektowania programów samokontroli zgodnie z art. 18;</w:t>
      </w:r>
    </w:p>
    <w:p w14:paraId="70D50289" w14:textId="133E601B" w:rsidR="00B419CC" w:rsidRDefault="00B419CC" w:rsidP="00B419CC">
      <w:pPr>
        <w:pStyle w:val="BodyTextIndent"/>
      </w:pPr>
      <w:r>
        <w:t>9. realizacji zakupów kontrolnych zgodnie z art. 37; oraz</w:t>
      </w:r>
    </w:p>
    <w:p w14:paraId="4097D5C2" w14:textId="2BB75579" w:rsidR="00184537" w:rsidRDefault="00B419CC" w:rsidP="00B419CC">
      <w:pPr>
        <w:pStyle w:val="BodyTextIndent"/>
      </w:pPr>
      <w:r>
        <w:t>10. wysokości opłat zgodnie z art. 41.</w:t>
      </w:r>
    </w:p>
    <w:bookmarkEnd w:id="25"/>
    <w:p w14:paraId="229D9285" w14:textId="77777777" w:rsidR="008577A8" w:rsidRPr="00811E52" w:rsidRDefault="008577A8" w:rsidP="00811E52">
      <w:pPr>
        <w:pStyle w:val="Slutstreck"/>
      </w:pPr>
      <w:r>
        <w:t>                      </w:t>
      </w:r>
    </w:p>
    <w:p w14:paraId="120ACE43" w14:textId="7B641374" w:rsidR="008577A8" w:rsidRDefault="00B419CC" w:rsidP="00B419CC">
      <w:pPr>
        <w:pStyle w:val="BodyTextIndent"/>
      </w:pPr>
      <w:bookmarkStart w:id="26" w:name="_Hlk95420029"/>
      <w:bookmarkStart w:id="27" w:name="_Hlk95382843"/>
      <w:r>
        <w:t>1. Niniejsza ustawa wchodzi w życie z dniem 1 stycznia 2023 r. w odniesieniu do art. 6-8, 10, 15 i 43, z dniem 1 stycznia 2024 r. w odniesieniu do art. 5 i 14, a w innych przypadkach z dniem 1 sierpnia 2022 r.</w:t>
      </w:r>
    </w:p>
    <w:p w14:paraId="52E7FC6B" w14:textId="05F8ED34" w:rsidR="00E76AE4" w:rsidRDefault="00694683" w:rsidP="00B419CC">
      <w:pPr>
        <w:pStyle w:val="BodyTextIndent"/>
      </w:pPr>
      <w:r>
        <w:t xml:space="preserve">2. Należy zezwolić na dalsze udostępnianie konsumentom na rynku po dniu 1 stycznia 2023 r. wyrobów beztytoniowych zawierających nikotynę, </w:t>
      </w:r>
      <w:r>
        <w:lastRenderedPageBreak/>
        <w:t>wyprodukowanych lub dopuszczonych do swobodnego obrotu przed dniem 1 stycznia 2023 r., które nie spełniają wymogów dotyczących produktu zgodnie z art. 6 lub wymogów dotyczących oznakowania określonych w art. 7 i 8, chyba że stanowią one poważne zagrożenie dla zdrowia ludzkiego, nie później niż do dnia 1 lipca 2023 r.</w:t>
      </w:r>
      <w:bookmarkEnd w:id="26"/>
    </w:p>
    <w:p w14:paraId="39B09D70" w14:textId="4108205B" w:rsidR="00A87022" w:rsidRDefault="00A87022" w:rsidP="00B419CC">
      <w:pPr>
        <w:pStyle w:val="BodyTextIndent"/>
      </w:pPr>
      <w:bookmarkStart w:id="28" w:name="_Hlk95735930"/>
      <w:r>
        <w:t xml:space="preserve">3. W przypadku beztytoniowych produktów zawierających nikotynę, które zostały udostępnione konsumentom na rynku przed 1 stycznia 2024 r., zgłoszenie produktu na podstawie art. 5 nastąpi nie później niż do </w:t>
      </w:r>
      <w:bookmarkEnd w:id="28"/>
      <w:r>
        <w:t xml:space="preserve">1 lutego 2024 r. </w:t>
      </w:r>
    </w:p>
    <w:bookmarkEnd w:id="27"/>
    <w:p w14:paraId="00BBD6BB" w14:textId="3F1114D8" w:rsidR="00B419CC" w:rsidRDefault="00B419CC" w:rsidP="00B419CC">
      <w:pPr>
        <w:pStyle w:val="BodyTextIndent"/>
      </w:pPr>
    </w:p>
    <w:p w14:paraId="2DFBBCDF" w14:textId="77777777" w:rsidR="00857CA2" w:rsidRDefault="00857CA2" w:rsidP="00857CA2">
      <w:pPr>
        <w:pStyle w:val="Body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odyText"/>
    </w:pPr>
    <w:r>
      <w:rPr>
        <w:noProof/>
      </w:rP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ody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odyText"/>
    </w:pPr>
    <w:r>
      <w:rPr>
        <w:noProof/>
      </w:rP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ody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Footer"/>
      </w:pPr>
    </w:p>
  </w:footnote>
  <w:footnote w:type="continuationSeparator" w:id="0">
    <w:p w14:paraId="13112CE2" w14:textId="77777777" w:rsidR="00FA58FE" w:rsidRPr="006923D1" w:rsidRDefault="00FA58FE" w:rsidP="006923D1">
      <w:pPr>
        <w:pStyle w:val="Footer"/>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odyText"/>
    </w:pPr>
    <w:r>
      <w:rPr>
        <w:noProof/>
      </w:rP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F60971" w:rsidP="00664D04">
                          <w:pPr>
                            <w:pStyle w:val="Body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rsidR="0067147B">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odyText"/>
    </w:pPr>
    <w:r>
      <w:rPr>
        <w:noProof/>
      </w:rP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F60971" w:rsidP="00A118D8">
                          <w:pPr>
                            <w:pStyle w:val="Body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rsidR="0067147B">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ListNumber"/>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ListBullet"/>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Heading1"/>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TOC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proofState w:spelling="clean" w:grammar="clean"/>
  <w:defaultTabStop w:val="1304"/>
  <w:hyphenationZone w:val="425"/>
  <w:evenAndOddHeaders/>
  <w:characterSpacingControl w:val="doNotCompress"/>
  <w:hdrShapeDefaults>
    <o:shapedefaults v:ext="edit" spidmax="696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0971"/>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Heading1">
    <w:name w:val="heading 1"/>
    <w:basedOn w:val="RKbas"/>
    <w:next w:val="BodyText"/>
    <w:link w:val="Heading1Char"/>
    <w:qFormat/>
    <w:rsid w:val="00B669F3"/>
    <w:pPr>
      <w:keepNext/>
      <w:numPr>
        <w:numId w:val="25"/>
      </w:numPr>
      <w:spacing w:before="720" w:after="240"/>
      <w:outlineLvl w:val="0"/>
    </w:pPr>
    <w:rPr>
      <w:kern w:val="28"/>
      <w:sz w:val="30"/>
    </w:rPr>
  </w:style>
  <w:style w:type="paragraph" w:styleId="Heading2">
    <w:name w:val="heading 2"/>
    <w:basedOn w:val="RKbas"/>
    <w:next w:val="BodyText"/>
    <w:link w:val="Heading2Char"/>
    <w:qFormat/>
    <w:rsid w:val="00B669F3"/>
    <w:pPr>
      <w:keepNext/>
      <w:numPr>
        <w:ilvl w:val="1"/>
        <w:numId w:val="25"/>
      </w:numPr>
      <w:spacing w:before="480" w:after="160"/>
      <w:outlineLvl w:val="1"/>
    </w:pPr>
    <w:rPr>
      <w:sz w:val="26"/>
    </w:rPr>
  </w:style>
  <w:style w:type="paragraph" w:styleId="Heading3">
    <w:name w:val="heading 3"/>
    <w:basedOn w:val="RKbas"/>
    <w:next w:val="BodyText"/>
    <w:link w:val="Heading3Char"/>
    <w:qFormat/>
    <w:rsid w:val="00B669F3"/>
    <w:pPr>
      <w:keepNext/>
      <w:numPr>
        <w:ilvl w:val="2"/>
        <w:numId w:val="25"/>
      </w:numPr>
      <w:spacing w:before="400" w:after="120"/>
      <w:outlineLvl w:val="2"/>
    </w:pPr>
    <w:rPr>
      <w:b/>
      <w:sz w:val="23"/>
    </w:rPr>
  </w:style>
  <w:style w:type="paragraph" w:styleId="Heading4">
    <w:name w:val="heading 4"/>
    <w:basedOn w:val="RKbas"/>
    <w:next w:val="BodyText"/>
    <w:link w:val="Heading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Heading5">
    <w:name w:val="heading 5"/>
    <w:basedOn w:val="Normal"/>
    <w:next w:val="Normal"/>
    <w:link w:val="Heading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odyText">
    <w:name w:val="Body Text"/>
    <w:basedOn w:val="RKbas"/>
    <w:next w:val="BodyTextIndent"/>
    <w:link w:val="Body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odyTextChar">
    <w:name w:val="Body Text Char"/>
    <w:basedOn w:val="DefaultParagraphFont"/>
    <w:link w:val="BodyText"/>
    <w:rsid w:val="000B3DDA"/>
    <w:rPr>
      <w:rFonts w:ascii="Times New Roman" w:eastAsia="Times New Roman" w:hAnsi="Times New Roman" w:cs="Times New Roman"/>
      <w:sz w:val="20"/>
      <w:szCs w:val="20"/>
    </w:rPr>
  </w:style>
  <w:style w:type="paragraph" w:styleId="BodyTextIndent">
    <w:name w:val="Body Text Indent"/>
    <w:basedOn w:val="BodyText"/>
    <w:link w:val="BodyTextIndentChar"/>
    <w:qFormat/>
    <w:rsid w:val="006E0779"/>
    <w:pPr>
      <w:ind w:firstLine="170"/>
    </w:pPr>
  </w:style>
  <w:style w:type="character" w:customStyle="1" w:styleId="BodyTextIndentChar">
    <w:name w:val="Body Text Indent Char"/>
    <w:basedOn w:val="DefaultParagraphFont"/>
    <w:link w:val="BodyTextIndent"/>
    <w:rsid w:val="000B3DDA"/>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B0103B"/>
    <w:rPr>
      <w:rFonts w:ascii="Times New Roman" w:hAnsi="Times New Roman"/>
      <w:kern w:val="28"/>
      <w:sz w:val="30"/>
    </w:rPr>
  </w:style>
  <w:style w:type="character" w:customStyle="1" w:styleId="Heading2Char">
    <w:name w:val="Heading 2 Char"/>
    <w:basedOn w:val="DefaultParagraphFont"/>
    <w:link w:val="Heading2"/>
    <w:rsid w:val="00B0103B"/>
    <w:rPr>
      <w:rFonts w:ascii="Times New Roman" w:hAnsi="Times New Roman"/>
      <w:sz w:val="26"/>
    </w:rPr>
  </w:style>
  <w:style w:type="character" w:customStyle="1" w:styleId="Heading3Char">
    <w:name w:val="Heading 3 Char"/>
    <w:basedOn w:val="DefaultParagraphFont"/>
    <w:link w:val="Heading3"/>
    <w:uiPriority w:val="14"/>
    <w:rsid w:val="00B0103B"/>
    <w:rPr>
      <w:rFonts w:ascii="Times New Roman" w:hAnsi="Times New Roman"/>
      <w:b/>
      <w:sz w:val="23"/>
    </w:rPr>
  </w:style>
  <w:style w:type="character" w:customStyle="1" w:styleId="Heading4Char">
    <w:name w:val="Heading 4 Char"/>
    <w:basedOn w:val="DefaultParagraphFont"/>
    <w:link w:val="Heading4"/>
    <w:uiPriority w:val="8"/>
    <w:semiHidden/>
    <w:rsid w:val="00914A74"/>
    <w:rPr>
      <w:rFonts w:ascii="Times New Roman" w:eastAsiaTheme="majorEastAsia" w:hAnsi="Times New Roman" w:cstheme="majorBidi"/>
      <w:b/>
      <w:bCs/>
      <w:iCs/>
      <w:sz w:val="20"/>
    </w:rPr>
  </w:style>
  <w:style w:type="character" w:customStyle="1" w:styleId="Heading5Char">
    <w:name w:val="Heading 5 Char"/>
    <w:basedOn w:val="DefaultParagraphFont"/>
    <w:link w:val="Heading5"/>
    <w:uiPriority w:val="8"/>
    <w:semiHidden/>
    <w:rsid w:val="00914A74"/>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uiPriority w:val="8"/>
    <w:semiHidden/>
    <w:rsid w:val="00914A74"/>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ody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DefaultParagraphFon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ody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ody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ody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ody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otnoteText">
    <w:name w:val="footnote text"/>
    <w:basedOn w:val="RKbas"/>
    <w:link w:val="Footnote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otnoteTextChar">
    <w:name w:val="Footnote Text Char"/>
    <w:basedOn w:val="DefaultParagraphFont"/>
    <w:link w:val="FootnoteText"/>
    <w:uiPriority w:val="4"/>
    <w:rsid w:val="00914A74"/>
    <w:rPr>
      <w:rFonts w:ascii="Times New Roman" w:eastAsia="Times New Roman" w:hAnsi="Times New Roman" w:cs="Times New Roman"/>
      <w:sz w:val="16"/>
      <w:szCs w:val="20"/>
    </w:rPr>
  </w:style>
  <w:style w:type="character" w:styleId="FootnoteReference">
    <w:name w:val="footnote reference"/>
    <w:basedOn w:val="DefaultParagraphFont"/>
    <w:uiPriority w:val="4"/>
    <w:semiHidden/>
    <w:rsid w:val="00113CC6"/>
    <w:rPr>
      <w:vertAlign w:val="superscript"/>
    </w:rPr>
  </w:style>
  <w:style w:type="paragraph" w:customStyle="1" w:styleId="Bilagarubrik">
    <w:name w:val="Bilaga rubrik"/>
    <w:basedOn w:val="Proprubrik"/>
    <w:next w:val="Body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odyText"/>
    <w:next w:val="BodyText"/>
    <w:link w:val="ProprubrikChar"/>
    <w:semiHidden/>
    <w:rsid w:val="001166EB"/>
    <w:pPr>
      <w:jc w:val="left"/>
      <w:outlineLvl w:val="0"/>
    </w:pPr>
    <w:rPr>
      <w:sz w:val="30"/>
    </w:rPr>
  </w:style>
  <w:style w:type="character" w:customStyle="1" w:styleId="ProprubrikChar">
    <w:name w:val="Prop. rubrik Char"/>
    <w:basedOn w:val="Body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ody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Header">
    <w:name w:val="header"/>
    <w:basedOn w:val="Normal"/>
    <w:link w:val="HeaderChar"/>
    <w:semiHidden/>
    <w:rsid w:val="00F8009C"/>
    <w:pPr>
      <w:tabs>
        <w:tab w:val="center" w:pos="4536"/>
        <w:tab w:val="right" w:pos="9072"/>
      </w:tabs>
    </w:pPr>
  </w:style>
  <w:style w:type="character" w:customStyle="1" w:styleId="HeaderChar">
    <w:name w:val="Header Char"/>
    <w:basedOn w:val="DefaultParagraphFont"/>
    <w:link w:val="Header"/>
    <w:semiHidden/>
    <w:rsid w:val="000A6F2D"/>
    <w:rPr>
      <w:rFonts w:eastAsia="Times New Roman" w:cs="Times New Roman"/>
      <w:szCs w:val="20"/>
    </w:rPr>
  </w:style>
  <w:style w:type="paragraph" w:styleId="Footer">
    <w:name w:val="footer"/>
    <w:basedOn w:val="Normal"/>
    <w:link w:val="FooterChar"/>
    <w:semiHidden/>
    <w:rsid w:val="00F8009C"/>
    <w:pPr>
      <w:tabs>
        <w:tab w:val="center" w:pos="4536"/>
        <w:tab w:val="right" w:pos="9072"/>
      </w:tabs>
    </w:pPr>
  </w:style>
  <w:style w:type="character" w:customStyle="1" w:styleId="FooterChar">
    <w:name w:val="Footer Char"/>
    <w:basedOn w:val="DefaultParagraphFont"/>
    <w:link w:val="Footer"/>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ody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odyText"/>
    <w:next w:val="BodyText"/>
    <w:link w:val="ProputdragChar"/>
    <w:semiHidden/>
    <w:rsid w:val="0081778B"/>
  </w:style>
  <w:style w:type="character" w:customStyle="1" w:styleId="ProputdragChar">
    <w:name w:val="Prop. utdrag Char"/>
    <w:basedOn w:val="BodyTextChar"/>
    <w:link w:val="Proputdrag"/>
    <w:semiHidden/>
    <w:rsid w:val="007648F2"/>
    <w:rPr>
      <w:rFonts w:ascii="Times New Roman" w:eastAsia="Times New Roman" w:hAnsi="Times New Roman" w:cs="Times New Roman"/>
      <w:sz w:val="20"/>
      <w:szCs w:val="20"/>
    </w:rPr>
  </w:style>
  <w:style w:type="paragraph" w:styleId="TOC1">
    <w:name w:val="toc 1"/>
    <w:basedOn w:val="RKbas"/>
    <w:next w:val="BodyText"/>
    <w:link w:val="TOC1Char"/>
    <w:uiPriority w:val="39"/>
    <w:semiHidden/>
    <w:rsid w:val="00B07A32"/>
    <w:pPr>
      <w:tabs>
        <w:tab w:val="right" w:leader="dot" w:pos="5880"/>
      </w:tabs>
      <w:spacing w:before="100"/>
      <w:ind w:left="397" w:right="510" w:hanging="397"/>
    </w:pPr>
    <w:rPr>
      <w:noProof/>
      <w:sz w:val="20"/>
    </w:rPr>
  </w:style>
  <w:style w:type="character" w:customStyle="1" w:styleId="TOC1Char">
    <w:name w:val="TOC 1 Char"/>
    <w:basedOn w:val="RKbasChar"/>
    <w:link w:val="TOC1"/>
    <w:uiPriority w:val="39"/>
    <w:semiHidden/>
    <w:rsid w:val="00BD3326"/>
    <w:rPr>
      <w:rFonts w:ascii="Times New Roman" w:hAnsi="Times New Roman"/>
      <w:noProof/>
      <w:sz w:val="20"/>
    </w:rPr>
  </w:style>
  <w:style w:type="paragraph" w:styleId="TOC2">
    <w:name w:val="toc 2"/>
    <w:basedOn w:val="RKbas"/>
    <w:next w:val="BodyText"/>
    <w:link w:val="TOC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TOC2Char">
    <w:name w:val="TOC 2 Char"/>
    <w:basedOn w:val="RKbasChar"/>
    <w:link w:val="TOC2"/>
    <w:uiPriority w:val="39"/>
    <w:semiHidden/>
    <w:rsid w:val="00B07A32"/>
    <w:rPr>
      <w:rFonts w:ascii="Times New Roman" w:eastAsia="Times New Roman" w:hAnsi="Times New Roman" w:cs="Times New Roman"/>
      <w:noProof/>
      <w:sz w:val="20"/>
      <w:szCs w:val="20"/>
    </w:rPr>
  </w:style>
  <w:style w:type="paragraph" w:styleId="TOC3">
    <w:name w:val="toc 3"/>
    <w:basedOn w:val="RKbas"/>
    <w:next w:val="BodyText"/>
    <w:link w:val="TOC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TOC3Char">
    <w:name w:val="TOC 3 Char"/>
    <w:basedOn w:val="RKbasChar"/>
    <w:link w:val="TOC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ody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ceholderText">
    <w:name w:val="Placeholder Text"/>
    <w:basedOn w:val="DefaultParagraphFont"/>
    <w:uiPriority w:val="99"/>
    <w:semiHidden/>
    <w:rsid w:val="00876795"/>
    <w:rPr>
      <w:color w:val="808080"/>
    </w:rPr>
  </w:style>
  <w:style w:type="paragraph" w:styleId="TOC4">
    <w:name w:val="toc 4"/>
    <w:basedOn w:val="RKbas"/>
    <w:next w:val="BodyText"/>
    <w:link w:val="TOC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TOC4Char">
    <w:name w:val="TOC 4 Char"/>
    <w:basedOn w:val="RKbasChar"/>
    <w:link w:val="TOC4"/>
    <w:uiPriority w:val="39"/>
    <w:semiHidden/>
    <w:rsid w:val="00203904"/>
    <w:rPr>
      <w:rFonts w:ascii="Times New Roman" w:hAnsi="Times New Roman"/>
      <w:sz w:val="20"/>
    </w:rPr>
  </w:style>
  <w:style w:type="paragraph" w:styleId="TOC5">
    <w:name w:val="toc 5"/>
    <w:basedOn w:val="RKbas"/>
    <w:next w:val="BodyText"/>
    <w:link w:val="TOC5Char"/>
    <w:uiPriority w:val="39"/>
    <w:semiHidden/>
    <w:rsid w:val="00465E66"/>
    <w:pPr>
      <w:tabs>
        <w:tab w:val="left" w:pos="510"/>
        <w:tab w:val="right" w:leader="dot" w:pos="5880"/>
      </w:tabs>
      <w:spacing w:before="100"/>
      <w:ind w:left="851" w:right="510" w:hanging="851"/>
    </w:pPr>
    <w:rPr>
      <w:sz w:val="20"/>
    </w:rPr>
  </w:style>
  <w:style w:type="character" w:customStyle="1" w:styleId="TOC5Char">
    <w:name w:val="TOC 5 Char"/>
    <w:basedOn w:val="RKbasChar"/>
    <w:link w:val="TOC5"/>
    <w:uiPriority w:val="39"/>
    <w:semiHidden/>
    <w:rsid w:val="007064DA"/>
    <w:rPr>
      <w:rFonts w:ascii="Times New Roman" w:hAnsi="Times New Roman"/>
      <w:sz w:val="20"/>
    </w:rPr>
  </w:style>
  <w:style w:type="paragraph" w:styleId="TOC6">
    <w:name w:val="toc 6"/>
    <w:basedOn w:val="RKbas"/>
    <w:next w:val="BodyText"/>
    <w:link w:val="TOC6Char"/>
    <w:uiPriority w:val="39"/>
    <w:semiHidden/>
    <w:rsid w:val="00465E66"/>
    <w:pPr>
      <w:tabs>
        <w:tab w:val="left" w:pos="510"/>
        <w:tab w:val="right" w:leader="dot" w:pos="5880"/>
      </w:tabs>
      <w:spacing w:before="100"/>
      <w:ind w:left="851" w:right="510" w:hanging="851"/>
    </w:pPr>
    <w:rPr>
      <w:sz w:val="20"/>
    </w:rPr>
  </w:style>
  <w:style w:type="character" w:customStyle="1" w:styleId="TOC6Char">
    <w:name w:val="TOC 6 Char"/>
    <w:basedOn w:val="RKbasChar"/>
    <w:link w:val="TOC6"/>
    <w:uiPriority w:val="39"/>
    <w:semiHidden/>
    <w:rsid w:val="007064DA"/>
    <w:rPr>
      <w:rFonts w:ascii="Times New Roman" w:hAnsi="Times New Roman"/>
      <w:sz w:val="20"/>
    </w:rPr>
  </w:style>
  <w:style w:type="paragraph" w:styleId="BalloonText">
    <w:name w:val="Balloon Text"/>
    <w:basedOn w:val="Normal"/>
    <w:link w:val="BalloonTextChar"/>
    <w:uiPriority w:val="99"/>
    <w:semiHidden/>
    <w:unhideWhenUsed/>
    <w:rsid w:val="009D1AD6"/>
    <w:rPr>
      <w:rFonts w:ascii="Tahoma" w:hAnsi="Tahoma" w:cs="Tahoma"/>
      <w:sz w:val="16"/>
      <w:szCs w:val="16"/>
    </w:rPr>
  </w:style>
  <w:style w:type="character" w:customStyle="1" w:styleId="BalloonTextChar">
    <w:name w:val="Balloon Text Char"/>
    <w:basedOn w:val="DefaultParagraphFont"/>
    <w:link w:val="Balloon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ListBullet">
    <w:name w:val="List Bullet"/>
    <w:basedOn w:val="BodyText"/>
    <w:link w:val="ListBulletChar"/>
    <w:uiPriority w:val="11"/>
    <w:qFormat/>
    <w:rsid w:val="00884D66"/>
    <w:pPr>
      <w:numPr>
        <w:ilvl w:val="1"/>
        <w:numId w:val="32"/>
      </w:numPr>
      <w:contextualSpacing/>
    </w:pPr>
  </w:style>
  <w:style w:type="character" w:customStyle="1" w:styleId="ListBulletChar">
    <w:name w:val="List Bullet Char"/>
    <w:basedOn w:val="BodyTextChar"/>
    <w:link w:val="ListBullet"/>
    <w:uiPriority w:val="11"/>
    <w:rsid w:val="00CE501F"/>
    <w:rPr>
      <w:rFonts w:ascii="Times New Roman" w:eastAsia="Times New Roman" w:hAnsi="Times New Roman" w:cs="Times New Roman"/>
      <w:sz w:val="20"/>
      <w:szCs w:val="20"/>
    </w:rPr>
  </w:style>
  <w:style w:type="paragraph" w:customStyle="1" w:styleId="Strecklista">
    <w:name w:val="Strecklista"/>
    <w:basedOn w:val="ListBullet"/>
    <w:link w:val="StrecklistaChar"/>
    <w:uiPriority w:val="14"/>
    <w:qFormat/>
    <w:rsid w:val="008B5B8D"/>
    <w:pPr>
      <w:numPr>
        <w:numId w:val="41"/>
      </w:numPr>
    </w:pPr>
  </w:style>
  <w:style w:type="character" w:customStyle="1" w:styleId="StrecklistaChar">
    <w:name w:val="Strecklista Char"/>
    <w:basedOn w:val="ListBulletChar"/>
    <w:link w:val="Strecklista"/>
    <w:uiPriority w:val="14"/>
    <w:rsid w:val="000A6F2D"/>
    <w:rPr>
      <w:rFonts w:ascii="Times New Roman" w:eastAsia="Times New Roman" w:hAnsi="Times New Roman" w:cs="Times New Roman"/>
      <w:sz w:val="20"/>
      <w:szCs w:val="20"/>
    </w:rPr>
  </w:style>
  <w:style w:type="paragraph" w:styleId="ListNumber">
    <w:name w:val="List Number"/>
    <w:basedOn w:val="BodyText"/>
    <w:link w:val="ListNumberChar"/>
    <w:uiPriority w:val="4"/>
    <w:qFormat/>
    <w:rsid w:val="005F4EBB"/>
    <w:pPr>
      <w:numPr>
        <w:ilvl w:val="1"/>
        <w:numId w:val="27"/>
      </w:numPr>
      <w:contextualSpacing/>
    </w:pPr>
  </w:style>
  <w:style w:type="character" w:customStyle="1" w:styleId="ListNumberChar">
    <w:name w:val="List Number Char"/>
    <w:basedOn w:val="BodyTextChar"/>
    <w:link w:val="ListNumber"/>
    <w:uiPriority w:val="4"/>
    <w:rsid w:val="00914A74"/>
    <w:rPr>
      <w:rFonts w:ascii="Times New Roman" w:eastAsia="Times New Roman" w:hAnsi="Times New Roman" w:cs="Times New Roman"/>
      <w:sz w:val="20"/>
      <w:szCs w:val="20"/>
    </w:rPr>
  </w:style>
  <w:style w:type="paragraph" w:customStyle="1" w:styleId="Brdtextram">
    <w:name w:val="Brödtext ram"/>
    <w:basedOn w:val="Body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odyTextIndent"/>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ody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ListNumber"/>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odyTextIndent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ListNumber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ListBullet"/>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ListBullet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odyText"/>
    <w:next w:val="BodyTextIndent"/>
    <w:link w:val="SlutstreckChar"/>
    <w:semiHidden/>
    <w:qFormat/>
    <w:rsid w:val="003B0EF7"/>
    <w:pPr>
      <w:spacing w:after="240"/>
    </w:pPr>
    <w:rPr>
      <w:spacing w:val="34"/>
      <w:u w:val="single"/>
    </w:rPr>
  </w:style>
  <w:style w:type="character" w:customStyle="1" w:styleId="SlutstreckChar">
    <w:name w:val="Slutstreck Char"/>
    <w:basedOn w:val="BodyTextChar"/>
    <w:link w:val="Slutstreck"/>
    <w:semiHidden/>
    <w:rsid w:val="00F214E2"/>
    <w:rPr>
      <w:rFonts w:ascii="Times New Roman" w:eastAsia="Times New Roman" w:hAnsi="Times New Roman" w:cs="Times New Roman"/>
      <w:spacing w:val="34"/>
      <w:sz w:val="20"/>
      <w:szCs w:val="20"/>
      <w:u w:val="single"/>
    </w:rPr>
  </w:style>
  <w:style w:type="paragraph" w:styleId="Quote">
    <w:name w:val="Quote"/>
    <w:basedOn w:val="BodyText"/>
    <w:next w:val="BodyText"/>
    <w:link w:val="QuoteChar"/>
    <w:uiPriority w:val="4"/>
    <w:qFormat/>
    <w:rsid w:val="00244011"/>
    <w:pPr>
      <w:spacing w:before="120" w:after="240"/>
      <w:ind w:left="454"/>
    </w:pPr>
    <w:rPr>
      <w:iCs/>
      <w:sz w:val="19"/>
    </w:rPr>
  </w:style>
  <w:style w:type="character" w:customStyle="1" w:styleId="QuoteChar">
    <w:name w:val="Quote Char"/>
    <w:basedOn w:val="DefaultParagraphFont"/>
    <w:link w:val="Quote"/>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NoList"/>
    <w:uiPriority w:val="99"/>
    <w:semiHidden/>
    <w:rsid w:val="00490ACA"/>
    <w:pPr>
      <w:numPr>
        <w:numId w:val="10"/>
      </w:numPr>
    </w:pPr>
  </w:style>
  <w:style w:type="paragraph" w:customStyle="1" w:styleId="FigurFotnot">
    <w:name w:val="Figur Fotnot"/>
    <w:basedOn w:val="BodyText"/>
    <w:next w:val="Body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ody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odyText"/>
    <w:next w:val="BodyTextIndent"/>
    <w:link w:val="BrdtextefternumreradlistaChar"/>
    <w:uiPriority w:val="5"/>
    <w:rsid w:val="00E72942"/>
    <w:pPr>
      <w:numPr>
        <w:numId w:val="27"/>
      </w:numPr>
      <w:spacing w:before="230"/>
    </w:pPr>
  </w:style>
  <w:style w:type="character" w:customStyle="1" w:styleId="BrdtextefternumreradlistaChar">
    <w:name w:val="Brödtext efter numrerad lista Char"/>
    <w:basedOn w:val="Body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odyText"/>
    <w:next w:val="BodyTextIndent"/>
    <w:link w:val="Brdtextefternr-listaramChar"/>
    <w:uiPriority w:val="7"/>
    <w:rsid w:val="00AD6662"/>
    <w:pPr>
      <w:numPr>
        <w:numId w:val="29"/>
      </w:numPr>
      <w:spacing w:before="90"/>
    </w:pPr>
  </w:style>
  <w:style w:type="character" w:customStyle="1" w:styleId="Brdtextefternr-listaramChar">
    <w:name w:val="Brödtext efter nr-lista ram Char"/>
    <w:basedOn w:val="Body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odyText"/>
    <w:next w:val="BodyTextIndent"/>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ody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odyText"/>
    <w:next w:val="BodyTextIndent"/>
    <w:link w:val="BrdtextefterstrecklistaChar"/>
    <w:uiPriority w:val="15"/>
    <w:rsid w:val="00E72942"/>
    <w:pPr>
      <w:numPr>
        <w:numId w:val="41"/>
      </w:numPr>
      <w:spacing w:before="230"/>
    </w:pPr>
  </w:style>
  <w:style w:type="character" w:customStyle="1" w:styleId="BrdtextefterstrecklistaChar">
    <w:name w:val="Brödtext efter strecklista Char"/>
    <w:basedOn w:val="Body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odyText"/>
    <w:next w:val="BodyTextIndent"/>
    <w:link w:val="Brdtextefterpkt-listaramChar"/>
    <w:uiPriority w:val="13"/>
    <w:rsid w:val="00AD6662"/>
    <w:pPr>
      <w:numPr>
        <w:numId w:val="39"/>
      </w:numPr>
      <w:spacing w:before="90"/>
    </w:pPr>
  </w:style>
  <w:style w:type="character" w:customStyle="1" w:styleId="Brdtextefterpkt-listaramChar">
    <w:name w:val="Brödtext efter pkt-lista ram Char"/>
    <w:basedOn w:val="Body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odyText"/>
    <w:next w:val="BodyTextIndent"/>
    <w:link w:val="BrdtextefterstrlistaramChar"/>
    <w:uiPriority w:val="17"/>
    <w:rsid w:val="00AD6662"/>
    <w:pPr>
      <w:numPr>
        <w:numId w:val="42"/>
      </w:numPr>
      <w:spacing w:before="90"/>
    </w:pPr>
  </w:style>
  <w:style w:type="character" w:customStyle="1" w:styleId="BrdtextefterstrlistaramChar">
    <w:name w:val="Brödtext efter str.lista ram Char"/>
    <w:basedOn w:val="BodyTextChar"/>
    <w:link w:val="Brdtextefterstrlistaram"/>
    <w:uiPriority w:val="17"/>
    <w:rsid w:val="005F48D9"/>
    <w:rPr>
      <w:rFonts w:ascii="Times New Roman" w:eastAsia="Times New Roman" w:hAnsi="Times New Roman" w:cs="Times New Roman"/>
      <w:sz w:val="20"/>
      <w:szCs w:val="20"/>
    </w:rPr>
  </w:style>
  <w:style w:type="character" w:styleId="Hyperlink">
    <w:name w:val="Hyperlink"/>
    <w:basedOn w:val="DefaultParagraphFont"/>
    <w:uiPriority w:val="99"/>
    <w:semiHidden/>
    <w:rsid w:val="00CC7E2B"/>
    <w:rPr>
      <w:color w:val="0000FF" w:themeColor="hyperlink"/>
      <w:u w:val="single"/>
    </w:rPr>
  </w:style>
  <w:style w:type="paragraph" w:styleId="Title">
    <w:name w:val="Title"/>
    <w:basedOn w:val="Normal"/>
    <w:next w:val="Normal"/>
    <w:link w:val="Title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odyText"/>
    <w:semiHidden/>
    <w:rsid w:val="00F925FA"/>
    <w:pPr>
      <w:tabs>
        <w:tab w:val="left" w:pos="2126"/>
      </w:tabs>
      <w:spacing w:after="760"/>
    </w:pPr>
  </w:style>
  <w:style w:type="character" w:styleId="CommentReference">
    <w:name w:val="annotation reference"/>
    <w:basedOn w:val="DefaultParagraphFont"/>
    <w:uiPriority w:val="99"/>
    <w:semiHidden/>
    <w:rsid w:val="00C61521"/>
    <w:rPr>
      <w:sz w:val="16"/>
      <w:szCs w:val="16"/>
    </w:rPr>
  </w:style>
  <w:style w:type="paragraph" w:styleId="CommentText">
    <w:name w:val="annotation text"/>
    <w:basedOn w:val="Normal"/>
    <w:link w:val="CommentTextChar"/>
    <w:uiPriority w:val="99"/>
    <w:semiHidden/>
    <w:rsid w:val="00C61521"/>
    <w:pPr>
      <w:spacing w:line="240" w:lineRule="auto"/>
    </w:pPr>
    <w:rPr>
      <w:sz w:val="20"/>
    </w:rPr>
  </w:style>
  <w:style w:type="character" w:customStyle="1" w:styleId="CommentTextChar">
    <w:name w:val="Comment Text Char"/>
    <w:basedOn w:val="DefaultParagraphFont"/>
    <w:link w:val="CommentText"/>
    <w:uiPriority w:val="99"/>
    <w:semiHidden/>
    <w:rsid w:val="00C6152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C61521"/>
    <w:rPr>
      <w:b/>
      <w:bCs/>
    </w:rPr>
  </w:style>
  <w:style w:type="character" w:customStyle="1" w:styleId="CommentSubjectChar">
    <w:name w:val="Comment Subject Char"/>
    <w:basedOn w:val="CommentTextChar"/>
    <w:link w:val="CommentSubject"/>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dokumentvärden xmlns="http://rkdhs/mallar/lagstiftning/Lrr/Lrr-kapitel.xsd">
  <departementsenhet id=""/>
  <titel/>
  <template id="12"/>
</dokumentvärden>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2.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3.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4.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3187</Words>
  <Characters>18170</Characters>
  <Application>Microsoft Office Word</Application>
  <DocSecurity>0</DocSecurity>
  <Lines>151</Lines>
  <Paragraphs>42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Liana Brili</cp:lastModifiedBy>
  <cp:revision>3</cp:revision>
  <cp:lastPrinted>2022-03-11T14:57:00Z</cp:lastPrinted>
  <dcterms:created xsi:type="dcterms:W3CDTF">2022-03-17T12:13:00Z</dcterms:created>
  <dcterms:modified xsi:type="dcterms:W3CDTF">2022-03-31T14:46:00Z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