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ФЕДЕРАЛЕН ДЪРЖАВЕН ВЕСТНИК</w:t>
      </w:r>
    </w:p>
    <w:p w:rsidR="00F10F73" w:rsidRPr="00EB5BAD" w:rsidRDefault="00F10F73" w:rsidP="00EB60F8">
      <w:pPr>
        <w:pStyle w:val="03RepOesterr"/>
      </w:pPr>
      <w:r>
        <w:t xml:space="preserve">НА РЕПУБЛИКА АВСТРИЯ</w:t>
      </w:r>
    </w:p>
    <w:p w:rsidR="00F10F73" w:rsidRPr="00EB5BAD" w:rsidRDefault="00F10F73" w:rsidP="00EB60F8">
      <w:pPr>
        <w:pStyle w:val="04AusgabeDaten"/>
      </w:pPr>
      <w:r>
        <w:t xml:space="preserve">2020-а година</w:t>
      </w:r>
      <w:r>
        <w:tab/>
      </w:r>
      <w:r>
        <w:t xml:space="preserve">Издадено на 18 февруари 2020 г.</w:t>
      </w:r>
      <w:r>
        <w:tab/>
      </w:r>
      <w:r>
        <w:t xml:space="preserve">Част II</w:t>
      </w:r>
    </w:p>
    <w:p w:rsidR="00F10F73" w:rsidRPr="00EB5BAD" w:rsidRDefault="00F10F73" w:rsidP="00EB60F8">
      <w:pPr>
        <w:pStyle w:val="05Kurztitel"/>
      </w:pPr>
      <w:r>
        <w:t xml:space="preserve">30-та наредба:</w:t>
      </w:r>
      <w:r>
        <w:tab/>
      </w:r>
      <w:r>
        <w:t xml:space="preserve">Гарантиране на доставките на лекарства</w:t>
      </w:r>
    </w:p>
    <w:p w:rsidR="00F10F73" w:rsidRPr="00EB5BAD" w:rsidRDefault="00F10F73" w:rsidP="00EB60F8">
      <w:pPr>
        <w:pStyle w:val="11Titel"/>
      </w:pPr>
      <w:r>
        <w:t xml:space="preserve">30-та Наредба, издадена от федералния министър на труда, социалните въпроси, здравеопазването и защитата на потребителите, относно осигуряването на снабдяването с лекарствени продукти</w:t>
      </w:r>
    </w:p>
    <w:p w:rsidR="00F10F73" w:rsidRPr="00EB5BAD" w:rsidRDefault="00F10F73" w:rsidP="00EB60F8">
      <w:pPr>
        <w:pStyle w:val="12PromKlEinlSatz"/>
      </w:pPr>
      <w:r>
        <w:t xml:space="preserve">Съгласно § 57а, ал. 2 от Закона за лекарствата [Arzneimittelgesetz], Федерален държавен вестник № 185/1983, последно изменен с Федералния закон, публикуван във Федерален вестник I № 104/2019, и с Изменението на Закона за федералните министерства от 2020 г., Федерален вестник I № 8/2020, се приема следното:</w:t>
      </w:r>
    </w:p>
    <w:p w:rsidR="00F10F73" w:rsidRPr="00EB5BAD" w:rsidRDefault="00F10F73" w:rsidP="00EB60F8">
      <w:pPr>
        <w:pStyle w:val="51Abs"/>
      </w:pPr>
      <w:r>
        <w:rPr>
          <w:rStyle w:val="991GldSymbol"/>
        </w:rPr>
        <w:t xml:space="preserve">Параграф 1.</w:t>
      </w:r>
      <w:r>
        <w:t xml:space="preserve"> </w:t>
      </w:r>
      <w:r>
        <w:t xml:space="preserve">(1) Притежателят на разрешителното трябва незабавно да уведомява Федералната служба за сигурност в здравеопазването за всяко ограничение на дистрибуцията на представян само по лекарско предписание лекарствен продукт на територията на страната.</w:t>
      </w:r>
      <w:r>
        <w:t xml:space="preserve"> </w:t>
      </w:r>
      <w:r>
        <w:t xml:space="preserve">За ограничение на дистрибуцията се счита предполагаема, надвишаваща период от две седмици липса на наличност или предполагаема, надвишаваща период от четири седмици недостатъчна наличност на представян само по лекарско предписание лекарствен продукт за покриване на нуждите на пациентите в страната.</w:t>
      </w:r>
    </w:p>
    <w:p w:rsidR="00F10F73" w:rsidRPr="00EB5BAD" w:rsidRDefault="00F10F73" w:rsidP="00EB60F8">
      <w:pPr>
        <w:pStyle w:val="51Abs"/>
      </w:pPr>
      <w:r>
        <w:t xml:space="preserve">(2) Уведомяването по смисъла на първа алинея трябва да се извършва в съответствие с предписанията, дадени в Наредбата за предаването по електронен път на заявки и уведомления, издадена от Федералната служба за сигурност в здравеопазването (Наредба за подаването на документи по електронен път от 2011 г. — EEVO).</w:t>
      </w:r>
    </w:p>
    <w:p w:rsidR="00F10F73" w:rsidRPr="00EB5BAD" w:rsidRDefault="00F10F73" w:rsidP="00EB60F8">
      <w:pPr>
        <w:pStyle w:val="51Abs"/>
      </w:pPr>
      <w:r>
        <w:t xml:space="preserve">(3) След проверка на уведомлението по ал. 1 Федералната служба за сигурност в здравеопазването публикува само по лекарско предписание лекарствен продукт в публично достъпен списък на своята интернет страница не по-рано от деня, в който действително е настъпило ограничението на разпространението.</w:t>
      </w:r>
    </w:p>
    <w:p w:rsidR="00F10F73" w:rsidRPr="00EB5BAD" w:rsidRDefault="00F10F73" w:rsidP="00EB60F8">
      <w:pPr>
        <w:pStyle w:val="51Abs"/>
      </w:pPr>
      <w:r>
        <w:t xml:space="preserve">(4) Проверката на уведомлението на титуляря на разрешението за търговия за ограничаване на разпространението на съответния само по лекарско предписание лекарствен продукт се отнася по-специално до броя на съответните пациенти, пазарното покритие, средните стойности на продажбите, изчислените нужди и запаси, както и наличните потенциални алтернативни лекарствени продукти.</w:t>
      </w:r>
    </w:p>
    <w:p w:rsidR="00F10F73" w:rsidRPr="00EB5BAD" w:rsidRDefault="00F10F73" w:rsidP="00EB60F8">
      <w:pPr>
        <w:pStyle w:val="51Abs"/>
      </w:pPr>
      <w:r>
        <w:t xml:space="preserve">(5) Федералната служба за сигурност в здравеопазването проверява редовно дали списъкът, посочен в ал. 3, е актуален.</w:t>
      </w:r>
    </w:p>
    <w:p w:rsidR="00F10F73" w:rsidRPr="00EB5BAD" w:rsidRDefault="00F10F73" w:rsidP="00EB60F8">
      <w:pPr>
        <w:pStyle w:val="51Abs"/>
      </w:pPr>
      <w:r>
        <w:rPr>
          <w:rStyle w:val="991GldSymbol"/>
        </w:rPr>
        <w:t xml:space="preserve">Параграф 2.</w:t>
      </w:r>
      <w:r>
        <w:t xml:space="preserve"> </w:t>
      </w:r>
      <w:r>
        <w:t xml:space="preserve">(1) При отпадане на ограничението на дистрибуцията на представян само по лекарско предписание лекарствен продукт в страната притежателят на разрешителното трябва да информира Федералната служба за сигурност в здравеопазването за това.</w:t>
      </w:r>
      <w:r>
        <w:t xml:space="preserve"> </w:t>
      </w:r>
      <w:r>
        <w:t xml:space="preserve">Параграф 1, втора алинея се прилага по аналогия.</w:t>
      </w:r>
    </w:p>
    <w:p w:rsidR="00F10F73" w:rsidRPr="00EB5BAD" w:rsidRDefault="00F10F73" w:rsidP="00EB60F8">
      <w:pPr>
        <w:pStyle w:val="51Abs"/>
      </w:pPr>
      <w:r>
        <w:t xml:space="preserve">(2) Федералната служба за сигурност в здравеопазването проверява това, и в случай че ограничението за разпространение вече не е налице, незабавно заличава съответния само по лекарско предписание лекарствен продукт от списъка съгласно § 1, ал. 3.</w:t>
      </w:r>
    </w:p>
    <w:p w:rsidR="00F10F73" w:rsidRPr="00EB5BAD" w:rsidRDefault="00F10F73" w:rsidP="00EB60F8">
      <w:pPr>
        <w:pStyle w:val="51Abs"/>
      </w:pPr>
      <w:r>
        <w:t xml:space="preserve">(3) Ако титулярят на разрешението за търговия не изпълни задължението си по ал. 1, Федералната служба за сигурност в здравеопазването може, след проверка, да извърши служебно заличаване.</w:t>
      </w:r>
    </w:p>
    <w:p w:rsidR="00F10F73" w:rsidRPr="00EB5BAD" w:rsidRDefault="00F10F73" w:rsidP="00EB60F8">
      <w:pPr>
        <w:pStyle w:val="51Abs"/>
      </w:pPr>
      <w:r>
        <w:rPr>
          <w:rStyle w:val="991GldSymbol"/>
        </w:rPr>
        <w:t xml:space="preserve">Параграф 3.</w:t>
      </w:r>
      <w:r>
        <w:t xml:space="preserve"> </w:t>
      </w:r>
      <w:r>
        <w:t xml:space="preserve">(1) Ако Федералната служба за сигурност в здравеопазването получи информация, че притежателят на разрешителното не изпълнява изцяло или частично своето задължение по смисъла на параграф 1, първа алинея, след проверка по съответния случай тя трябва да публикува за общодостъпен преглед съответния лекарствен продукт в списъка съгласно параграф 1, трета алинея.</w:t>
      </w:r>
    </w:p>
    <w:p w:rsidR="00F10F73" w:rsidRPr="00EB5BAD" w:rsidRDefault="00F10F73" w:rsidP="00EB60F8">
      <w:pPr>
        <w:pStyle w:val="51Abs"/>
      </w:pPr>
      <w:r>
        <w:t xml:space="preserve">(3) Ако ограничението за разпространение, посочено в параграф 1, вече не е налице, се прилага mutatis mutandis § 2.</w:t>
      </w:r>
    </w:p>
    <w:p w:rsidR="00F10F73" w:rsidRPr="00EB5BAD" w:rsidRDefault="00F10F73" w:rsidP="00EB60F8">
      <w:pPr>
        <w:pStyle w:val="51Abs"/>
      </w:pPr>
      <w:r>
        <w:rPr>
          <w:rStyle w:val="991GldSymbol"/>
        </w:rPr>
        <w:t xml:space="preserve">Параграф 4.</w:t>
      </w:r>
      <w:r>
        <w:t xml:space="preserve"> </w:t>
      </w:r>
      <w:r>
        <w:t xml:space="preserve">(1) Ако се стигне до ограничения в снабдяването с представяни само по лекарско предписание лекарствени продукти в страната, които притежателят на разрешителното предоставя целесъобразно и непрекъснато за покриване на нуждите на пациентите в страната, със съгласието на притежателя на разрешителното Федералната служба за сигурност в здравеопазването трябва да публикува за общодостъпен преглед и тези представяни само по лекарско предписание лекарствени продукти в списъка съгласно параграф 1, трета алинея.</w:t>
      </w:r>
    </w:p>
    <w:p w:rsidR="00F10F73" w:rsidRPr="00EB5BAD" w:rsidRDefault="00F10F73" w:rsidP="00EB60F8">
      <w:pPr>
        <w:pStyle w:val="51Abs"/>
      </w:pPr>
      <w:r>
        <w:t xml:space="preserve">(2) В случай че съгласно параграф 1 вече не е налице друго ограничение, Федералната служба за сигурност в здравеопазването след проверка извършва служебно заличаване на съответния само по лекарско предписание лекарствен продукт от списъка съгласно § 1, ал. 3.</w:t>
      </w:r>
    </w:p>
    <w:p w:rsidR="00F10F73" w:rsidRPr="00EB5BAD" w:rsidRDefault="00F10F73" w:rsidP="00EB60F8">
      <w:pPr>
        <w:pStyle w:val="51Abs"/>
      </w:pPr>
      <w:r>
        <w:rPr>
          <w:rStyle w:val="991GldSymbol"/>
        </w:rPr>
        <w:t xml:space="preserve">Параграф 5.</w:t>
      </w:r>
      <w:r>
        <w:t xml:space="preserve"> </w:t>
      </w:r>
      <w:r>
        <w:t xml:space="preserve">(1) Поради съображения, свързани със защитата на общественото здравеопазване, е забранен износът в друга държава, която е страна по договора за Европейското икономическо пространство, на публикуваните в списъка на Федералната служба за сигурност в здравеопазването по смисъла на параграф 1, трета алинея представяни само по лекарско предписание лекарствени продукти.</w:t>
      </w:r>
    </w:p>
    <w:p w:rsidR="00F10F73" w:rsidRPr="00EB5BAD" w:rsidRDefault="00F10F73" w:rsidP="00EB60F8">
      <w:pPr>
        <w:pStyle w:val="51Abs"/>
      </w:pPr>
      <w:r>
        <w:t xml:space="preserve">(2) По искане на титуляря на разрешението за пускане на пазара Федералната служба за безопасност в здравеопазването издава решение относно забраната за износ, посочена в член 1.</w:t>
      </w:r>
    </w:p>
    <w:p w:rsidR="00F10F73" w:rsidRPr="00EB5BAD" w:rsidRDefault="00F10F73" w:rsidP="00EB60F8">
      <w:pPr>
        <w:pStyle w:val="51Abs"/>
      </w:pPr>
      <w:r>
        <w:rPr>
          <w:rStyle w:val="991GldSymbol"/>
        </w:rPr>
        <w:t xml:space="preserve">Параграф 6.</w:t>
      </w:r>
      <w:r>
        <w:t xml:space="preserve"> </w:t>
      </w:r>
      <w:r>
        <w:t xml:space="preserve">(2) Настоящата наредба е преминала процедура по предоставяне на информация по смисъла на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ОВ L 241, 17.9.2015 г., стр. 1.</w:t>
      </w:r>
    </w:p>
    <w:p w:rsidR="00F10F73" w:rsidRPr="00EB5BAD" w:rsidRDefault="00F10F73" w:rsidP="00EB60F8">
      <w:pPr>
        <w:pStyle w:val="51Abs"/>
      </w:pPr>
      <w:r>
        <w:rPr>
          <w:rStyle w:val="991GldSymbol"/>
        </w:rPr>
        <w:t xml:space="preserve">Параграф 7.</w:t>
      </w:r>
      <w:r>
        <w:t xml:space="preserve"> </w:t>
      </w:r>
      <w:r>
        <w:t xml:space="preserve">Настоящата наредба влиза в сила на 1 април 2020 г.</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Издаден на 18 февруари 2020 г. – №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от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Издаден на 18 февруари 2020 г. – №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от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от</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bg-BG"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bg-BG"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bg-BG"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bg-BG"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bg-BG"/>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bg-BG"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bg-BG"/>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bg-BG"/>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bg-BG"/>
    </w:rPr>
  </w:style>
  <w:style w:type="paragraph" w:customStyle="1" w:styleId="PDU1">
    <w:name w:val="PD_U1"/>
    <w:basedOn w:val="00LegStandard"/>
    <w:next w:val="Standard"/>
    <w:rsid w:val="00F10F73"/>
    <w:pPr>
      <w:tabs>
        <w:tab w:val="center" w:pos="2126"/>
        <w:tab w:val="center" w:pos="6379"/>
      </w:tabs>
      <w:spacing w:before="440"/>
    </w:pPr>
    <w:rPr>
      <w:b/>
      <w:lang w:val="bg-BG"/>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bg-BG"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bg-BG"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bg-BG"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bg-BG"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bg-BG"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bg-BG"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bg-BG"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bg-BG"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bg-BG" w:eastAsia="de-AT"/>
    </w:rPr>
  </w:style>
  <w:style w:type="paragraph" w:customStyle="1" w:styleId="58Schlussteile0Abs">
    <w:name w:val="58_Schlussteil_e0_Abs"/>
    <w:basedOn w:val="00LegStandard"/>
    <w:next w:val="51Abs"/>
    <w:rsid w:val="00F10F73"/>
    <w:pPr>
      <w:spacing w:before="40"/>
    </w:pPr>
    <w:rPr>
      <w:lang w:val="bg-BG"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bg-BG"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bg-BG"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bg-BG"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bg-BG"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bg-BG"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bg-BG"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bg-BG"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bg-BG"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bg-BG"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bg-BG"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bg-BG"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bg-BG"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bg-BG"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bg-BG"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bg-BG"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bg-BG"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bg-B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