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ΕΠΙΣΗΜΗ ΕΦΗΜΕΡΙΔΑ</w:t>
      </w:r>
    </w:p>
    <w:p w:rsidR="00F10F73" w:rsidRPr="00EB5BAD" w:rsidRDefault="00F10F73" w:rsidP="00EB60F8">
      <w:pPr>
        <w:pStyle w:val="03RepOesterr"/>
      </w:pPr>
      <w:r>
        <w:t xml:space="preserve">ΤΗΣ ΔΗΜΟΚΡΑΤΙΑΣ ΤΗΣ ΑΥΣΤΡΙΑΣ</w:t>
      </w:r>
    </w:p>
    <w:p w:rsidR="00F10F73" w:rsidRPr="00EB5BAD" w:rsidRDefault="00F10F73" w:rsidP="00EB60F8">
      <w:pPr>
        <w:pStyle w:val="04AusgabeDaten"/>
      </w:pPr>
      <w:r>
        <w:t xml:space="preserve">Έτος 2020</w:t>
      </w:r>
      <w:r>
        <w:tab/>
      </w:r>
      <w:r>
        <w:t xml:space="preserve">Εκδόθηκε στις 18 Φεβρουαρίου 2020</w:t>
      </w:r>
      <w:r>
        <w:tab/>
      </w:r>
      <w:r>
        <w:t xml:space="preserve">Μέρος II</w:t>
      </w:r>
    </w:p>
    <w:p w:rsidR="00F10F73" w:rsidRPr="00EB5BAD" w:rsidRDefault="00F10F73" w:rsidP="00EB60F8">
      <w:pPr>
        <w:pStyle w:val="05Kurztitel"/>
      </w:pPr>
      <w:r>
        <w:t xml:space="preserve">30ο διάταγμα:</w:t>
      </w:r>
      <w:r>
        <w:tab/>
      </w:r>
      <w:r>
        <w:t xml:space="preserve">Διασφάλιση του εφοδιασμού με φάρμακα</w:t>
      </w:r>
    </w:p>
    <w:p w:rsidR="00F10F73" w:rsidRPr="00EB5BAD" w:rsidRDefault="00F10F73" w:rsidP="00EB60F8">
      <w:pPr>
        <w:pStyle w:val="11Titel"/>
      </w:pPr>
      <w:r>
        <w:t xml:space="preserve">Διάταγμα της ομοσπονδιακής υπουργού Εργασίας, Κοινωνικών Υποθέσεων, Υγείας και Προστασίας των Καταναλωτών για τη διασφάλιση του εφοδιασμού με φάρμακα</w:t>
      </w:r>
    </w:p>
    <w:p w:rsidR="00F10F73" w:rsidRPr="00EB5BAD" w:rsidRDefault="00F10F73" w:rsidP="00EB60F8">
      <w:pPr>
        <w:pStyle w:val="12PromKlEinlSatz"/>
      </w:pPr>
      <w:r>
        <w:t xml:space="preserve">Βάσει του άρθρου 57α παρ. 2 του νόμου περί φαρμάκων, BGBl. αριθ. 185/1983, όπως τροποποιήθηκε τελευταία με τον ομοσπονδιακό νόμο BGBl. I αριθ. 104/2019 και τον νόμο περί τροποποίησης των ομοσπονδιακών υπουργείων του 2020, τον ομοσπονδιακό νόμο BGBl. I αριθ. 8/2020, ορίζονται τα εξής:</w:t>
      </w:r>
    </w:p>
    <w:p w:rsidR="00F10F73" w:rsidRPr="00EB5BAD" w:rsidRDefault="00F10F73" w:rsidP="00EB60F8">
      <w:pPr>
        <w:pStyle w:val="51Abs"/>
      </w:pPr>
      <w:r>
        <w:rPr>
          <w:rStyle w:val="991GldSymbol"/>
        </w:rPr>
        <w:t xml:space="preserve">Άρθρο 1.</w:t>
      </w:r>
      <w:r>
        <w:t xml:space="preserve"> </w:t>
      </w:r>
      <w:r>
        <w:t xml:space="preserve">1) Ο κάτοχος της άδειας οφείλει να δηλώνει αμελλητί στην Ομοσπονδιακή Υπηρεσία για την Ασφάλεια στον Τομέα της Υγείας κάθε περιορισμό της ικανότητας διανομής φαρμακευτικού ιδιοσκευάσματος που χορηγείται με ιατρική συνταγή στο εσωτερικό της χώρας.</w:t>
      </w:r>
      <w:r>
        <w:t xml:space="preserve"> </w:t>
      </w:r>
      <w:r>
        <w:t xml:space="preserve">Ως περιορισμός της ικανότητας διανομής νοείται η κατά τα προβλεπόμενα μη διαθεσιμότητα πέραν των δύο εβδομάδων ή η πέραν των τεσσάρων εβδομάδων ανεπαρκής διαθεσιμότητα φαρμακευτικού ιδιοσκευάσματος που χορηγείται με ιατρική συνταγή για την κάλυψη των αναγκών των ασθενών στο εσωτερικό.</w:t>
      </w:r>
    </w:p>
    <w:p w:rsidR="00F10F73" w:rsidRPr="00EB5BAD" w:rsidRDefault="00F10F73" w:rsidP="00EB60F8">
      <w:pPr>
        <w:pStyle w:val="51Abs"/>
      </w:pPr>
      <w:r>
        <w:t xml:space="preserve">2) Η δήλωση σύμφωνα με την παράγραφο 1 πρέπει να υποβάλλεται σύμφωνα με τις επιταγές του κανονισμού της Ομοσπονδιακής Υπηρεσίας για την Ασφάλεια στον Τομέα της Υγείας σχετικά με την ηλεκτρονική διαβίβαση αιτήσεων και δηλώσεων (κανονισμός περί ηλεκτρονικής υποβολής του 2011 – EEVO).</w:t>
      </w:r>
    </w:p>
    <w:p w:rsidR="00F10F73" w:rsidRPr="00EB5BAD" w:rsidRDefault="00F10F73" w:rsidP="00EB60F8">
      <w:pPr>
        <w:pStyle w:val="51Abs"/>
      </w:pPr>
      <w:r>
        <w:t xml:space="preserve">3) Κατόπιν επαλήθευσης της δήλωσης που αναφέρεται στην παράγραφο 1, η Ομοσπονδιακή Υπηρεσία για την Ασφάλεια στον Τομέα της Υγείας οφείλει να δημοσιεύει στην ιστοσελίδα της έναν προσβάσιμο στο κοινό κατάλογο των φαρμακευτικών ιδιοσκευασμάτων το αργότερο την ημέρα που συμβαίνει ο περιορισμός της ικανότητας διανομής.</w:t>
      </w:r>
    </w:p>
    <w:p w:rsidR="00F10F73" w:rsidRPr="00EB5BAD" w:rsidRDefault="00F10F73" w:rsidP="00EB60F8">
      <w:pPr>
        <w:pStyle w:val="51Abs"/>
      </w:pPr>
      <w:r>
        <w:t xml:space="preserve">(4) Η επαλήθευση της δήλωσης από τον κάτοχο της άδειας κυκλοφορίας του περιορισμού της διανομής του συγκεκριμένου φαρμακευτικού ιδιοσκευάσματος αφορά ιδίως τον αριθμό των ασθενών, την κάλυψη της αγοράς, τον μέσο όρο των πωλήσεων, τις υπολογιζόμενες ανάγκες και τα αποθέματα, καθώς και τα διαθέσιμα εναλλακτικά φάρμακα.</w:t>
      </w:r>
    </w:p>
    <w:p w:rsidR="00F10F73" w:rsidRPr="00EB5BAD" w:rsidRDefault="00F10F73" w:rsidP="00EB60F8">
      <w:pPr>
        <w:pStyle w:val="51Abs"/>
      </w:pPr>
      <w:r>
        <w:t xml:space="preserve">(5) Η Ομοσπονδιακή Υπηρεσία για την Ασφάλεια στον Τομέα της Υγείας ελέγχει τακτικά την επικαιροποίηση του καταλόγου του άρθρου 3.</w:t>
      </w:r>
    </w:p>
    <w:p w:rsidR="00F10F73" w:rsidRPr="00EB5BAD" w:rsidRDefault="00F10F73" w:rsidP="00EB60F8">
      <w:pPr>
        <w:pStyle w:val="51Abs"/>
      </w:pPr>
      <w:r>
        <w:rPr>
          <w:rStyle w:val="991GldSymbol"/>
        </w:rPr>
        <w:t xml:space="preserve">Άρθρο 2.</w:t>
      </w:r>
      <w:r>
        <w:t xml:space="preserve"> </w:t>
      </w:r>
      <w:r>
        <w:t xml:space="preserve">1) Σε περίπτωση άρσης του περιορισμού της ικανότητας διανομής φαρμακευτικού ιδιοσκευάσματος που χορηγείται με ιατρική συνταγή στο εσωτερικό της χώρας, ο κάτοχος της άδειας πρέπει να ενημερώνει την Ομοσπονδιακή Υπηρεσία για την Ασφάλεια στον Τομέα της Υγείας.</w:t>
      </w:r>
      <w:r>
        <w:t xml:space="preserve"> </w:t>
      </w:r>
      <w:r>
        <w:t xml:space="preserve">Το άρθρο 1 παρ. 2 εφαρμόζεται κατ' αναλογία.</w:t>
      </w:r>
    </w:p>
    <w:p w:rsidR="00F10F73" w:rsidRPr="00EB5BAD" w:rsidRDefault="00F10F73" w:rsidP="00EB60F8">
      <w:pPr>
        <w:pStyle w:val="51Abs"/>
      </w:pPr>
      <w:r>
        <w:t xml:space="preserve">2) Η Ομοσπονδιακή Υπηρεσία για την Ασφάλεια στον Τομέα της Υγείας πρέπει να πραγματοποιεί σχετική επαλήθευση και, σε περίπτωση άρσης του περιορισμού της ικανότητας διανομής, πρέπει να προβαίνει αμέσως σε διαγραφή του σχετικού φαρμακευτικού ιδιοσκευάσματος από τον κατάλογο σύμφωνα με το άρθρο 1 παράγραφος 3.</w:t>
      </w:r>
    </w:p>
    <w:p w:rsidR="00F10F73" w:rsidRPr="00EB5BAD" w:rsidRDefault="00F10F73" w:rsidP="00EB60F8">
      <w:pPr>
        <w:pStyle w:val="51Abs"/>
      </w:pPr>
      <w:r>
        <w:t xml:space="preserve">3) Εάν ο κάτοχος της άδειας δεν εκπληρώσει την υποχρέωση που υπέχει βάσει του άρθρου 1, η Ομοσπονδιακή Υπηρεσία για την Ασφάλεια στον Τομέα της Υγείας μπορεί, κατόπιν ελέγχου, να προβεί σε αυτεπάγγελτη διαγραφή.</w:t>
      </w:r>
    </w:p>
    <w:p w:rsidR="00F10F73" w:rsidRPr="00EB5BAD" w:rsidRDefault="00F10F73" w:rsidP="00EB60F8">
      <w:pPr>
        <w:pStyle w:val="51Abs"/>
      </w:pPr>
      <w:r>
        <w:rPr>
          <w:rStyle w:val="991GldSymbol"/>
        </w:rPr>
        <w:t xml:space="preserve">Άρθρο 3.</w:t>
      </w:r>
      <w:r>
        <w:t xml:space="preserve"> </w:t>
      </w:r>
      <w:r>
        <w:t xml:space="preserve">1) Εάν η Ομοσπονδιακή Υπηρεσία για την Ασφάλεια στον Τομέα της Υγείας ενημερωθεί ότι ο κάτοχος της άδειας δεν συμμορφώνεται με το άρθρο 1 παράγραφος 1 εν όλω ή εν μέρει, η Ομοσπονδιακή Υπηρεσία για την Ασφάλεια στον Τομέα της Υγείας δημοσιοποιεί το σχετικό φαρμακευτικό ιδιοσκεύασμα σε κατάλογο σύμφωνα με το άρθρο 1 παράγραφος 3, κατόπιν επαλήθευσης του περιορισμού της ικανότητας διανομής, σε μορφή προσβάσιμη για το κοινό.</w:t>
      </w:r>
    </w:p>
    <w:p w:rsidR="00F10F73" w:rsidRPr="00EB5BAD" w:rsidRDefault="00F10F73" w:rsidP="00EB60F8">
      <w:pPr>
        <w:pStyle w:val="51Abs"/>
      </w:pPr>
      <w:r>
        <w:t xml:space="preserve">3) Εάν δεν υφίσταται πλέον περιορισμός της ικανότητας διανομής κατά την έννοια της παραγράφου 1, εφαρμόζεται, τηρουμένων των αναλογιών, το άρθρο 2.</w:t>
      </w:r>
    </w:p>
    <w:p w:rsidR="00F10F73" w:rsidRPr="00EB5BAD" w:rsidRDefault="00F10F73" w:rsidP="00EB60F8">
      <w:pPr>
        <w:pStyle w:val="51Abs"/>
      </w:pPr>
      <w:r>
        <w:rPr>
          <w:rStyle w:val="991GldSymbol"/>
        </w:rPr>
        <w:t xml:space="preserve">Άρθρο 4.</w:t>
      </w:r>
      <w:r>
        <w:t xml:space="preserve"> </w:t>
      </w:r>
      <w:r>
        <w:t xml:space="preserve">1) Εάν η Ομοσπονδιακή Υπηρεσία για την Ασφάλεια στον Τομέα της Υγείας ενημερωθεί για το γεγονός ότι φαρμακευτικό ιδιοσκεύασμα που χορηγείται με ιατρική συνταγή δεν καλύπτει τις ανάγκες των ασθενών στο εσωτερικό, μολονότι ο περιορισμός της ικανότητας διανομής έχει δηλωθεί από τον κάτοχο άδειας, η Ομοσπονδιακή Υπηρεσία για την Ασφάλεια στον Τομέα της Υγείας, κατόπιν επαλήθευσης, δημοσιοποιεί επίσης σε κατάλογο σύμφωνα με το άρθρο 1 παράγραφος 3, σε προσβάσιμη για το κοινό μορφή, το εν λόγω φαρμακευτικό ιδιοσκεύασμα που χορηγείται με ιατρική συνταγή.</w:t>
      </w:r>
    </w:p>
    <w:p w:rsidR="00F10F73" w:rsidRPr="00EB5BAD" w:rsidRDefault="00F10F73" w:rsidP="00EB60F8">
      <w:pPr>
        <w:pStyle w:val="51Abs"/>
      </w:pPr>
      <w:r>
        <w:t xml:space="preserve">2) Σε περίπτωση που δεν υφίσταται πλέον κανένας άλλος περιορισμός σύμφωνα με το άρθρο 1, η Ομοσπονδιακή Υπηρεσία για την Ασφάλεια στον Τομέα της Υγείας προβαίνει, κατόπιν ελέγχου, σε αυτεπάγγελτη διαγραφή του σχετικού φαρμακευτικού ιδιοσκευάσματος από τον κατάλογο του άρθρου 1 παράγραφος 3.</w:t>
      </w:r>
    </w:p>
    <w:p w:rsidR="00F10F73" w:rsidRPr="00EB5BAD" w:rsidRDefault="00F10F73" w:rsidP="00EB60F8">
      <w:pPr>
        <w:pStyle w:val="51Abs"/>
      </w:pPr>
      <w:r>
        <w:rPr>
          <w:rStyle w:val="991GldSymbol"/>
        </w:rPr>
        <w:t xml:space="preserve">Άρθρο 5.</w:t>
      </w:r>
      <w:r>
        <w:t xml:space="preserve"> </w:t>
      </w:r>
      <w:r>
        <w:t xml:space="preserve">1) Για λόγους προστασίας της δημόσιας υγείας απαγορεύεται η εξαγωγή σε άλλο συμβαλλόμενο μέλος του Ευρωπαϊκού Οικονομικού Χώρου των φαρμακευτικών ιδιοσκευασμάτων που χορηγούνται με ιατρική συνταγή, τα οποία είναι δημοσιευμένα στον κατάλογο της Ομοσπονδιακής Υπηρεσίας για την Ασφάλεια στον Τομέα της Υγείας, κατά το άρθρο 1 παράγραφος 3.</w:t>
      </w:r>
    </w:p>
    <w:p w:rsidR="00F10F73" w:rsidRPr="00EB5BAD" w:rsidRDefault="00F10F73" w:rsidP="00EB60F8">
      <w:pPr>
        <w:pStyle w:val="51Abs"/>
      </w:pPr>
      <w:r>
        <w:t xml:space="preserve">2) Κατόπιν αιτήσεως του κατόχου της άδειας, η Ομοσπονδιακή Υπηρεσία για την Ασφάλεια στον Τομέα της Υγείας εκδίδει απόφαση σχετικά με την απαγόρευση εξαγωγής που αναφέρεται στην παράγραφο 1.</w:t>
      </w:r>
    </w:p>
    <w:p w:rsidR="00F10F73" w:rsidRPr="00EB5BAD" w:rsidRDefault="00F10F73" w:rsidP="00EB60F8">
      <w:pPr>
        <w:pStyle w:val="51Abs"/>
      </w:pPr>
      <w:r>
        <w:rPr>
          <w:rStyle w:val="991GldSymbol"/>
        </w:rPr>
        <w:t xml:space="preserve">Άρθρο 6.</w:t>
      </w:r>
      <w:r>
        <w:t xml:space="preserve"> </w:t>
      </w:r>
      <w:r>
        <w:t xml:space="preserve">Το παρόν διάταγμα κοινοποιήθηκε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w:t>
      </w:r>
    </w:p>
    <w:p w:rsidR="00F10F73" w:rsidRPr="00EB5BAD" w:rsidRDefault="00F10F73" w:rsidP="00EB60F8">
      <w:pPr>
        <w:pStyle w:val="51Abs"/>
      </w:pPr>
      <w:r>
        <w:rPr>
          <w:rStyle w:val="991GldSymbol"/>
        </w:rPr>
        <w:t xml:space="preserve">Άρθρο 7.</w:t>
      </w:r>
      <w:r>
        <w:t xml:space="preserve"> </w:t>
      </w:r>
      <w:r>
        <w:t xml:space="preserve">Το παρόν διάταγμα τίθεται σε ισχύ την 1η Απριλίου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Εκδόθηκε στις 18 Φεβρουαρίου 2020 – Αριθ.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από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Εκδόθηκε στις 18 Φεβρουαρίου 2020 – Αριθ.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από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από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el-GR"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el-GR"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el-GR"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el-GR"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el-GR"/>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el-GR"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el-GR"/>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el-GR"/>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el-GR"/>
    </w:rPr>
  </w:style>
  <w:style w:type="paragraph" w:customStyle="1" w:styleId="PDU1">
    <w:name w:val="PD_U1"/>
    <w:basedOn w:val="00LegStandard"/>
    <w:next w:val="Standard"/>
    <w:rsid w:val="00F10F73"/>
    <w:pPr>
      <w:tabs>
        <w:tab w:val="center" w:pos="2126"/>
        <w:tab w:val="center" w:pos="6379"/>
      </w:tabs>
      <w:spacing w:before="440"/>
    </w:pPr>
    <w:rPr>
      <w:b/>
      <w:lang w:val="el-GR"/>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el-GR"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el-GR"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el-GR"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el-GR"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el-GR"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el-GR"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el-GR"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el-GR"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el-GR" w:eastAsia="de-AT"/>
    </w:rPr>
  </w:style>
  <w:style w:type="paragraph" w:customStyle="1" w:styleId="58Schlussteile0Abs">
    <w:name w:val="58_Schlussteil_e0_Abs"/>
    <w:basedOn w:val="00LegStandard"/>
    <w:next w:val="51Abs"/>
    <w:rsid w:val="00F10F73"/>
    <w:pPr>
      <w:spacing w:before="40"/>
    </w:pPr>
    <w:rPr>
      <w:lang w:val="el-GR"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el-GR"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el-GR"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el-GR"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el-GR"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el-GR"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el-GR"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el-GR"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el-GR"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el-GR"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el-GR"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el-GR"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el-GR"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el-GR"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el-GR"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el-GR"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el-GR"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el-G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