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1F0BB" w14:textId="78162EA5" w:rsidR="00AC25F9" w:rsidRPr="00AC25F9" w:rsidRDefault="00AC25F9" w:rsidP="00AC25F9">
      <w:pPr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19 de abril de 2021.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N.º 699.</w:t>
      </w:r>
    </w:p>
    <w:p w14:paraId="4BCC8A2D" w14:textId="5907DBA3" w:rsidR="004009A5" w:rsidRDefault="007C0D66" w:rsidP="008367FC">
      <w:pPr>
        <w:jc w:val="center"/>
        <w:rPr>
          <w:b/>
          <w:sz w:val="24"/>
          <w:szCs w:val="24"/>
          <w:rFonts w:ascii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Orden relativa a la normalización de los cigarrillos electrónicos y los envases de recarga con y sin nicotina</w:t>
      </w:r>
    </w:p>
    <w:p w14:paraId="58F87FE1" w14:textId="77777777" w:rsidR="00411B45" w:rsidRPr="00E9280B" w:rsidRDefault="00411B45" w:rsidP="008367F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4B5FC1" w14:textId="090141B9" w:rsidR="004009A5" w:rsidRPr="00E9280B" w:rsidRDefault="00AC25F9" w:rsidP="00AC25F9">
      <w:pPr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De conformidad con el artículo 9, apartado 2, y el artículo 33, apartado 2, de la Ley sobre los cigarrillos electrónicos, etc. (véase la Ley de consolidación n.º 580, de 26 de marzo de 2021), se establece lo siguiente:</w:t>
      </w:r>
    </w:p>
    <w:p w14:paraId="4453E575" w14:textId="4EDB3131" w:rsidR="008D5280" w:rsidRDefault="008D5280" w:rsidP="008D5280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ascii="Times New Roman" w:eastAsia="TimesNewRomanPSMT" w:hAnsi="Times New Roman" w:cs="Times New Roman"/>
        </w:rPr>
      </w:pPr>
      <w:r>
        <w:rPr>
          <w:sz w:val="24"/>
          <w:rFonts w:ascii="Times New Roman" w:hAnsi="Times New Roman"/>
        </w:rPr>
        <w:t xml:space="preserve">Capítulo 1</w:t>
      </w:r>
    </w:p>
    <w:p w14:paraId="49FAF3B3" w14:textId="77777777" w:rsidR="00F471C1" w:rsidRPr="008D5280" w:rsidRDefault="00F471C1" w:rsidP="008D52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</w:p>
    <w:p w14:paraId="61968554" w14:textId="77777777" w:rsidR="008D5280" w:rsidRPr="008D5280" w:rsidRDefault="008D5280" w:rsidP="008D5280">
      <w:pPr>
        <w:autoSpaceDE w:val="0"/>
        <w:autoSpaceDN w:val="0"/>
        <w:adjustRightInd w:val="0"/>
        <w:spacing w:after="0" w:line="240" w:lineRule="auto"/>
        <w:jc w:val="center"/>
        <w:rPr>
          <w:i/>
          <w:sz w:val="24"/>
          <w:szCs w:val="24"/>
          <w:rFonts w:ascii="Times New Roman" w:eastAsia="TimesNewRomanPSMT" w:hAnsi="Times New Roman" w:cs="Times New Roman"/>
        </w:rPr>
      </w:pPr>
      <w:r>
        <w:rPr>
          <w:i/>
          <w:sz w:val="24"/>
          <w:rFonts w:ascii="Times New Roman" w:hAnsi="Times New Roman"/>
        </w:rPr>
        <w:t xml:space="preserve">Definiciones</w:t>
      </w:r>
    </w:p>
    <w:p w14:paraId="4FCE8EF5" w14:textId="424F1B01" w:rsidR="0004610C" w:rsidRPr="00E9280B" w:rsidRDefault="0004610C" w:rsidP="004009A5">
      <w:pPr>
        <w:rPr>
          <w:rFonts w:ascii="Times New Roman" w:hAnsi="Times New Roman" w:cs="Times New Roman"/>
          <w:b/>
          <w:sz w:val="24"/>
          <w:szCs w:val="24"/>
        </w:rPr>
      </w:pPr>
    </w:p>
    <w:p w14:paraId="03DE2CC2" w14:textId="77777777" w:rsidR="004009A5" w:rsidRPr="00E9280B" w:rsidRDefault="004009A5" w:rsidP="00BC5A51">
      <w:pPr>
        <w:spacing w:after="0" w:line="240" w:lineRule="auto"/>
        <w:rPr>
          <w:sz w:val="24"/>
          <w:szCs w:val="24"/>
          <w:rFonts w:ascii="Times New Roman" w:hAnsi="Times New Roman" w:cs="Times New Roman"/>
        </w:rPr>
      </w:pPr>
      <w:r>
        <w:rPr>
          <w:sz w:val="24"/>
          <w:b/>
          <w:rFonts w:ascii="Times New Roman" w:hAnsi="Times New Roman"/>
        </w:rPr>
        <w:t xml:space="preserve">Artículo 1.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A los efectos de la presente Orden, se aplicarán las definiciones siguientes:</w:t>
      </w:r>
      <w:r>
        <w:rPr>
          <w:sz w:val="24"/>
          <w:rFonts w:ascii="Times New Roman" w:hAnsi="Times New Roman"/>
        </w:rPr>
        <w:t xml:space="preserve"> </w:t>
      </w:r>
    </w:p>
    <w:p w14:paraId="5A787BCA" w14:textId="0C24838D" w:rsidR="001F6C1B" w:rsidRPr="001F6C1B" w:rsidRDefault="001F6C1B" w:rsidP="001F6C1B">
      <w:pPr>
        <w:numPr>
          <w:ilvl w:val="0"/>
          <w:numId w:val="1"/>
        </w:numPr>
        <w:spacing w:after="0" w:line="240" w:lineRule="auto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«nombre de la marca»: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nombre de un cigarrillo electrónico y de un envase de recarga con y sin nicotina pertenecientes a la misma categoría de producto;</w:t>
      </w:r>
    </w:p>
    <w:p w14:paraId="2501DE08" w14:textId="4AB7C8B3" w:rsidR="004009A5" w:rsidRDefault="00045A8E" w:rsidP="006606A3">
      <w:pPr>
        <w:numPr>
          <w:ilvl w:val="0"/>
          <w:numId w:val="1"/>
        </w:numPr>
        <w:spacing w:after="0" w:line="240" w:lineRule="auto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«nombre de la variedad»: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nombre utilizado para distinguir diferentes cigarrillos electrónicos y envases de recarga con y sin nicotina pertenecientes a la misma marca;</w:t>
      </w:r>
    </w:p>
    <w:p w14:paraId="53AF9D51" w14:textId="27C861E6" w:rsidR="004009A5" w:rsidRPr="004B7986" w:rsidRDefault="004009A5" w:rsidP="00BC5A51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Unidad de envasado: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el paquete individual más pequeño que se comercializa de un cigarrillo electrónico o de un envase de recarga con y sin nicotina.</w:t>
      </w:r>
    </w:p>
    <w:p w14:paraId="1333000C" w14:textId="05328CEE" w:rsidR="004009A5" w:rsidRPr="00E9280B" w:rsidRDefault="004009A5" w:rsidP="00C67E54">
      <w:pPr>
        <w:numPr>
          <w:ilvl w:val="0"/>
          <w:numId w:val="1"/>
        </w:numPr>
        <w:spacing w:after="0" w:line="240" w:lineRule="auto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Embalaje exterior: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cualquier embalaje en el que se comercializan cigarrillos electrónicos, envases de recarga con y sin nicotina o productos relacionados y que incluye una o más unidades de envasado.</w:t>
      </w:r>
    </w:p>
    <w:p w14:paraId="26959B1C" w14:textId="11E8DF07" w:rsidR="004009A5" w:rsidRDefault="004009A5" w:rsidP="00BC5A51">
      <w:pPr>
        <w:numPr>
          <w:ilvl w:val="0"/>
          <w:numId w:val="1"/>
        </w:numPr>
        <w:spacing w:after="0" w:line="240" w:lineRule="auto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«superficies exteriores»: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superficies que son visibles cuando una unidad de envasado está cerrada o el embalaje exterior no está roto;</w:t>
      </w:r>
    </w:p>
    <w:p w14:paraId="2DC0D946" w14:textId="04553C87" w:rsidR="002F55FE" w:rsidRPr="00E9280B" w:rsidRDefault="002F55FE" w:rsidP="002F55FE">
      <w:pPr>
        <w:numPr>
          <w:ilvl w:val="0"/>
          <w:numId w:val="1"/>
        </w:numPr>
        <w:spacing w:after="0" w:line="240" w:lineRule="auto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Superficies interiores: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superficies que no son visibles cuando el paquete individual está cerrado.</w:t>
      </w:r>
    </w:p>
    <w:p w14:paraId="5B5F7A19" w14:textId="7417C049" w:rsidR="004009A5" w:rsidRPr="00E605F6" w:rsidRDefault="004009A5" w:rsidP="00BC5A51">
      <w:pPr>
        <w:numPr>
          <w:ilvl w:val="0"/>
          <w:numId w:val="1"/>
        </w:numPr>
        <w:spacing w:after="0" w:line="240" w:lineRule="auto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Envoltorio: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material transparente e incoloro que incluye una o varias unidades de envasado;</w:t>
      </w:r>
    </w:p>
    <w:p w14:paraId="6FA7DAEA" w14:textId="1B69D6C1" w:rsidR="00113856" w:rsidRPr="00E9280B" w:rsidRDefault="00113856" w:rsidP="00BC5A51">
      <w:pPr>
        <w:numPr>
          <w:ilvl w:val="0"/>
          <w:numId w:val="1"/>
        </w:numPr>
        <w:spacing w:after="0" w:line="240" w:lineRule="auto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«sin revestimiento»: no barnizado, recubierto o tratado de manera que la superficie parezca que no sea mate;</w:t>
      </w:r>
    </w:p>
    <w:p w14:paraId="652F59A8" w14:textId="5DA7D4E2" w:rsidR="00D15F19" w:rsidRPr="00D15F19" w:rsidRDefault="004009A5" w:rsidP="00BC5A51">
      <w:pPr>
        <w:numPr>
          <w:ilvl w:val="0"/>
          <w:numId w:val="1"/>
        </w:numPr>
        <w:spacing w:after="0" w:line="240" w:lineRule="auto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Tira: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una tira de desgarre que puede utilizarse para abrir una unidad de envasado, un embalaje exterior y un envoltorio.</w:t>
      </w:r>
    </w:p>
    <w:p w14:paraId="0A7F9825" w14:textId="77777777" w:rsidR="004009A5" w:rsidRPr="00E9280B" w:rsidRDefault="004009A5" w:rsidP="004009A5">
      <w:pPr>
        <w:rPr>
          <w:rFonts w:ascii="Times New Roman" w:hAnsi="Times New Roman" w:cs="Times New Roman"/>
          <w:b/>
          <w:sz w:val="24"/>
          <w:szCs w:val="24"/>
        </w:rPr>
      </w:pPr>
    </w:p>
    <w:p w14:paraId="3E14C1E6" w14:textId="546B934D" w:rsidR="00B77AC1" w:rsidRDefault="004009A5" w:rsidP="00B77AC1">
      <w:pPr>
        <w:spacing w:after="0"/>
        <w:jc w:val="center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Capítulo 2</w:t>
      </w:r>
    </w:p>
    <w:p w14:paraId="3DFEDA2C" w14:textId="77777777" w:rsidR="00B77AC1" w:rsidRPr="00E9280B" w:rsidRDefault="00B77AC1" w:rsidP="00B77AC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F40C382" w14:textId="6048D063" w:rsidR="00761992" w:rsidRDefault="004009A5" w:rsidP="00696951">
      <w:pPr>
        <w:spacing w:after="0"/>
        <w:jc w:val="center"/>
        <w:rPr>
          <w:i/>
          <w:sz w:val="24"/>
          <w:szCs w:val="24"/>
          <w:rFonts w:ascii="Times New Roman" w:hAnsi="Times New Roman" w:cs="Times New Roman"/>
        </w:rPr>
      </w:pPr>
      <w:r>
        <w:rPr>
          <w:i/>
          <w:sz w:val="24"/>
          <w:rFonts w:ascii="Times New Roman" w:hAnsi="Times New Roman"/>
        </w:rPr>
        <w:t xml:space="preserve">Requisitos de color y elementos de envasado en las unidades de envasado, los embalajes exteriores y los envoltorios de cigarrillos electrónicos y envases de recarga con y sin nicotina</w:t>
      </w:r>
    </w:p>
    <w:p w14:paraId="646F5515" w14:textId="77777777" w:rsidR="00D2737D" w:rsidRPr="00CB2283" w:rsidRDefault="00D2737D" w:rsidP="00696951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133D3811" w14:textId="77777777" w:rsidR="005F198D" w:rsidRDefault="004009A5" w:rsidP="001B2C2A">
      <w:pPr>
        <w:spacing w:line="240" w:lineRule="auto"/>
        <w:rPr>
          <w:sz w:val="24"/>
          <w:szCs w:val="24"/>
          <w:rFonts w:ascii="Times New Roman" w:hAnsi="Times New Roman" w:cs="Times New Roman"/>
        </w:rPr>
      </w:pPr>
      <w:r>
        <w:rPr>
          <w:sz w:val="24"/>
          <w:b/>
          <w:rFonts w:ascii="Times New Roman" w:hAnsi="Times New Roman"/>
        </w:rPr>
        <w:t xml:space="preserve">Artículo 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Las unidades de envasado de cigarrillos electrónicos y envases de recarga con y sin nicotina, así como los embalajes exteriores y los envoltorios, deberán tener un diseño normalizado de conformidad con los requisitos contenidos en la presente Orden y otras normativas que regulan el etiquetado, etc., de las unidades de envasado, los embalajes exteriores y los envoltorios de cigarrillos electrónicos y envases de recarga</w:t>
      </w:r>
      <w:r>
        <w:rPr>
          <w:sz w:val="24"/>
          <w:i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con y sin nicotina.</w:t>
      </w:r>
      <w:r>
        <w:rPr>
          <w:sz w:val="24"/>
          <w:rFonts w:ascii="Times New Roman" w:hAnsi="Times New Roman"/>
        </w:rPr>
        <w:t xml:space="preserve"> </w:t>
      </w:r>
    </w:p>
    <w:p w14:paraId="2BC14B3F" w14:textId="5178F680" w:rsidR="004009A5" w:rsidRDefault="004009A5" w:rsidP="001B2C2A">
      <w:pPr>
        <w:spacing w:line="240" w:lineRule="auto"/>
        <w:rPr>
          <w:sz w:val="24"/>
          <w:szCs w:val="24"/>
          <w:rFonts w:ascii="Times New Roman" w:hAnsi="Times New Roman" w:cs="Times New Roman"/>
        </w:rPr>
      </w:pPr>
      <w:r>
        <w:rPr>
          <w:sz w:val="24"/>
          <w:i/>
          <w:rFonts w:ascii="Times New Roman" w:hAnsi="Times New Roman"/>
        </w:rPr>
        <w:t xml:space="preserve">Apartado 2.</w:t>
      </w:r>
      <w:r>
        <w:rPr>
          <w:sz w:val="24"/>
          <w:i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Las unidades de envasado, los embalajes exteriores y los envoltorios solo podrán llevar el etiquetado, la información, etc., establecidos en la presente Orden y otras normativas.</w:t>
      </w:r>
    </w:p>
    <w:p w14:paraId="104CC662" w14:textId="02635057" w:rsidR="00C84352" w:rsidRDefault="00A46F51" w:rsidP="001B2C2A">
      <w:pPr>
        <w:spacing w:line="240" w:lineRule="auto"/>
        <w:rPr>
          <w:sz w:val="24"/>
          <w:szCs w:val="24"/>
          <w:rFonts w:ascii="Times New Roman" w:hAnsi="Times New Roman" w:cs="Times New Roman"/>
        </w:rPr>
      </w:pPr>
      <w:r>
        <w:rPr>
          <w:sz w:val="24"/>
          <w:i/>
          <w:rFonts w:ascii="Times New Roman" w:hAnsi="Times New Roman"/>
        </w:rPr>
        <w:t xml:space="preserve">Apartado 3.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El etiquetado, la información, etc., que se derive de otra normativa debe presentarse de manera que no dé la unidad de envasado o al embalaje exterior una expresión única, un efecto de sensibilización o que, de otro modo, se considere contrario al requisito de un diseño normalizado para todos los productos que contengan cigarrillos electrónicos o envases de recarga con y sin nicotina.</w:t>
      </w:r>
    </w:p>
    <w:p w14:paraId="31707007" w14:textId="5F7526D0" w:rsidR="004009A5" w:rsidRDefault="004009A5" w:rsidP="001B2C2A">
      <w:pPr>
        <w:spacing w:line="240" w:lineRule="auto"/>
        <w:rPr>
          <w:sz w:val="24"/>
          <w:szCs w:val="24"/>
          <w:rFonts w:ascii="Times New Roman" w:hAnsi="Times New Roman" w:cs="Times New Roman"/>
        </w:rPr>
      </w:pPr>
      <w:r>
        <w:rPr>
          <w:sz w:val="24"/>
          <w:b/>
          <w:rFonts w:ascii="Times New Roman" w:hAnsi="Times New Roman"/>
        </w:rPr>
        <w:t xml:space="preserve">Artículo 3.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Las superficies interiores y exteriores de las unidades de envasado y embalajes exteriores deben ser de color Pantone 448 C mate, blanco o gris plata y los embalajes exteriores deben ser de color Pantone 448 C mate.</w:t>
      </w:r>
    </w:p>
    <w:p w14:paraId="4186999B" w14:textId="492ED035" w:rsidR="004009A5" w:rsidRDefault="004009A5" w:rsidP="001B2C2A">
      <w:pPr>
        <w:spacing w:line="240" w:lineRule="auto"/>
        <w:rPr>
          <w:sz w:val="24"/>
          <w:szCs w:val="24"/>
          <w:rFonts w:ascii="Times New Roman" w:hAnsi="Times New Roman" w:cs="Times New Roman"/>
        </w:rPr>
      </w:pPr>
      <w:r>
        <w:rPr>
          <w:sz w:val="24"/>
          <w:i/>
          <w:rFonts w:ascii="Times New Roman" w:hAnsi="Times New Roman"/>
        </w:rPr>
        <w:t xml:space="preserve">Apartado 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Las tiras de las unidades de envasado o los embalajes exteriores de cigarrillos electrónicos y envases de recarga</w:t>
      </w:r>
      <w:r>
        <w:rPr>
          <w:sz w:val="24"/>
          <w:i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con y sin nicotina</w:t>
      </w:r>
      <w:r>
        <w:rPr>
          <w:sz w:val="24"/>
          <w:i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deben ser cuadradas, transparentes e incoloras.</w:t>
      </w:r>
    </w:p>
    <w:p w14:paraId="4878C31E" w14:textId="6FCCD909" w:rsidR="004009A5" w:rsidRPr="00C47D05" w:rsidRDefault="00281A50" w:rsidP="00C47D05">
      <w:pPr>
        <w:pStyle w:val="HTMLPreformatted"/>
        <w:rPr>
          <w:b/>
          <w:sz w:val="24"/>
          <w:szCs w:val="24"/>
          <w:rFonts w:ascii="Times New Roman" w:hAnsi="Times New Roman" w:cs="Times New Roman"/>
        </w:rPr>
      </w:pPr>
      <w:r>
        <w:rPr>
          <w:sz w:val="24"/>
          <w:b/>
          <w:rFonts w:ascii="Times New Roman" w:hAnsi="Times New Roman"/>
        </w:rPr>
        <w:t xml:space="preserve">Artículo 4.</w:t>
      </w:r>
      <w:r>
        <w:rPr>
          <w:sz w:val="24"/>
          <w:b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Todos los elementos de </w:t>
      </w:r>
      <w:r>
        <w:rPr>
          <w:sz w:val="24"/>
          <w:color w:val="000000"/>
          <w:rFonts w:ascii="Times New Roman" w:hAnsi="Times New Roman"/>
        </w:rPr>
        <w:t xml:space="preserve">las unidades de envasado y los embalajes exteriores de</w:t>
      </w:r>
      <w:r>
        <w:rPr>
          <w:sz w:val="24"/>
          <w:rFonts w:ascii="Times New Roman" w:hAnsi="Times New Roman"/>
        </w:rPr>
        <w:t xml:space="preserve"> los cigarrillos electrónicos y los envases de recarga</w:t>
      </w:r>
      <w:r>
        <w:rPr>
          <w:sz w:val="24"/>
          <w:i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con y sin nicotina </w:t>
      </w:r>
      <w:r>
        <w:rPr>
          <w:sz w:val="24"/>
          <w:color w:val="000000"/>
          <w:rFonts w:ascii="Times New Roman" w:hAnsi="Times New Roman"/>
        </w:rPr>
        <w:t xml:space="preserve">deben ser insípidos, inodoros y silenciosos.</w:t>
      </w:r>
      <w:r>
        <w:rPr>
          <w:sz w:val="24"/>
          <w:color w:val="000000"/>
          <w:rFonts w:ascii="Times New Roman" w:hAnsi="Times New Roman"/>
        </w:rPr>
        <w:t xml:space="preserve"> </w:t>
      </w:r>
    </w:p>
    <w:p w14:paraId="5BE2343B" w14:textId="77777777" w:rsidR="004009A5" w:rsidRPr="00E9280B" w:rsidRDefault="004009A5" w:rsidP="004009A5">
      <w:pPr>
        <w:rPr>
          <w:rFonts w:ascii="Times New Roman" w:hAnsi="Times New Roman" w:cs="Times New Roman"/>
          <w:sz w:val="24"/>
          <w:szCs w:val="24"/>
        </w:rPr>
      </w:pPr>
    </w:p>
    <w:p w14:paraId="4E3025C6" w14:textId="0C11F9F5" w:rsidR="00B77AC1" w:rsidRDefault="004009A5" w:rsidP="00B77AC1">
      <w:pPr>
        <w:spacing w:after="0"/>
        <w:jc w:val="center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Capítulo 3</w:t>
      </w:r>
    </w:p>
    <w:p w14:paraId="28AED404" w14:textId="77777777" w:rsidR="00B77AC1" w:rsidRPr="00E9280B" w:rsidRDefault="00B77AC1" w:rsidP="00B77AC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18D9E75" w14:textId="0F01AF47" w:rsidR="004009A5" w:rsidRPr="00EA73E1" w:rsidRDefault="004009A5" w:rsidP="00A24471">
      <w:pPr>
        <w:spacing w:line="240" w:lineRule="auto"/>
        <w:jc w:val="center"/>
        <w:rPr>
          <w:i/>
          <w:sz w:val="24"/>
          <w:szCs w:val="24"/>
          <w:rFonts w:ascii="Times New Roman" w:hAnsi="Times New Roman" w:cs="Times New Roman"/>
        </w:rPr>
      </w:pPr>
      <w:r>
        <w:rPr>
          <w:sz w:val="24"/>
          <w:i/>
          <w:rFonts w:ascii="Times New Roman" w:hAnsi="Times New Roman"/>
        </w:rPr>
        <w:t xml:space="preserve">Superficies, etc., de las unidades de envasado y los embalajes exteriores de cigarrillos electrónicos</w:t>
      </w:r>
      <w:r>
        <w:rPr>
          <w:sz w:val="24"/>
          <w:rFonts w:ascii="Times New Roman" w:hAnsi="Times New Roman"/>
        </w:rPr>
        <w:t xml:space="preserve"> y </w:t>
      </w:r>
      <w:r>
        <w:rPr>
          <w:sz w:val="24"/>
          <w:i/>
          <w:rFonts w:ascii="Times New Roman" w:hAnsi="Times New Roman"/>
        </w:rPr>
        <w:t xml:space="preserve">envases de recarga con y sin nicotina</w:t>
      </w:r>
    </w:p>
    <w:p w14:paraId="4104CD23" w14:textId="67B587E7" w:rsidR="004009A5" w:rsidRDefault="00D9738B" w:rsidP="00A24471">
      <w:pPr>
        <w:spacing w:line="240" w:lineRule="auto"/>
        <w:rPr>
          <w:sz w:val="24"/>
          <w:szCs w:val="24"/>
          <w:rFonts w:ascii="Times New Roman" w:hAnsi="Times New Roman" w:cs="Times New Roman"/>
        </w:rPr>
      </w:pPr>
      <w:r>
        <w:rPr>
          <w:sz w:val="24"/>
          <w:b/>
          <w:rFonts w:ascii="Times New Roman" w:hAnsi="Times New Roman"/>
        </w:rPr>
        <w:t xml:space="preserve">Artículo 5.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Las superficies serán planas y lisas, y no deberán presentar irregularidades como marcas, relieves, texturas, depresiones, elevaciones o cualquier otra forma o estructura.</w:t>
      </w:r>
    </w:p>
    <w:p w14:paraId="6FBB4A04" w14:textId="422F9E73" w:rsidR="00302CB7" w:rsidRPr="00302CB7" w:rsidRDefault="00302CB7" w:rsidP="00302CB7">
      <w:pPr>
        <w:spacing w:line="240" w:lineRule="auto"/>
        <w:rPr>
          <w:sz w:val="24"/>
          <w:szCs w:val="24"/>
          <w:rFonts w:ascii="Times New Roman" w:hAnsi="Times New Roman" w:cs="Times New Roman"/>
        </w:rPr>
      </w:pPr>
      <w:r>
        <w:rPr>
          <w:sz w:val="24"/>
          <w:i/>
          <w:rFonts w:ascii="Times New Roman" w:hAnsi="Times New Roman"/>
        </w:rPr>
        <w:t xml:space="preserve">Apartado 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Se excluyen ciertos elementos necesarios para plegar el material, sujetar el fondo y abrir y cerrar la unidad de envasado.</w:t>
      </w:r>
    </w:p>
    <w:p w14:paraId="27C6C170" w14:textId="6E0544E3" w:rsidR="00302CB7" w:rsidRPr="00302CB7" w:rsidRDefault="00302CB7" w:rsidP="00302CB7">
      <w:pPr>
        <w:spacing w:line="240" w:lineRule="auto"/>
        <w:rPr>
          <w:sz w:val="24"/>
          <w:szCs w:val="24"/>
          <w:rFonts w:ascii="Times New Roman" w:hAnsi="Times New Roman" w:cs="Times New Roman"/>
        </w:rPr>
      </w:pPr>
      <w:r>
        <w:rPr>
          <w:sz w:val="24"/>
          <w:i/>
          <w:rFonts w:ascii="Times New Roman" w:hAnsi="Times New Roman"/>
        </w:rPr>
        <w:t xml:space="preserve">Apartado 3.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Se excluyen ciertos elementos necesarios para plegar el material, sujetar el fondo y abrir y cerrar el embalaje exterior.</w:t>
      </w:r>
    </w:p>
    <w:p w14:paraId="526A8367" w14:textId="25CF63D5" w:rsidR="00320622" w:rsidRDefault="00302CB7" w:rsidP="00302CB7">
      <w:pPr>
        <w:spacing w:line="240" w:lineRule="auto"/>
        <w:rPr>
          <w:sz w:val="24"/>
          <w:szCs w:val="24"/>
          <w:rFonts w:ascii="Times New Roman" w:hAnsi="Times New Roman" w:cs="Times New Roman"/>
        </w:rPr>
      </w:pPr>
      <w:r>
        <w:rPr>
          <w:sz w:val="24"/>
          <w:i/>
          <w:rFonts w:ascii="Times New Roman" w:hAnsi="Times New Roman"/>
        </w:rPr>
        <w:t xml:space="preserve">Apartado 4.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Las excepciones previstas en el apartado 5, puntos 2 y 3, solo se aplicarán mientras la desigualdad no dé al envase una expresión única, un efecto de sensibilización o pueda considerarse contrario al requisito de un diseño normalizado, para todas las unidades de envasado y embalajes exteriores que contengan cigarrillos electrónicos y envases de recarga con y sin nicotina.</w:t>
      </w:r>
    </w:p>
    <w:p w14:paraId="703EA15C" w14:textId="56507F1D" w:rsidR="004009A5" w:rsidRPr="00857781" w:rsidRDefault="00D9738B" w:rsidP="00A24471">
      <w:pPr>
        <w:pStyle w:val="HTMLPreformatted"/>
        <w:rPr>
          <w:sz w:val="24"/>
          <w:szCs w:val="24"/>
          <w:rFonts w:ascii="Times New Roman" w:hAnsi="Times New Roman" w:cs="Times New Roman"/>
        </w:rPr>
      </w:pPr>
      <w:r>
        <w:rPr>
          <w:sz w:val="24"/>
          <w:b/>
          <w:rFonts w:ascii="Times New Roman" w:hAnsi="Times New Roman"/>
        </w:rPr>
        <w:t xml:space="preserve">Artículo 6.</w:t>
      </w:r>
      <w:r>
        <w:rPr>
          <w:sz w:val="24"/>
          <w:b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Las superficies, etc., de las unidades de envasado y los embalajes exteriores solo podrán aplicarse a los elementos establecidos por la ley.</w:t>
      </w:r>
      <w:r>
        <w:rPr>
          <w:sz w:val="24"/>
          <w:rFonts w:ascii="Times New Roman" w:hAnsi="Times New Roman"/>
        </w:rPr>
        <w:t xml:space="preserve"> </w:t>
      </w:r>
    </w:p>
    <w:p w14:paraId="6B65F25E" w14:textId="202F8760" w:rsidR="004009A5" w:rsidRPr="00E9280B" w:rsidRDefault="004009A5" w:rsidP="004009A5">
      <w:pPr>
        <w:rPr>
          <w:rFonts w:ascii="Times New Roman" w:hAnsi="Times New Roman" w:cs="Times New Roman"/>
          <w:sz w:val="24"/>
          <w:szCs w:val="24"/>
        </w:rPr>
      </w:pPr>
    </w:p>
    <w:p w14:paraId="410FFE07" w14:textId="77777777" w:rsidR="004009A5" w:rsidRPr="00E9280B" w:rsidRDefault="004009A5" w:rsidP="004009A5">
      <w:pPr>
        <w:jc w:val="center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Capítulo 4</w:t>
      </w:r>
    </w:p>
    <w:p w14:paraId="664672ED" w14:textId="52382E40" w:rsidR="004009A5" w:rsidRPr="00711F3F" w:rsidRDefault="004009A5" w:rsidP="00711F3F">
      <w:pPr>
        <w:jc w:val="center"/>
        <w:rPr>
          <w:i/>
          <w:sz w:val="24"/>
          <w:szCs w:val="24"/>
          <w:rFonts w:ascii="Times New Roman" w:hAnsi="Times New Roman" w:cs="Times New Roman"/>
        </w:rPr>
      </w:pPr>
      <w:r>
        <w:rPr>
          <w:i/>
          <w:sz w:val="24"/>
          <w:rFonts w:ascii="Times New Roman" w:hAnsi="Times New Roman"/>
        </w:rPr>
        <w:t xml:space="preserve">Envoltorios de las unidades de envasado y los embalajes exteriores de cigarrillos electrónicos y envases de recarga con y sin nicotina</w:t>
      </w:r>
    </w:p>
    <w:p w14:paraId="37B3D713" w14:textId="3FF211A7" w:rsidR="004009A5" w:rsidRPr="00E9280B" w:rsidRDefault="00D9738B" w:rsidP="0045177E">
      <w:pPr>
        <w:spacing w:line="240" w:lineRule="auto"/>
        <w:rPr>
          <w:sz w:val="24"/>
          <w:szCs w:val="24"/>
          <w:rFonts w:ascii="Times New Roman" w:hAnsi="Times New Roman" w:cs="Times New Roman"/>
        </w:rPr>
      </w:pPr>
      <w:r>
        <w:rPr>
          <w:sz w:val="24"/>
          <w:b/>
          <w:rFonts w:ascii="Times New Roman" w:hAnsi="Times New Roman"/>
        </w:rPr>
        <w:t xml:space="preserve">Artículo 7.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Las unidades de envasado y los embalajes exteriores deberán cubrirse con un envoltorio.</w:t>
      </w:r>
      <w:r>
        <w:rPr>
          <w:sz w:val="24"/>
          <w:rFonts w:ascii="Times New Roman" w:hAnsi="Times New Roman"/>
        </w:rPr>
        <w:t xml:space="preserve"> </w:t>
      </w:r>
    </w:p>
    <w:p w14:paraId="05EAEC40" w14:textId="2035B4E1" w:rsidR="004009A5" w:rsidRPr="00E9280B" w:rsidRDefault="004009A5" w:rsidP="0045177E">
      <w:pPr>
        <w:spacing w:line="240" w:lineRule="auto"/>
        <w:rPr>
          <w:sz w:val="24"/>
          <w:szCs w:val="24"/>
          <w:rFonts w:ascii="Times New Roman" w:hAnsi="Times New Roman" w:cs="Times New Roman"/>
        </w:rPr>
      </w:pPr>
      <w:r>
        <w:rPr>
          <w:sz w:val="24"/>
          <w:i/>
          <w:rFonts w:ascii="Times New Roman" w:hAnsi="Times New Roman"/>
        </w:rPr>
        <w:t xml:space="preserve">Apartado 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Los envoltorios serán planos y lisos, y no deberán presentar irregularidades como marcas, relieves, texturas, depresiones, elevaciones o cualquier otra forma o estructura.</w:t>
      </w:r>
    </w:p>
    <w:p w14:paraId="20760A2D" w14:textId="5A4A4A1B" w:rsidR="004009A5" w:rsidRPr="00E9280B" w:rsidRDefault="004009A5" w:rsidP="0045177E">
      <w:pPr>
        <w:spacing w:line="240" w:lineRule="auto"/>
        <w:rPr>
          <w:sz w:val="24"/>
          <w:szCs w:val="24"/>
          <w:rFonts w:ascii="Times New Roman" w:hAnsi="Times New Roman" w:cs="Times New Roman"/>
        </w:rPr>
      </w:pPr>
      <w:r>
        <w:rPr>
          <w:sz w:val="24"/>
          <w:i/>
          <w:rFonts w:ascii="Times New Roman" w:hAnsi="Times New Roman"/>
        </w:rPr>
        <w:t xml:space="preserve">Apartado 3.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La tira utilizada para abrir los envoltorios será transparente o de color negro.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Deberá tener una anchura no superior a 3 mm y ser paralela al borde superior del paquete.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La tira formará una línea recta continua transparente o negra de 15 mm de largo, como máximo, que indicará el extremo por el que comienza la tira.</w:t>
      </w:r>
    </w:p>
    <w:p w14:paraId="6CE42DE2" w14:textId="77387C15" w:rsidR="004009A5" w:rsidRDefault="004009A5" w:rsidP="0045177E">
      <w:pPr>
        <w:spacing w:line="240" w:lineRule="auto"/>
        <w:rPr>
          <w:sz w:val="24"/>
          <w:szCs w:val="24"/>
          <w:rFonts w:ascii="Times New Roman" w:hAnsi="Times New Roman" w:cs="Times New Roman"/>
        </w:rPr>
      </w:pPr>
      <w:r>
        <w:rPr>
          <w:sz w:val="24"/>
          <w:i/>
          <w:rFonts w:ascii="Times New Roman" w:hAnsi="Times New Roman"/>
        </w:rPr>
        <w:t xml:space="preserve">Apartado 4.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Una tira de color negro no deberá cubrir ni ocultar las advertencias sanitarias u otras marcas, etc., en virtud de una normativa distinta.</w:t>
      </w:r>
    </w:p>
    <w:p w14:paraId="08C116A4" w14:textId="262EE062" w:rsidR="004009A5" w:rsidRPr="00E9280B" w:rsidRDefault="004009A5" w:rsidP="0045177E">
      <w:pPr>
        <w:spacing w:line="240" w:lineRule="auto"/>
        <w:rPr>
          <w:sz w:val="24"/>
          <w:szCs w:val="24"/>
          <w:rFonts w:ascii="Times New Roman" w:hAnsi="Times New Roman" w:cs="Times New Roman"/>
        </w:rPr>
      </w:pPr>
      <w:r>
        <w:rPr>
          <w:sz w:val="24"/>
          <w:i/>
          <w:rFonts w:ascii="Times New Roman" w:hAnsi="Times New Roman"/>
        </w:rPr>
        <w:t xml:space="preserve">Apartado 5.</w:t>
      </w:r>
      <w:r>
        <w:rPr>
          <w:sz w:val="24"/>
          <w:i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Los envoltorios se aplicarán únicamente a los elementos necesarios para el proceso de producción y no alterarán la expresión normalizada.</w:t>
      </w:r>
    </w:p>
    <w:p w14:paraId="728E3577" w14:textId="77777777" w:rsidR="004009A5" w:rsidRPr="00E9280B" w:rsidRDefault="004009A5" w:rsidP="004009A5">
      <w:pPr>
        <w:rPr>
          <w:rFonts w:ascii="Times New Roman" w:hAnsi="Times New Roman" w:cs="Times New Roman"/>
          <w:sz w:val="24"/>
          <w:szCs w:val="24"/>
        </w:rPr>
      </w:pPr>
    </w:p>
    <w:p w14:paraId="54A616A8" w14:textId="77777777" w:rsidR="004009A5" w:rsidRPr="00E9280B" w:rsidRDefault="004009A5" w:rsidP="004009A5">
      <w:pPr>
        <w:jc w:val="center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Capítulo 5</w:t>
      </w:r>
    </w:p>
    <w:p w14:paraId="02C011C3" w14:textId="16DDE974" w:rsidR="004009A5" w:rsidRDefault="004009A5" w:rsidP="004009A5">
      <w:pPr>
        <w:jc w:val="center"/>
        <w:rPr>
          <w:i/>
          <w:sz w:val="24"/>
          <w:szCs w:val="24"/>
          <w:rFonts w:ascii="Times New Roman" w:hAnsi="Times New Roman" w:cs="Times New Roman"/>
        </w:rPr>
      </w:pPr>
      <w:r>
        <w:rPr>
          <w:i/>
          <w:sz w:val="24"/>
          <w:rFonts w:ascii="Times New Roman" w:hAnsi="Times New Roman"/>
        </w:rPr>
        <w:t xml:space="preserve">Etiquetado, etc., de las unidades de envasado y los embalajes exteriores de cigarrillos electrónicos y envases de recarga con y sin nicotina</w:t>
      </w:r>
    </w:p>
    <w:p w14:paraId="56E12829" w14:textId="4948007A" w:rsidR="004009A5" w:rsidRDefault="00D9738B" w:rsidP="0009506E">
      <w:pPr>
        <w:spacing w:after="0" w:line="240" w:lineRule="auto"/>
        <w:rPr>
          <w:sz w:val="24"/>
          <w:szCs w:val="24"/>
          <w:rFonts w:ascii="Times New Roman" w:hAnsi="Times New Roman" w:cs="Times New Roman"/>
        </w:rPr>
      </w:pPr>
      <w:r>
        <w:rPr>
          <w:sz w:val="24"/>
          <w:b/>
          <w:rFonts w:ascii="Times New Roman" w:hAnsi="Times New Roman"/>
        </w:rPr>
        <w:t xml:space="preserve">Artículo 8.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El etiquetado conforme a los criterios de la presente Orden no deberá ocultar, total o parcialmente, los textos, las advertencias u otro etiquetado, etc., establecidos en virtud de una normativa distinta.</w:t>
      </w:r>
    </w:p>
    <w:p w14:paraId="12BE8940" w14:textId="77777777" w:rsidR="0009506E" w:rsidRPr="00480CCA" w:rsidRDefault="0009506E" w:rsidP="000950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BCC714" w14:textId="15A71CA1" w:rsidR="0009506E" w:rsidRPr="00E9280B" w:rsidRDefault="00D9738B" w:rsidP="0009506E">
      <w:pPr>
        <w:spacing w:after="0" w:line="240" w:lineRule="auto"/>
        <w:rPr>
          <w:sz w:val="24"/>
          <w:szCs w:val="24"/>
          <w:rFonts w:ascii="Times New Roman" w:hAnsi="Times New Roman" w:cs="Times New Roman"/>
        </w:rPr>
      </w:pPr>
      <w:r>
        <w:rPr>
          <w:sz w:val="24"/>
          <w:b/>
          <w:rFonts w:ascii="Times New Roman" w:hAnsi="Times New Roman"/>
        </w:rPr>
        <w:t xml:space="preserve">Artículo 9.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Las unidades de envasado y los embalajes exteriores pueden etiquetarse en dos lugares indicando el nombre de la marca y el nombre del producto.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El texto imprimido:</w:t>
      </w:r>
    </w:p>
    <w:p w14:paraId="0BF12D86" w14:textId="5CBAD614" w:rsidR="004009A5" w:rsidRPr="00E9280B" w:rsidRDefault="004009A5" w:rsidP="00A1280F">
      <w:pPr>
        <w:numPr>
          <w:ilvl w:val="0"/>
          <w:numId w:val="12"/>
        </w:numPr>
        <w:spacing w:after="0" w:line="240" w:lineRule="auto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estará en letras minúsculas (a-å), excepto la primera letra, que estará en mayúsculas;</w:t>
      </w:r>
      <w:r>
        <w:rPr>
          <w:sz w:val="24"/>
          <w:rFonts w:ascii="Times New Roman" w:hAnsi="Times New Roman"/>
        </w:rPr>
        <w:t xml:space="preserve"> </w:t>
      </w:r>
    </w:p>
    <w:p w14:paraId="3E6C2BCC" w14:textId="77777777" w:rsidR="004009A5" w:rsidRPr="00E9280B" w:rsidRDefault="004009A5" w:rsidP="00A1280F">
      <w:pPr>
        <w:numPr>
          <w:ilvl w:val="0"/>
          <w:numId w:val="12"/>
        </w:numPr>
        <w:spacing w:after="0" w:line="240" w:lineRule="auto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contendrá los números 0-9;</w:t>
      </w:r>
    </w:p>
    <w:p w14:paraId="56D8FAD6" w14:textId="77777777" w:rsidR="004009A5" w:rsidRDefault="004009A5" w:rsidP="00A1280F">
      <w:pPr>
        <w:numPr>
          <w:ilvl w:val="0"/>
          <w:numId w:val="12"/>
        </w:numPr>
        <w:spacing w:after="0" w:line="240" w:lineRule="auto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se imprimirá en Helvética;</w:t>
      </w:r>
    </w:p>
    <w:p w14:paraId="5D1BD9C1" w14:textId="5AC5E1C4" w:rsidR="004009A5" w:rsidRPr="008E7C5A" w:rsidRDefault="00C51654" w:rsidP="00A1280F">
      <w:pPr>
        <w:pStyle w:val="HTMLPreformatted"/>
        <w:numPr>
          <w:ilvl w:val="0"/>
          <w:numId w:val="12"/>
        </w:numPr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puede consistir en los símbolos entre paréntesis (-), acento agudo (´), apóstrofe (’) y el signo et (&amp;)</w:t>
      </w:r>
    </w:p>
    <w:p w14:paraId="107D9E2D" w14:textId="6C9FF18D" w:rsidR="004009A5" w:rsidRPr="00E9280B" w:rsidRDefault="004009A5" w:rsidP="00A1280F">
      <w:pPr>
        <w:numPr>
          <w:ilvl w:val="0"/>
          <w:numId w:val="12"/>
        </w:numPr>
        <w:spacing w:after="0" w:line="240" w:lineRule="auto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será de color Pantone Cool Gray 2 C mate;</w:t>
      </w:r>
      <w:r>
        <w:rPr>
          <w:sz w:val="24"/>
          <w:rFonts w:ascii="Times New Roman" w:hAnsi="Times New Roman"/>
        </w:rPr>
        <w:t xml:space="preserve"> </w:t>
      </w:r>
    </w:p>
    <w:p w14:paraId="3E29EEC0" w14:textId="77777777" w:rsidR="004009A5" w:rsidRPr="00E9280B" w:rsidRDefault="004009A5" w:rsidP="00A1280F">
      <w:pPr>
        <w:numPr>
          <w:ilvl w:val="0"/>
          <w:numId w:val="12"/>
        </w:numPr>
        <w:spacing w:after="0" w:line="240" w:lineRule="auto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tendrá un tamaño no superior a 10 puntos;</w:t>
      </w:r>
      <w:r>
        <w:rPr>
          <w:sz w:val="24"/>
          <w:rFonts w:ascii="Times New Roman" w:hAnsi="Times New Roman"/>
        </w:rPr>
        <w:t xml:space="preserve"> </w:t>
      </w:r>
    </w:p>
    <w:p w14:paraId="7E9D5B15" w14:textId="467EDC0D" w:rsidR="004009A5" w:rsidRDefault="004009A5" w:rsidP="00A1280F">
      <w:pPr>
        <w:numPr>
          <w:ilvl w:val="0"/>
          <w:numId w:val="12"/>
        </w:numPr>
        <w:spacing w:after="0" w:line="240" w:lineRule="auto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irá en la misma dirección que el texto de la advertencia sanitaria.</w:t>
      </w:r>
    </w:p>
    <w:p w14:paraId="0BCCBB1D" w14:textId="77777777" w:rsidR="00315A47" w:rsidRPr="00256C6D" w:rsidRDefault="00315A47" w:rsidP="00315A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BC28C4" w14:textId="4451D92B" w:rsidR="004009A5" w:rsidRDefault="004009A5" w:rsidP="0009506E">
      <w:pPr>
        <w:spacing w:after="0"/>
        <w:rPr>
          <w:sz w:val="24"/>
          <w:szCs w:val="24"/>
          <w:rFonts w:ascii="Times New Roman" w:hAnsi="Times New Roman" w:cs="Times New Roman"/>
        </w:rPr>
      </w:pPr>
      <w:r>
        <w:rPr>
          <w:sz w:val="24"/>
          <w:i/>
          <w:rFonts w:ascii="Times New Roman" w:hAnsi="Times New Roman"/>
        </w:rPr>
        <w:t xml:space="preserve">Apartado 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El nombre de la marca no ocupará más de una línea.</w:t>
      </w:r>
    </w:p>
    <w:p w14:paraId="13051992" w14:textId="77777777" w:rsidR="00AB0A10" w:rsidRPr="00E9280B" w:rsidRDefault="00AB0A10" w:rsidP="0009506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40EEC3" w14:textId="7BD8ADE0" w:rsidR="004009A5" w:rsidRDefault="004009A5" w:rsidP="004C30A4">
      <w:pPr>
        <w:rPr>
          <w:sz w:val="24"/>
          <w:szCs w:val="24"/>
          <w:rFonts w:ascii="Times New Roman" w:hAnsi="Times New Roman" w:cs="Times New Roman"/>
        </w:rPr>
      </w:pPr>
      <w:r>
        <w:rPr>
          <w:sz w:val="24"/>
          <w:i/>
          <w:rFonts w:ascii="Times New Roman" w:hAnsi="Times New Roman"/>
        </w:rPr>
        <w:t xml:space="preserve">Apartado 3.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El nombre del producto no ocupará más de una línea y se imprimirá directamente debajo del nombre de la marca.</w:t>
      </w:r>
      <w:r>
        <w:rPr>
          <w:sz w:val="24"/>
          <w:rFonts w:ascii="Times New Roman" w:hAnsi="Times New Roman"/>
        </w:rPr>
        <w:t xml:space="preserve"> </w:t>
      </w:r>
    </w:p>
    <w:p w14:paraId="0C76A8F5" w14:textId="0FB72E99" w:rsidR="00567248" w:rsidRDefault="00D9738B" w:rsidP="00567248">
      <w:pPr>
        <w:spacing w:after="0"/>
        <w:rPr>
          <w:sz w:val="24"/>
          <w:szCs w:val="24"/>
          <w:rFonts w:ascii="Times New Roman" w:hAnsi="Times New Roman" w:cs="Times New Roman"/>
        </w:rPr>
      </w:pPr>
      <w:r>
        <w:rPr>
          <w:sz w:val="24"/>
          <w:b/>
          <w:rFonts w:ascii="Times New Roman" w:hAnsi="Times New Roman"/>
        </w:rPr>
        <w:t xml:space="preserve">Artículo 10.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Las unidades de envasado y los embalajes exteriores deben estar marcados con la identificación del producto de acuerdo con el contenido del paquete y pueden estar etiquetados con la información sobre el tipo de producto que se utilizará con el producto.</w:t>
      </w:r>
    </w:p>
    <w:p w14:paraId="196EF505" w14:textId="77838AF4" w:rsidR="004009A5" w:rsidRPr="00E9280B" w:rsidRDefault="004009A5" w:rsidP="00567248">
      <w:pPr>
        <w:spacing w:after="0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 </w:t>
      </w:r>
    </w:p>
    <w:p w14:paraId="50BA7903" w14:textId="1E8577DF" w:rsidR="004009A5" w:rsidRPr="00E9280B" w:rsidRDefault="004009A5" w:rsidP="00567248">
      <w:pPr>
        <w:spacing w:after="0"/>
        <w:rPr>
          <w:sz w:val="24"/>
          <w:szCs w:val="24"/>
          <w:rFonts w:ascii="Times New Roman" w:hAnsi="Times New Roman" w:cs="Times New Roman"/>
        </w:rPr>
      </w:pPr>
      <w:r>
        <w:rPr>
          <w:sz w:val="24"/>
          <w:i/>
          <w:rFonts w:ascii="Times New Roman" w:hAnsi="Times New Roman"/>
        </w:rPr>
        <w:t xml:space="preserve">Apartado 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Los embalajes exteriores y las unidades de envasado de los cigarrillos electrónicos y los envases</w:t>
      </w:r>
      <w:r>
        <w:rPr>
          <w:sz w:val="24"/>
          <w:i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de recarga con y sin nicotina que contienen aromas característicos podrán etiquetarse una vez con el texto:</w:t>
      </w:r>
    </w:p>
    <w:p w14:paraId="1CC14AC6" w14:textId="7F7A385D" w:rsidR="004009A5" w:rsidRPr="00E9280B" w:rsidRDefault="001E0CEF" w:rsidP="00567248">
      <w:pPr>
        <w:pStyle w:val="ListParagraph"/>
        <w:numPr>
          <w:ilvl w:val="0"/>
          <w:numId w:val="3"/>
        </w:numPr>
        <w:spacing w:after="0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«Con sabor a tabaco»; o</w:t>
      </w:r>
    </w:p>
    <w:p w14:paraId="4244D5D7" w14:textId="16F65FF9" w:rsidR="004009A5" w:rsidRDefault="001E0CEF" w:rsidP="00567248">
      <w:pPr>
        <w:numPr>
          <w:ilvl w:val="0"/>
          <w:numId w:val="3"/>
        </w:numPr>
        <w:spacing w:after="0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«Con sabor a mentol».</w:t>
      </w:r>
    </w:p>
    <w:p w14:paraId="0BECB6C6" w14:textId="77777777" w:rsidR="00567248" w:rsidRPr="007F566B" w:rsidRDefault="00567248" w:rsidP="0056724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CC6D2C" w14:textId="77777777" w:rsidR="004009A5" w:rsidRPr="00E9280B" w:rsidRDefault="004009A5" w:rsidP="009B2A08">
      <w:pPr>
        <w:spacing w:after="0"/>
        <w:rPr>
          <w:sz w:val="24"/>
          <w:szCs w:val="24"/>
          <w:rFonts w:ascii="Times New Roman" w:hAnsi="Times New Roman" w:cs="Times New Roman"/>
        </w:rPr>
      </w:pPr>
      <w:r>
        <w:rPr>
          <w:sz w:val="24"/>
          <w:i/>
          <w:rFonts w:ascii="Times New Roman" w:hAnsi="Times New Roman"/>
        </w:rPr>
        <w:t xml:space="preserve">Apartado 3.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El texto imprimido según los apartados 1 y 2:</w:t>
      </w:r>
    </w:p>
    <w:p w14:paraId="6E85298B" w14:textId="203C5281" w:rsidR="004009A5" w:rsidRPr="00E9280B" w:rsidRDefault="004009A5" w:rsidP="009F36F8">
      <w:pPr>
        <w:numPr>
          <w:ilvl w:val="0"/>
          <w:numId w:val="13"/>
        </w:numPr>
        <w:spacing w:after="0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estará en letras minúsculas (a-å), excepto la primera letra, que estará en mayúsculas;</w:t>
      </w:r>
      <w:r>
        <w:rPr>
          <w:sz w:val="24"/>
          <w:rFonts w:ascii="Times New Roman" w:hAnsi="Times New Roman"/>
        </w:rPr>
        <w:t xml:space="preserve"> </w:t>
      </w:r>
    </w:p>
    <w:p w14:paraId="05979D4E" w14:textId="77777777" w:rsidR="004009A5" w:rsidRPr="003973E4" w:rsidRDefault="004009A5" w:rsidP="009F36F8">
      <w:pPr>
        <w:numPr>
          <w:ilvl w:val="0"/>
          <w:numId w:val="13"/>
        </w:numPr>
        <w:spacing w:after="0"/>
      </w:pPr>
      <w:r>
        <w:rPr>
          <w:sz w:val="24"/>
          <w:rFonts w:ascii="Times New Roman" w:hAnsi="Times New Roman"/>
        </w:rPr>
        <w:t xml:space="preserve">contendrá los números 0-9;</w:t>
      </w:r>
    </w:p>
    <w:p w14:paraId="247A6AB7" w14:textId="25BDD843" w:rsidR="004009A5" w:rsidRPr="00E9280B" w:rsidRDefault="004009A5" w:rsidP="009F36F8">
      <w:pPr>
        <w:numPr>
          <w:ilvl w:val="0"/>
          <w:numId w:val="13"/>
        </w:numPr>
        <w:spacing w:after="0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se imprimirá en Helvética;</w:t>
      </w:r>
    </w:p>
    <w:p w14:paraId="075CBCDC" w14:textId="48E40D7D" w:rsidR="004009A5" w:rsidRPr="00E9280B" w:rsidRDefault="004009A5" w:rsidP="009F36F8">
      <w:pPr>
        <w:numPr>
          <w:ilvl w:val="0"/>
          <w:numId w:val="13"/>
        </w:numPr>
        <w:spacing w:after="0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será de color Pantone Cool Gray 2 C mate;</w:t>
      </w:r>
    </w:p>
    <w:p w14:paraId="0BC5F740" w14:textId="77777777" w:rsidR="004009A5" w:rsidRPr="00E9280B" w:rsidRDefault="004009A5" w:rsidP="009F36F8">
      <w:pPr>
        <w:numPr>
          <w:ilvl w:val="0"/>
          <w:numId w:val="13"/>
        </w:numPr>
        <w:spacing w:after="0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tendrá un tamaño no superior a 10 puntos;</w:t>
      </w:r>
    </w:p>
    <w:p w14:paraId="7277462D" w14:textId="27E92F0E" w:rsidR="004009A5" w:rsidRDefault="004009A5" w:rsidP="009F36F8">
      <w:pPr>
        <w:numPr>
          <w:ilvl w:val="0"/>
          <w:numId w:val="13"/>
        </w:numPr>
        <w:spacing w:after="0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irá en la misma dirección que el texto de la advertencia sanitaria.</w:t>
      </w:r>
      <w:r>
        <w:rPr>
          <w:sz w:val="24"/>
          <w:rFonts w:ascii="Times New Roman" w:hAnsi="Times New Roman"/>
        </w:rPr>
        <w:t xml:space="preserve"> </w:t>
      </w:r>
    </w:p>
    <w:p w14:paraId="37BEE6C1" w14:textId="77777777" w:rsidR="00DB509A" w:rsidRPr="00DB509A" w:rsidRDefault="00DB509A" w:rsidP="00DB509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CC202F" w14:textId="49AF25B2" w:rsidR="004009A5" w:rsidRPr="00E9280B" w:rsidRDefault="00D9738B" w:rsidP="00F05E37">
      <w:pPr>
        <w:spacing w:after="0"/>
        <w:rPr>
          <w:sz w:val="24"/>
          <w:szCs w:val="24"/>
          <w:rFonts w:ascii="Times New Roman" w:hAnsi="Times New Roman" w:cs="Times New Roman"/>
        </w:rPr>
      </w:pPr>
      <w:r>
        <w:rPr>
          <w:sz w:val="24"/>
          <w:b/>
          <w:rFonts w:ascii="Times New Roman" w:hAnsi="Times New Roman"/>
        </w:rPr>
        <w:t xml:space="preserve">Artículo 11.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Las unidades de envasado y los embalajes exteriores que contienen cigarrillos electrónicos y envases de recarga</w:t>
      </w:r>
      <w:r>
        <w:rPr>
          <w:sz w:val="24"/>
          <w:i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con y sin nicotina deberán estar marcados con un código de barras siempre y cuando</w:t>
      </w:r>
    </w:p>
    <w:p w14:paraId="05FBA463" w14:textId="77777777" w:rsidR="004009A5" w:rsidRPr="00E9280B" w:rsidRDefault="004009A5" w:rsidP="004C055E">
      <w:pPr>
        <w:numPr>
          <w:ilvl w:val="0"/>
          <w:numId w:val="14"/>
        </w:numPr>
        <w:spacing w:after="0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se utilice para fines de pago, distribución y control de las existencias;</w:t>
      </w:r>
    </w:p>
    <w:p w14:paraId="21DE205D" w14:textId="1675FB21" w:rsidR="004009A5" w:rsidRPr="00E9280B" w:rsidRDefault="004009A5" w:rsidP="004C055E">
      <w:pPr>
        <w:numPr>
          <w:ilvl w:val="0"/>
          <w:numId w:val="14"/>
        </w:numPr>
        <w:spacing w:after="0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sea de color negro sobre un fondo blanco o Pantone 451 C, sin revestimiento, sobre un fondo blanco;</w:t>
      </w:r>
      <w:r>
        <w:rPr>
          <w:sz w:val="24"/>
          <w:rFonts w:ascii="Times New Roman" w:hAnsi="Times New Roman"/>
        </w:rPr>
        <w:t xml:space="preserve"> </w:t>
      </w:r>
    </w:p>
    <w:p w14:paraId="618C64AD" w14:textId="77777777" w:rsidR="004009A5" w:rsidRPr="00E9280B" w:rsidRDefault="004009A5" w:rsidP="004C055E">
      <w:pPr>
        <w:numPr>
          <w:ilvl w:val="0"/>
          <w:numId w:val="14"/>
        </w:numPr>
        <w:spacing w:after="0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no forme un patrón, imagen o símbolo que pueda parecer cualquier otra cosa que no sea un código de barras; y</w:t>
      </w:r>
    </w:p>
    <w:p w14:paraId="17474EB8" w14:textId="77B770E6" w:rsidR="004009A5" w:rsidRDefault="004009A5" w:rsidP="004C055E">
      <w:pPr>
        <w:numPr>
          <w:ilvl w:val="0"/>
          <w:numId w:val="14"/>
        </w:numPr>
        <w:spacing w:after="0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no aparezca en la parte inferior o lateral del paquete si este tiene forma de paralelepípedo.</w:t>
      </w:r>
    </w:p>
    <w:p w14:paraId="53732821" w14:textId="77777777" w:rsidR="00AA4176" w:rsidRPr="00AA4176" w:rsidRDefault="00AA4176" w:rsidP="00AA4176">
      <w:pPr>
        <w:rPr>
          <w:rFonts w:ascii="Times New Roman" w:hAnsi="Times New Roman" w:cs="Times New Roman"/>
          <w:sz w:val="24"/>
          <w:szCs w:val="24"/>
        </w:rPr>
      </w:pPr>
    </w:p>
    <w:p w14:paraId="25A39E58" w14:textId="5A9AB3C1" w:rsidR="004009A5" w:rsidRPr="00A23DED" w:rsidRDefault="004009A5" w:rsidP="004009A5">
      <w:pPr>
        <w:pStyle w:val="HTMLPreformatted"/>
        <w:rPr>
          <w:sz w:val="24"/>
          <w:szCs w:val="24"/>
          <w:rFonts w:ascii="Times New Roman" w:hAnsi="Times New Roman" w:cs="Times New Roman"/>
        </w:rPr>
      </w:pPr>
      <w:r>
        <w:rPr>
          <w:sz w:val="24"/>
          <w:b/>
          <w:rFonts w:ascii="Times New Roman" w:hAnsi="Times New Roman"/>
        </w:rPr>
        <w:t xml:space="preserve">Artículo 12.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Las unidades de envasado y los embalajes exteriores para cigarrillos electrónicos y envases de recarga</w:t>
      </w:r>
      <w:r>
        <w:rPr>
          <w:sz w:val="24"/>
          <w:i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con y sin nicotina podrán colocarse en el etiquetado de la producción, incluido el número de lote, siempre que el etiquetado:</w:t>
      </w:r>
    </w:p>
    <w:p w14:paraId="10FE63F9" w14:textId="6F09D774" w:rsidR="004009A5" w:rsidRPr="00A23DED" w:rsidRDefault="004009A5" w:rsidP="00A26A6E">
      <w:pPr>
        <w:pStyle w:val="HTMLPreformatted"/>
        <w:numPr>
          <w:ilvl w:val="0"/>
          <w:numId w:val="15"/>
        </w:numPr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se utilice para cumplir con otras normas aplicables, incluidas las normas sobre seguimiento y tasas;</w:t>
      </w:r>
    </w:p>
    <w:p w14:paraId="0A4DFE4F" w14:textId="2AABE75B" w:rsidR="004009A5" w:rsidRPr="00A23DED" w:rsidRDefault="004009A5" w:rsidP="00A26A6E">
      <w:pPr>
        <w:pStyle w:val="HTMLPreformatted"/>
        <w:numPr>
          <w:ilvl w:val="0"/>
          <w:numId w:val="15"/>
        </w:numPr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sea negro sobre fondo blanco o </w:t>
      </w:r>
      <w:r>
        <w:rPr>
          <w:sz w:val="24"/>
          <w:rStyle w:val="A1"/>
          <w:rFonts w:ascii="Times New Roman" w:hAnsi="Times New Roman"/>
        </w:rPr>
        <w:t xml:space="preserve">Pantone Cool Gray 2 C</w:t>
      </w:r>
      <w:r>
        <w:rPr>
          <w:sz w:val="24"/>
          <w:rFonts w:ascii="Times New Roman" w:hAnsi="Times New Roman"/>
        </w:rPr>
        <w:t xml:space="preserve"> mate sobre fondo blanco;</w:t>
      </w:r>
      <w:r>
        <w:rPr>
          <w:sz w:val="24"/>
          <w:rFonts w:ascii="Times New Roman" w:hAnsi="Times New Roman"/>
        </w:rPr>
        <w:t xml:space="preserve"> </w:t>
      </w:r>
    </w:p>
    <w:p w14:paraId="6D21CEAD" w14:textId="77777777" w:rsidR="004009A5" w:rsidRPr="00A23DED" w:rsidRDefault="004009A5" w:rsidP="00A26A6E">
      <w:pPr>
        <w:pStyle w:val="HTMLPreformatted"/>
        <w:numPr>
          <w:ilvl w:val="0"/>
          <w:numId w:val="15"/>
        </w:numPr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no constituya una imagen, un patrón o un símbolo que imite cualquier otra cosa que no sea el etiquetado de la producción;</w:t>
      </w:r>
    </w:p>
    <w:p w14:paraId="4502A29B" w14:textId="0F209152" w:rsidR="004009A5" w:rsidRPr="00A23DED" w:rsidRDefault="004009A5" w:rsidP="00A26A6E">
      <w:pPr>
        <w:pStyle w:val="HTMLPreformatted"/>
        <w:numPr>
          <w:ilvl w:val="0"/>
          <w:numId w:val="15"/>
        </w:numPr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se encuentre en la parte inferior o lateral del envase, y</w:t>
      </w:r>
    </w:p>
    <w:p w14:paraId="1124F38C" w14:textId="6F73A850" w:rsidR="004009A5" w:rsidRPr="00A23DED" w:rsidRDefault="004009A5" w:rsidP="00A26A6E">
      <w:pPr>
        <w:pStyle w:val="HTMLPreformatted"/>
        <w:numPr>
          <w:ilvl w:val="0"/>
          <w:numId w:val="15"/>
        </w:numPr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no se considere contrario al requisito de un diseño normalizado para todos los productos que contengan cigarrillos electrónicos y envases de recargas</w:t>
      </w:r>
      <w:r>
        <w:rPr>
          <w:sz w:val="24"/>
          <w:i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con y sin nicotina.</w:t>
      </w:r>
    </w:p>
    <w:p w14:paraId="7FCD5ED5" w14:textId="62086A02" w:rsidR="004009A5" w:rsidRPr="00E9280B" w:rsidRDefault="004009A5" w:rsidP="004009A5">
      <w:pPr>
        <w:rPr>
          <w:rFonts w:ascii="Times New Roman" w:hAnsi="Times New Roman" w:cs="Times New Roman"/>
          <w:sz w:val="24"/>
          <w:szCs w:val="24"/>
        </w:rPr>
      </w:pPr>
    </w:p>
    <w:p w14:paraId="04BC20F2" w14:textId="77777777" w:rsidR="004009A5" w:rsidRPr="00E9280B" w:rsidRDefault="004009A5" w:rsidP="004009A5">
      <w:pPr>
        <w:jc w:val="center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Capítulo 6</w:t>
      </w:r>
    </w:p>
    <w:p w14:paraId="4048984A" w14:textId="77777777" w:rsidR="004009A5" w:rsidRPr="00E9280B" w:rsidRDefault="004009A5" w:rsidP="004009A5">
      <w:pPr>
        <w:jc w:val="center"/>
        <w:rPr>
          <w:sz w:val="24"/>
          <w:szCs w:val="24"/>
          <w:rFonts w:ascii="Times New Roman" w:hAnsi="Times New Roman" w:cs="Times New Roman"/>
        </w:rPr>
      </w:pPr>
      <w:r>
        <w:rPr>
          <w:i/>
          <w:sz w:val="24"/>
          <w:rFonts w:ascii="Times New Roman" w:hAnsi="Times New Roman"/>
        </w:rPr>
        <w:t xml:space="preserve">Disposiciones sancionadoras</w:t>
      </w:r>
    </w:p>
    <w:p w14:paraId="79813513" w14:textId="7E9604CC" w:rsidR="004009A5" w:rsidRPr="00E9280B" w:rsidRDefault="00D9738B" w:rsidP="004009A5">
      <w:pPr>
        <w:rPr>
          <w:sz w:val="24"/>
          <w:szCs w:val="24"/>
          <w:rFonts w:ascii="Times New Roman" w:hAnsi="Times New Roman" w:cs="Times New Roman"/>
        </w:rPr>
      </w:pPr>
      <w:r>
        <w:rPr>
          <w:sz w:val="24"/>
          <w:b/>
          <w:rFonts w:ascii="Times New Roman" w:hAnsi="Times New Roman"/>
        </w:rPr>
        <w:t xml:space="preserve">Artículo 13.</w:t>
      </w:r>
      <w:r>
        <w:rPr>
          <w:sz w:val="24"/>
          <w:b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A menos que otras disposiciones legislativas prescriban penas más severas, se sancionará con una multa a toda persona que infrinja lo dispuesto en los artículos 2 a 12.</w:t>
      </w:r>
    </w:p>
    <w:p w14:paraId="6CDE12FC" w14:textId="77777777" w:rsidR="004009A5" w:rsidRPr="00E9280B" w:rsidRDefault="004009A5" w:rsidP="004009A5">
      <w:pPr>
        <w:rPr>
          <w:b/>
          <w:sz w:val="24"/>
          <w:szCs w:val="24"/>
          <w:rFonts w:ascii="Times New Roman" w:hAnsi="Times New Roman" w:cs="Times New Roman"/>
        </w:rPr>
      </w:pPr>
      <w:r>
        <w:rPr>
          <w:sz w:val="24"/>
          <w:i/>
          <w:rFonts w:ascii="Times New Roman" w:hAnsi="Times New Roman"/>
        </w:rPr>
        <w:t xml:space="preserve">Apartado 2</w:t>
      </w:r>
      <w:r>
        <w:rPr>
          <w:sz w:val="24"/>
          <w:rFonts w:ascii="Times New Roman" w:hAnsi="Times New Roman"/>
        </w:rPr>
        <w:t xml:space="preserve">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(personas jurídicas) podrán estar sujetas a responsabilidad penal de conformidad con la disposición del capítulo 5 del Código Penal.</w:t>
      </w:r>
    </w:p>
    <w:p w14:paraId="1E8B3BC5" w14:textId="77777777" w:rsidR="004009A5" w:rsidRPr="00E9280B" w:rsidRDefault="004009A5" w:rsidP="004009A5">
      <w:pPr>
        <w:jc w:val="center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Capítulo 7</w:t>
      </w:r>
    </w:p>
    <w:p w14:paraId="5E80AF89" w14:textId="77777777" w:rsidR="004009A5" w:rsidRPr="00E9280B" w:rsidRDefault="004009A5" w:rsidP="004009A5">
      <w:pPr>
        <w:jc w:val="center"/>
        <w:rPr>
          <w:i/>
          <w:sz w:val="24"/>
          <w:szCs w:val="24"/>
          <w:rFonts w:ascii="Times New Roman" w:hAnsi="Times New Roman" w:cs="Times New Roman"/>
        </w:rPr>
      </w:pPr>
      <w:r>
        <w:rPr>
          <w:i/>
          <w:sz w:val="24"/>
          <w:rFonts w:ascii="Times New Roman" w:hAnsi="Times New Roman"/>
        </w:rPr>
        <w:t xml:space="preserve">Entrada en vigor</w:t>
      </w:r>
    </w:p>
    <w:p w14:paraId="09DAF2BD" w14:textId="5ABE627E" w:rsidR="004009A5" w:rsidRPr="00E9280B" w:rsidRDefault="00D9738B" w:rsidP="004009A5">
      <w:pPr>
        <w:rPr>
          <w:sz w:val="24"/>
          <w:szCs w:val="24"/>
          <w:rFonts w:ascii="Times New Roman" w:hAnsi="Times New Roman" w:cs="Times New Roman"/>
        </w:rPr>
      </w:pPr>
      <w:r>
        <w:rPr>
          <w:sz w:val="24"/>
          <w:b/>
          <w:rFonts w:ascii="Times New Roman" w:hAnsi="Times New Roman"/>
        </w:rPr>
        <w:t xml:space="preserve">Artículo 14.</w:t>
      </w:r>
      <w:r>
        <w:rPr>
          <w:sz w:val="24"/>
          <w:b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La presente Orden entrará en vigor el 1 de octubre de 2021.</w:t>
      </w:r>
    </w:p>
    <w:p w14:paraId="2F9EF994" w14:textId="77777777" w:rsidR="004009A5" w:rsidRPr="00E9280B" w:rsidRDefault="004009A5" w:rsidP="004009A5">
      <w:pPr>
        <w:rPr>
          <w:rFonts w:ascii="Times New Roman" w:hAnsi="Times New Roman" w:cs="Times New Roman"/>
          <w:sz w:val="24"/>
          <w:szCs w:val="24"/>
        </w:rPr>
      </w:pPr>
    </w:p>
    <w:p w14:paraId="00D97019" w14:textId="0EB2B7E6" w:rsidR="004009A5" w:rsidRPr="0036645A" w:rsidRDefault="00197299" w:rsidP="004009A5">
      <w:pPr>
        <w:jc w:val="center"/>
        <w:rPr>
          <w:i/>
          <w:sz w:val="24"/>
          <w:szCs w:val="24"/>
          <w:rFonts w:ascii="Times New Roman" w:hAnsi="Times New Roman" w:cs="Times New Roman"/>
        </w:rPr>
      </w:pPr>
      <w:r>
        <w:rPr>
          <w:i/>
          <w:sz w:val="24"/>
          <w:rFonts w:ascii="Times New Roman" w:hAnsi="Times New Roman"/>
        </w:rPr>
        <w:t xml:space="preserve">El Ministerio de Sanidad de Dinamarca, a 19 de abril de 2021</w:t>
      </w:r>
    </w:p>
    <w:p w14:paraId="30AE0D94" w14:textId="77777777" w:rsidR="004009A5" w:rsidRPr="00E9280B" w:rsidRDefault="004009A5" w:rsidP="004009A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04BBDD6" w14:textId="77777777" w:rsidR="004009A5" w:rsidRPr="00E9280B" w:rsidRDefault="004009A5" w:rsidP="004009A5">
      <w:pPr>
        <w:jc w:val="center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Magnus Heunicke</w:t>
      </w:r>
    </w:p>
    <w:p w14:paraId="3C82C631" w14:textId="4C28A06B" w:rsidR="00D47ADF" w:rsidRPr="00385EB9" w:rsidRDefault="00197299" w:rsidP="00A60050">
      <w:pPr>
        <w:ind w:left="6520"/>
        <w:jc w:val="center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/ Zelle Huma Sheikh</w:t>
      </w:r>
    </w:p>
    <w:sectPr w:rsidR="00D47ADF" w:rsidRPr="00385E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82DD9" w14:textId="77777777" w:rsidR="00706FF6" w:rsidRDefault="00706FF6" w:rsidP="00E65BF1">
      <w:pPr>
        <w:spacing w:after="0" w:line="240" w:lineRule="auto"/>
      </w:pPr>
      <w:r>
        <w:separator/>
      </w:r>
    </w:p>
  </w:endnote>
  <w:endnote w:type="continuationSeparator" w:id="0">
    <w:p w14:paraId="02D5587B" w14:textId="77777777" w:rsidR="00706FF6" w:rsidRDefault="00706FF6" w:rsidP="00E65BF1">
      <w:pPr>
        <w:spacing w:after="0" w:line="240" w:lineRule="auto"/>
      </w:pPr>
      <w:r>
        <w:continuationSeparator/>
      </w:r>
    </w:p>
  </w:endnote>
  <w:endnote w:type="continuationNotice" w:id="1">
    <w:p w14:paraId="78DC6197" w14:textId="77777777" w:rsidR="00706FF6" w:rsidRDefault="00706FF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otham Medium">
    <w:altName w:val="Gotham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MS Gothic"/>
    <w:charset w:val="80"/>
    <w:family w:val="auto"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DA33F" w14:textId="77777777" w:rsidR="00E65BF1" w:rsidRDefault="00E65B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2B689" w14:textId="77777777" w:rsidR="00E65BF1" w:rsidRDefault="00E65BF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0DDC8" w14:textId="77777777" w:rsidR="00E65BF1" w:rsidRDefault="00E65B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15173" w14:textId="77777777" w:rsidR="00706FF6" w:rsidRDefault="00706FF6" w:rsidP="00E65BF1">
      <w:pPr>
        <w:spacing w:after="0" w:line="240" w:lineRule="auto"/>
      </w:pPr>
      <w:r>
        <w:separator/>
      </w:r>
    </w:p>
  </w:footnote>
  <w:footnote w:type="continuationSeparator" w:id="0">
    <w:p w14:paraId="5AE8F61C" w14:textId="77777777" w:rsidR="00706FF6" w:rsidRDefault="00706FF6" w:rsidP="00E65BF1">
      <w:pPr>
        <w:spacing w:after="0" w:line="240" w:lineRule="auto"/>
      </w:pPr>
      <w:r>
        <w:continuationSeparator/>
      </w:r>
    </w:p>
  </w:footnote>
  <w:footnote w:type="continuationNotice" w:id="1">
    <w:p w14:paraId="648D18B8" w14:textId="77777777" w:rsidR="00706FF6" w:rsidRDefault="00706FF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1ED9A" w14:textId="490F6B65" w:rsidR="00E65BF1" w:rsidRDefault="00E65B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BF760" w14:textId="6F97EB56" w:rsidR="00E65BF1" w:rsidRDefault="00E65BF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2D2C1" w14:textId="2C580DA0" w:rsidR="00E65BF1" w:rsidRDefault="00E65B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578D2"/>
    <w:multiLevelType w:val="hybridMultilevel"/>
    <w:tmpl w:val="AABEE06E"/>
    <w:lvl w:ilvl="0" w:tplc="04060011">
      <w:start w:val="1"/>
      <w:numFmt w:val="decimal"/>
      <w:lvlText w:val="%1)"/>
      <w:lvlJc w:val="left"/>
      <w:pPr>
        <w:ind w:left="360" w:hanging="360"/>
      </w:pPr>
    </w:lvl>
    <w:lvl w:ilvl="1" w:tplc="04060019">
      <w:start w:val="1"/>
      <w:numFmt w:val="lowerLetter"/>
      <w:lvlText w:val="%2."/>
      <w:lvlJc w:val="left"/>
      <w:pPr>
        <w:ind w:left="1080" w:hanging="360"/>
      </w:p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0406000F">
      <w:start w:val="1"/>
      <w:numFmt w:val="decimal"/>
      <w:lvlText w:val="%4."/>
      <w:lvlJc w:val="left"/>
      <w:pPr>
        <w:ind w:left="2520" w:hanging="360"/>
      </w:pPr>
    </w:lvl>
    <w:lvl w:ilvl="4" w:tplc="04060019">
      <w:start w:val="1"/>
      <w:numFmt w:val="lowerLetter"/>
      <w:lvlText w:val="%5."/>
      <w:lvlJc w:val="left"/>
      <w:pPr>
        <w:ind w:left="3240" w:hanging="360"/>
      </w:pPr>
    </w:lvl>
    <w:lvl w:ilvl="5" w:tplc="0406001B">
      <w:start w:val="1"/>
      <w:numFmt w:val="lowerRoman"/>
      <w:lvlText w:val="%6."/>
      <w:lvlJc w:val="right"/>
      <w:pPr>
        <w:ind w:left="3960" w:hanging="180"/>
      </w:pPr>
    </w:lvl>
    <w:lvl w:ilvl="6" w:tplc="0406000F">
      <w:start w:val="1"/>
      <w:numFmt w:val="decimal"/>
      <w:lvlText w:val="%7."/>
      <w:lvlJc w:val="left"/>
      <w:pPr>
        <w:ind w:left="4680" w:hanging="360"/>
      </w:pPr>
    </w:lvl>
    <w:lvl w:ilvl="7" w:tplc="04060019">
      <w:start w:val="1"/>
      <w:numFmt w:val="lowerLetter"/>
      <w:lvlText w:val="%8."/>
      <w:lvlJc w:val="left"/>
      <w:pPr>
        <w:ind w:left="5400" w:hanging="360"/>
      </w:pPr>
    </w:lvl>
    <w:lvl w:ilvl="8" w:tplc="0406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BD3612"/>
    <w:multiLevelType w:val="hybridMultilevel"/>
    <w:tmpl w:val="72581B02"/>
    <w:lvl w:ilvl="0" w:tplc="040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79162C"/>
    <w:multiLevelType w:val="hybridMultilevel"/>
    <w:tmpl w:val="99D2B0FC"/>
    <w:lvl w:ilvl="0" w:tplc="48C28F70">
      <w:start w:val="1"/>
      <w:numFmt w:val="decimal"/>
      <w:pStyle w:val="CommentText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A1742"/>
    <w:multiLevelType w:val="hybridMultilevel"/>
    <w:tmpl w:val="E77AE982"/>
    <w:lvl w:ilvl="0" w:tplc="040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B7518E"/>
    <w:multiLevelType w:val="hybridMultilevel"/>
    <w:tmpl w:val="15D6F37E"/>
    <w:lvl w:ilvl="0" w:tplc="04060017">
      <w:start w:val="1"/>
      <w:numFmt w:val="lowerLetter"/>
      <w:lvlText w:val="%1)"/>
      <w:lvlJc w:val="left"/>
      <w:pPr>
        <w:ind w:left="360" w:hanging="360"/>
      </w:pPr>
    </w:lvl>
    <w:lvl w:ilvl="1" w:tplc="04060019">
      <w:start w:val="1"/>
      <w:numFmt w:val="lowerLetter"/>
      <w:lvlText w:val="%2."/>
      <w:lvlJc w:val="left"/>
      <w:pPr>
        <w:ind w:left="1080" w:hanging="360"/>
      </w:p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0406000F">
      <w:start w:val="1"/>
      <w:numFmt w:val="decimal"/>
      <w:lvlText w:val="%4."/>
      <w:lvlJc w:val="left"/>
      <w:pPr>
        <w:ind w:left="2520" w:hanging="360"/>
      </w:pPr>
    </w:lvl>
    <w:lvl w:ilvl="4" w:tplc="04060019">
      <w:start w:val="1"/>
      <w:numFmt w:val="lowerLetter"/>
      <w:lvlText w:val="%5."/>
      <w:lvlJc w:val="left"/>
      <w:pPr>
        <w:ind w:left="3240" w:hanging="360"/>
      </w:pPr>
    </w:lvl>
    <w:lvl w:ilvl="5" w:tplc="0406001B">
      <w:start w:val="1"/>
      <w:numFmt w:val="lowerRoman"/>
      <w:lvlText w:val="%6."/>
      <w:lvlJc w:val="right"/>
      <w:pPr>
        <w:ind w:left="3960" w:hanging="180"/>
      </w:pPr>
    </w:lvl>
    <w:lvl w:ilvl="6" w:tplc="0406000F">
      <w:start w:val="1"/>
      <w:numFmt w:val="decimal"/>
      <w:lvlText w:val="%7."/>
      <w:lvlJc w:val="left"/>
      <w:pPr>
        <w:ind w:left="4680" w:hanging="360"/>
      </w:pPr>
    </w:lvl>
    <w:lvl w:ilvl="7" w:tplc="04060019">
      <w:start w:val="1"/>
      <w:numFmt w:val="lowerLetter"/>
      <w:lvlText w:val="%8."/>
      <w:lvlJc w:val="left"/>
      <w:pPr>
        <w:ind w:left="5400" w:hanging="360"/>
      </w:pPr>
    </w:lvl>
    <w:lvl w:ilvl="8" w:tplc="0406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A825115"/>
    <w:multiLevelType w:val="hybridMultilevel"/>
    <w:tmpl w:val="93E2E252"/>
    <w:lvl w:ilvl="0" w:tplc="04060011">
      <w:start w:val="1"/>
      <w:numFmt w:val="decimal"/>
      <w:lvlText w:val="%1)"/>
      <w:lvlJc w:val="left"/>
      <w:pPr>
        <w:ind w:left="360" w:hanging="360"/>
      </w:pPr>
    </w:lvl>
    <w:lvl w:ilvl="1" w:tplc="04060019">
      <w:start w:val="1"/>
      <w:numFmt w:val="lowerLetter"/>
      <w:lvlText w:val="%2."/>
      <w:lvlJc w:val="left"/>
      <w:pPr>
        <w:ind w:left="1080" w:hanging="360"/>
      </w:p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0406000F">
      <w:start w:val="1"/>
      <w:numFmt w:val="decimal"/>
      <w:lvlText w:val="%4."/>
      <w:lvlJc w:val="left"/>
      <w:pPr>
        <w:ind w:left="2520" w:hanging="360"/>
      </w:pPr>
    </w:lvl>
    <w:lvl w:ilvl="4" w:tplc="04060019">
      <w:start w:val="1"/>
      <w:numFmt w:val="lowerLetter"/>
      <w:lvlText w:val="%5."/>
      <w:lvlJc w:val="left"/>
      <w:pPr>
        <w:ind w:left="3240" w:hanging="360"/>
      </w:pPr>
    </w:lvl>
    <w:lvl w:ilvl="5" w:tplc="0406001B">
      <w:start w:val="1"/>
      <w:numFmt w:val="lowerRoman"/>
      <w:lvlText w:val="%6."/>
      <w:lvlJc w:val="right"/>
      <w:pPr>
        <w:ind w:left="3960" w:hanging="180"/>
      </w:pPr>
    </w:lvl>
    <w:lvl w:ilvl="6" w:tplc="0406000F">
      <w:start w:val="1"/>
      <w:numFmt w:val="decimal"/>
      <w:lvlText w:val="%7."/>
      <w:lvlJc w:val="left"/>
      <w:pPr>
        <w:ind w:left="4680" w:hanging="360"/>
      </w:pPr>
    </w:lvl>
    <w:lvl w:ilvl="7" w:tplc="04060019">
      <w:start w:val="1"/>
      <w:numFmt w:val="lowerLetter"/>
      <w:lvlText w:val="%8."/>
      <w:lvlJc w:val="left"/>
      <w:pPr>
        <w:ind w:left="5400" w:hanging="360"/>
      </w:pPr>
    </w:lvl>
    <w:lvl w:ilvl="8" w:tplc="0406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40767C"/>
    <w:multiLevelType w:val="hybridMultilevel"/>
    <w:tmpl w:val="220C813E"/>
    <w:lvl w:ilvl="0" w:tplc="04060011">
      <w:start w:val="1"/>
      <w:numFmt w:val="decimal"/>
      <w:lvlText w:val="%1)"/>
      <w:lvlJc w:val="left"/>
      <w:pPr>
        <w:ind w:left="360" w:hanging="360"/>
      </w:pPr>
    </w:lvl>
    <w:lvl w:ilvl="1" w:tplc="04060019">
      <w:start w:val="1"/>
      <w:numFmt w:val="lowerLetter"/>
      <w:lvlText w:val="%2."/>
      <w:lvlJc w:val="left"/>
      <w:pPr>
        <w:ind w:left="1080" w:hanging="360"/>
      </w:p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0406000F">
      <w:start w:val="1"/>
      <w:numFmt w:val="decimal"/>
      <w:lvlText w:val="%4."/>
      <w:lvlJc w:val="left"/>
      <w:pPr>
        <w:ind w:left="2520" w:hanging="360"/>
      </w:pPr>
    </w:lvl>
    <w:lvl w:ilvl="4" w:tplc="04060019">
      <w:start w:val="1"/>
      <w:numFmt w:val="lowerLetter"/>
      <w:lvlText w:val="%5."/>
      <w:lvlJc w:val="left"/>
      <w:pPr>
        <w:ind w:left="3240" w:hanging="360"/>
      </w:pPr>
    </w:lvl>
    <w:lvl w:ilvl="5" w:tplc="0406001B">
      <w:start w:val="1"/>
      <w:numFmt w:val="lowerRoman"/>
      <w:lvlText w:val="%6."/>
      <w:lvlJc w:val="right"/>
      <w:pPr>
        <w:ind w:left="3960" w:hanging="180"/>
      </w:pPr>
    </w:lvl>
    <w:lvl w:ilvl="6" w:tplc="0406000F">
      <w:start w:val="1"/>
      <w:numFmt w:val="decimal"/>
      <w:lvlText w:val="%7."/>
      <w:lvlJc w:val="left"/>
      <w:pPr>
        <w:ind w:left="4680" w:hanging="360"/>
      </w:pPr>
    </w:lvl>
    <w:lvl w:ilvl="7" w:tplc="04060019">
      <w:start w:val="1"/>
      <w:numFmt w:val="lowerLetter"/>
      <w:lvlText w:val="%8."/>
      <w:lvlJc w:val="left"/>
      <w:pPr>
        <w:ind w:left="5400" w:hanging="360"/>
      </w:pPr>
    </w:lvl>
    <w:lvl w:ilvl="8" w:tplc="0406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627F8A"/>
    <w:multiLevelType w:val="hybridMultilevel"/>
    <w:tmpl w:val="589CCB20"/>
    <w:lvl w:ilvl="0" w:tplc="04060017">
      <w:start w:val="1"/>
      <w:numFmt w:val="lowerLetter"/>
      <w:lvlText w:val="%1)"/>
      <w:lvlJc w:val="left"/>
      <w:pPr>
        <w:ind w:left="360" w:hanging="360"/>
      </w:pPr>
    </w:lvl>
    <w:lvl w:ilvl="1" w:tplc="04060019">
      <w:start w:val="1"/>
      <w:numFmt w:val="lowerLetter"/>
      <w:lvlText w:val="%2."/>
      <w:lvlJc w:val="left"/>
      <w:pPr>
        <w:ind w:left="1080" w:hanging="360"/>
      </w:p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0406000F">
      <w:start w:val="1"/>
      <w:numFmt w:val="decimal"/>
      <w:lvlText w:val="%4."/>
      <w:lvlJc w:val="left"/>
      <w:pPr>
        <w:ind w:left="2520" w:hanging="360"/>
      </w:pPr>
    </w:lvl>
    <w:lvl w:ilvl="4" w:tplc="04060019">
      <w:start w:val="1"/>
      <w:numFmt w:val="lowerLetter"/>
      <w:lvlText w:val="%5."/>
      <w:lvlJc w:val="left"/>
      <w:pPr>
        <w:ind w:left="3240" w:hanging="360"/>
      </w:pPr>
    </w:lvl>
    <w:lvl w:ilvl="5" w:tplc="0406001B">
      <w:start w:val="1"/>
      <w:numFmt w:val="lowerRoman"/>
      <w:lvlText w:val="%6."/>
      <w:lvlJc w:val="right"/>
      <w:pPr>
        <w:ind w:left="3960" w:hanging="180"/>
      </w:pPr>
    </w:lvl>
    <w:lvl w:ilvl="6" w:tplc="0406000F">
      <w:start w:val="1"/>
      <w:numFmt w:val="decimal"/>
      <w:lvlText w:val="%7."/>
      <w:lvlJc w:val="left"/>
      <w:pPr>
        <w:ind w:left="4680" w:hanging="360"/>
      </w:pPr>
    </w:lvl>
    <w:lvl w:ilvl="7" w:tplc="04060019">
      <w:start w:val="1"/>
      <w:numFmt w:val="lowerLetter"/>
      <w:lvlText w:val="%8."/>
      <w:lvlJc w:val="left"/>
      <w:pPr>
        <w:ind w:left="5400" w:hanging="360"/>
      </w:pPr>
    </w:lvl>
    <w:lvl w:ilvl="8" w:tplc="0406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EF25C52"/>
    <w:multiLevelType w:val="hybridMultilevel"/>
    <w:tmpl w:val="DB9CA4E0"/>
    <w:lvl w:ilvl="0" w:tplc="04060017">
      <w:start w:val="1"/>
      <w:numFmt w:val="lowerLetter"/>
      <w:lvlText w:val="%1)"/>
      <w:lvlJc w:val="left"/>
      <w:pPr>
        <w:ind w:left="360" w:hanging="360"/>
      </w:pPr>
    </w:lvl>
    <w:lvl w:ilvl="1" w:tplc="04060019">
      <w:start w:val="1"/>
      <w:numFmt w:val="lowerLetter"/>
      <w:lvlText w:val="%2."/>
      <w:lvlJc w:val="left"/>
      <w:pPr>
        <w:ind w:left="1080" w:hanging="360"/>
      </w:p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0406000F">
      <w:start w:val="1"/>
      <w:numFmt w:val="decimal"/>
      <w:lvlText w:val="%4."/>
      <w:lvlJc w:val="left"/>
      <w:pPr>
        <w:ind w:left="2520" w:hanging="360"/>
      </w:pPr>
    </w:lvl>
    <w:lvl w:ilvl="4" w:tplc="04060019">
      <w:start w:val="1"/>
      <w:numFmt w:val="lowerLetter"/>
      <w:lvlText w:val="%5."/>
      <w:lvlJc w:val="left"/>
      <w:pPr>
        <w:ind w:left="3240" w:hanging="360"/>
      </w:pPr>
    </w:lvl>
    <w:lvl w:ilvl="5" w:tplc="0406001B">
      <w:start w:val="1"/>
      <w:numFmt w:val="lowerRoman"/>
      <w:lvlText w:val="%6."/>
      <w:lvlJc w:val="right"/>
      <w:pPr>
        <w:ind w:left="3960" w:hanging="180"/>
      </w:pPr>
    </w:lvl>
    <w:lvl w:ilvl="6" w:tplc="0406000F">
      <w:start w:val="1"/>
      <w:numFmt w:val="decimal"/>
      <w:lvlText w:val="%7."/>
      <w:lvlJc w:val="left"/>
      <w:pPr>
        <w:ind w:left="4680" w:hanging="360"/>
      </w:pPr>
    </w:lvl>
    <w:lvl w:ilvl="7" w:tplc="04060019">
      <w:start w:val="1"/>
      <w:numFmt w:val="lowerLetter"/>
      <w:lvlText w:val="%8."/>
      <w:lvlJc w:val="left"/>
      <w:pPr>
        <w:ind w:left="5400" w:hanging="360"/>
      </w:pPr>
    </w:lvl>
    <w:lvl w:ilvl="8" w:tplc="0406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1986B3C"/>
    <w:multiLevelType w:val="hybridMultilevel"/>
    <w:tmpl w:val="7B52777E"/>
    <w:lvl w:ilvl="0" w:tplc="04060017">
      <w:start w:val="1"/>
      <w:numFmt w:val="lowerLetter"/>
      <w:lvlText w:val="%1)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90C7220"/>
    <w:multiLevelType w:val="hybridMultilevel"/>
    <w:tmpl w:val="466AC2CE"/>
    <w:lvl w:ilvl="0" w:tplc="04060011">
      <w:start w:val="1"/>
      <w:numFmt w:val="decimal"/>
      <w:lvlText w:val="%1)"/>
      <w:lvlJc w:val="left"/>
      <w:pPr>
        <w:ind w:left="720" w:hanging="360"/>
      </w:pPr>
    </w:lvl>
    <w:lvl w:ilvl="1" w:tplc="D74E6FFA">
      <w:start w:val="9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D56A82"/>
    <w:multiLevelType w:val="hybridMultilevel"/>
    <w:tmpl w:val="B628CF4E"/>
    <w:lvl w:ilvl="0" w:tplc="04060011">
      <w:start w:val="1"/>
      <w:numFmt w:val="decimal"/>
      <w:lvlText w:val="%1)"/>
      <w:lvlJc w:val="left"/>
      <w:pPr>
        <w:ind w:left="360" w:hanging="360"/>
      </w:pPr>
    </w:lvl>
    <w:lvl w:ilvl="1" w:tplc="04060019">
      <w:start w:val="1"/>
      <w:numFmt w:val="lowerLetter"/>
      <w:lvlText w:val="%2."/>
      <w:lvlJc w:val="left"/>
      <w:pPr>
        <w:ind w:left="1080" w:hanging="360"/>
      </w:p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0406000F">
      <w:start w:val="1"/>
      <w:numFmt w:val="decimal"/>
      <w:lvlText w:val="%4."/>
      <w:lvlJc w:val="left"/>
      <w:pPr>
        <w:ind w:left="2520" w:hanging="360"/>
      </w:pPr>
    </w:lvl>
    <w:lvl w:ilvl="4" w:tplc="04060019">
      <w:start w:val="1"/>
      <w:numFmt w:val="lowerLetter"/>
      <w:lvlText w:val="%5."/>
      <w:lvlJc w:val="left"/>
      <w:pPr>
        <w:ind w:left="3240" w:hanging="360"/>
      </w:pPr>
    </w:lvl>
    <w:lvl w:ilvl="5" w:tplc="0406001B">
      <w:start w:val="1"/>
      <w:numFmt w:val="lowerRoman"/>
      <w:lvlText w:val="%6."/>
      <w:lvlJc w:val="right"/>
      <w:pPr>
        <w:ind w:left="3960" w:hanging="180"/>
      </w:pPr>
    </w:lvl>
    <w:lvl w:ilvl="6" w:tplc="0406000F">
      <w:start w:val="1"/>
      <w:numFmt w:val="decimal"/>
      <w:lvlText w:val="%7."/>
      <w:lvlJc w:val="left"/>
      <w:pPr>
        <w:ind w:left="4680" w:hanging="360"/>
      </w:pPr>
    </w:lvl>
    <w:lvl w:ilvl="7" w:tplc="04060019">
      <w:start w:val="1"/>
      <w:numFmt w:val="lowerLetter"/>
      <w:lvlText w:val="%8."/>
      <w:lvlJc w:val="left"/>
      <w:pPr>
        <w:ind w:left="5400" w:hanging="360"/>
      </w:pPr>
    </w:lvl>
    <w:lvl w:ilvl="8" w:tplc="0406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9"/>
  </w:num>
  <w:num w:numId="8">
    <w:abstractNumId w:val="2"/>
  </w:num>
  <w:num w:numId="9">
    <w:abstractNumId w:val="10"/>
  </w:num>
  <w:num w:numId="10">
    <w:abstractNumId w:val="1"/>
  </w:num>
  <w:num w:numId="11">
    <w:abstractNumId w:val="6"/>
  </w:num>
  <w:num w:numId="12">
    <w:abstractNumId w:val="11"/>
  </w:num>
  <w:num w:numId="13">
    <w:abstractNumId w:val="0"/>
  </w:num>
  <w:num w:numId="14">
    <w:abstractNumId w:val="5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9A5"/>
    <w:rsid w:val="00025E2F"/>
    <w:rsid w:val="00027E12"/>
    <w:rsid w:val="00036E6B"/>
    <w:rsid w:val="00045A8E"/>
    <w:rsid w:val="00045C04"/>
    <w:rsid w:val="0004610C"/>
    <w:rsid w:val="0009506E"/>
    <w:rsid w:val="000A183B"/>
    <w:rsid w:val="000B4299"/>
    <w:rsid w:val="000D27A2"/>
    <w:rsid w:val="000E5998"/>
    <w:rsid w:val="00113856"/>
    <w:rsid w:val="00115117"/>
    <w:rsid w:val="00130E67"/>
    <w:rsid w:val="00132986"/>
    <w:rsid w:val="00133423"/>
    <w:rsid w:val="00135E31"/>
    <w:rsid w:val="001472C3"/>
    <w:rsid w:val="00150DE8"/>
    <w:rsid w:val="001541FE"/>
    <w:rsid w:val="00180F6A"/>
    <w:rsid w:val="00196AD7"/>
    <w:rsid w:val="00197299"/>
    <w:rsid w:val="001B2C2A"/>
    <w:rsid w:val="001B2FC7"/>
    <w:rsid w:val="001E0CEF"/>
    <w:rsid w:val="001F0FFE"/>
    <w:rsid w:val="001F6C1B"/>
    <w:rsid w:val="00201DAA"/>
    <w:rsid w:val="00204CF3"/>
    <w:rsid w:val="00206773"/>
    <w:rsid w:val="00237412"/>
    <w:rsid w:val="00243E18"/>
    <w:rsid w:val="002519E4"/>
    <w:rsid w:val="00256C6D"/>
    <w:rsid w:val="00271396"/>
    <w:rsid w:val="00281A50"/>
    <w:rsid w:val="0029228B"/>
    <w:rsid w:val="002975EF"/>
    <w:rsid w:val="002C54DB"/>
    <w:rsid w:val="002D5BB3"/>
    <w:rsid w:val="002E080A"/>
    <w:rsid w:val="002E5791"/>
    <w:rsid w:val="002F55FE"/>
    <w:rsid w:val="00302CB7"/>
    <w:rsid w:val="00315A47"/>
    <w:rsid w:val="00320622"/>
    <w:rsid w:val="00335A62"/>
    <w:rsid w:val="00343E56"/>
    <w:rsid w:val="00357241"/>
    <w:rsid w:val="00365635"/>
    <w:rsid w:val="0036645A"/>
    <w:rsid w:val="00384E7F"/>
    <w:rsid w:val="00385EB9"/>
    <w:rsid w:val="003869B8"/>
    <w:rsid w:val="00387BE1"/>
    <w:rsid w:val="003906B3"/>
    <w:rsid w:val="003F2B3C"/>
    <w:rsid w:val="003F68C2"/>
    <w:rsid w:val="004009A5"/>
    <w:rsid w:val="00405488"/>
    <w:rsid w:val="00411B45"/>
    <w:rsid w:val="00421065"/>
    <w:rsid w:val="004365C4"/>
    <w:rsid w:val="004456EC"/>
    <w:rsid w:val="0045177E"/>
    <w:rsid w:val="00456C2A"/>
    <w:rsid w:val="004600B9"/>
    <w:rsid w:val="00464DB7"/>
    <w:rsid w:val="00480CCA"/>
    <w:rsid w:val="0049533D"/>
    <w:rsid w:val="004A4049"/>
    <w:rsid w:val="004A46A3"/>
    <w:rsid w:val="004B15E5"/>
    <w:rsid w:val="004B4BEC"/>
    <w:rsid w:val="004C055E"/>
    <w:rsid w:val="004C2DBE"/>
    <w:rsid w:val="004C30A4"/>
    <w:rsid w:val="004C3B01"/>
    <w:rsid w:val="004D2174"/>
    <w:rsid w:val="004D2AF0"/>
    <w:rsid w:val="004E20BE"/>
    <w:rsid w:val="004F426E"/>
    <w:rsid w:val="00500DF2"/>
    <w:rsid w:val="00531D5A"/>
    <w:rsid w:val="00567248"/>
    <w:rsid w:val="005745F3"/>
    <w:rsid w:val="00577877"/>
    <w:rsid w:val="005901DC"/>
    <w:rsid w:val="00592978"/>
    <w:rsid w:val="005B0794"/>
    <w:rsid w:val="005B10A5"/>
    <w:rsid w:val="005B4E9D"/>
    <w:rsid w:val="005C57CD"/>
    <w:rsid w:val="005C5923"/>
    <w:rsid w:val="005D7967"/>
    <w:rsid w:val="005E422C"/>
    <w:rsid w:val="005E66BC"/>
    <w:rsid w:val="005F198D"/>
    <w:rsid w:val="0061228C"/>
    <w:rsid w:val="00620CDA"/>
    <w:rsid w:val="006228BE"/>
    <w:rsid w:val="0065676E"/>
    <w:rsid w:val="006606A3"/>
    <w:rsid w:val="00674486"/>
    <w:rsid w:val="0068143B"/>
    <w:rsid w:val="00696951"/>
    <w:rsid w:val="006A14E3"/>
    <w:rsid w:val="006D6C29"/>
    <w:rsid w:val="006E49E1"/>
    <w:rsid w:val="006F3DF1"/>
    <w:rsid w:val="00703BA0"/>
    <w:rsid w:val="00706FF6"/>
    <w:rsid w:val="00711F3F"/>
    <w:rsid w:val="00714F7E"/>
    <w:rsid w:val="00717296"/>
    <w:rsid w:val="00720BBE"/>
    <w:rsid w:val="00733388"/>
    <w:rsid w:val="00733B6A"/>
    <w:rsid w:val="00734B6F"/>
    <w:rsid w:val="00743EB9"/>
    <w:rsid w:val="00746D7E"/>
    <w:rsid w:val="0075451C"/>
    <w:rsid w:val="0075722B"/>
    <w:rsid w:val="00757DB7"/>
    <w:rsid w:val="00761992"/>
    <w:rsid w:val="00763137"/>
    <w:rsid w:val="00772F85"/>
    <w:rsid w:val="00777BC9"/>
    <w:rsid w:val="007952D2"/>
    <w:rsid w:val="007978D7"/>
    <w:rsid w:val="007A62F5"/>
    <w:rsid w:val="007A74DC"/>
    <w:rsid w:val="007B145B"/>
    <w:rsid w:val="007B1B7A"/>
    <w:rsid w:val="007B3CE9"/>
    <w:rsid w:val="007B7913"/>
    <w:rsid w:val="007C0D66"/>
    <w:rsid w:val="007D0B24"/>
    <w:rsid w:val="007F566B"/>
    <w:rsid w:val="00811756"/>
    <w:rsid w:val="008204A5"/>
    <w:rsid w:val="00834B55"/>
    <w:rsid w:val="008367FC"/>
    <w:rsid w:val="0084548E"/>
    <w:rsid w:val="00845F35"/>
    <w:rsid w:val="00861A09"/>
    <w:rsid w:val="00866F05"/>
    <w:rsid w:val="008712FE"/>
    <w:rsid w:val="00871453"/>
    <w:rsid w:val="008717E6"/>
    <w:rsid w:val="00892864"/>
    <w:rsid w:val="008A4B41"/>
    <w:rsid w:val="008B1D47"/>
    <w:rsid w:val="008B5C98"/>
    <w:rsid w:val="008C1EC9"/>
    <w:rsid w:val="008C7679"/>
    <w:rsid w:val="008D05FB"/>
    <w:rsid w:val="008D5280"/>
    <w:rsid w:val="008D5EF8"/>
    <w:rsid w:val="008D618A"/>
    <w:rsid w:val="008E5DB4"/>
    <w:rsid w:val="00917AD0"/>
    <w:rsid w:val="0092374E"/>
    <w:rsid w:val="00970A60"/>
    <w:rsid w:val="00971ABD"/>
    <w:rsid w:val="0098752E"/>
    <w:rsid w:val="00987858"/>
    <w:rsid w:val="009B03CA"/>
    <w:rsid w:val="009B2A08"/>
    <w:rsid w:val="009E07F7"/>
    <w:rsid w:val="009F36F8"/>
    <w:rsid w:val="00A01229"/>
    <w:rsid w:val="00A03D5B"/>
    <w:rsid w:val="00A076C2"/>
    <w:rsid w:val="00A1280F"/>
    <w:rsid w:val="00A21DE0"/>
    <w:rsid w:val="00A24471"/>
    <w:rsid w:val="00A25E8A"/>
    <w:rsid w:val="00A26A6E"/>
    <w:rsid w:val="00A332B7"/>
    <w:rsid w:val="00A40B15"/>
    <w:rsid w:val="00A46F51"/>
    <w:rsid w:val="00A56D01"/>
    <w:rsid w:val="00A60050"/>
    <w:rsid w:val="00A615D4"/>
    <w:rsid w:val="00A65562"/>
    <w:rsid w:val="00A6687B"/>
    <w:rsid w:val="00A72E79"/>
    <w:rsid w:val="00AA1224"/>
    <w:rsid w:val="00AA360F"/>
    <w:rsid w:val="00AA4176"/>
    <w:rsid w:val="00AA5315"/>
    <w:rsid w:val="00AB0A10"/>
    <w:rsid w:val="00AB1A8E"/>
    <w:rsid w:val="00AB2D87"/>
    <w:rsid w:val="00AB3792"/>
    <w:rsid w:val="00AC25F9"/>
    <w:rsid w:val="00AE0DA0"/>
    <w:rsid w:val="00AE640E"/>
    <w:rsid w:val="00AF13C1"/>
    <w:rsid w:val="00B32884"/>
    <w:rsid w:val="00B36907"/>
    <w:rsid w:val="00B56A39"/>
    <w:rsid w:val="00B7258B"/>
    <w:rsid w:val="00B72ED1"/>
    <w:rsid w:val="00B76817"/>
    <w:rsid w:val="00B77AC1"/>
    <w:rsid w:val="00BC5A51"/>
    <w:rsid w:val="00BE210C"/>
    <w:rsid w:val="00BE72D0"/>
    <w:rsid w:val="00BF30BE"/>
    <w:rsid w:val="00C04D22"/>
    <w:rsid w:val="00C20340"/>
    <w:rsid w:val="00C236D1"/>
    <w:rsid w:val="00C2471F"/>
    <w:rsid w:val="00C4716A"/>
    <w:rsid w:val="00C47D05"/>
    <w:rsid w:val="00C51654"/>
    <w:rsid w:val="00C5459C"/>
    <w:rsid w:val="00C60738"/>
    <w:rsid w:val="00C67E54"/>
    <w:rsid w:val="00C82CAA"/>
    <w:rsid w:val="00C84352"/>
    <w:rsid w:val="00C90960"/>
    <w:rsid w:val="00CB0586"/>
    <w:rsid w:val="00CB2283"/>
    <w:rsid w:val="00D04440"/>
    <w:rsid w:val="00D06DBF"/>
    <w:rsid w:val="00D1347B"/>
    <w:rsid w:val="00D14ABA"/>
    <w:rsid w:val="00D15F19"/>
    <w:rsid w:val="00D205CB"/>
    <w:rsid w:val="00D2737D"/>
    <w:rsid w:val="00D61F80"/>
    <w:rsid w:val="00D702C0"/>
    <w:rsid w:val="00D70E5C"/>
    <w:rsid w:val="00D7429F"/>
    <w:rsid w:val="00D82618"/>
    <w:rsid w:val="00D9738B"/>
    <w:rsid w:val="00DB509A"/>
    <w:rsid w:val="00DB6059"/>
    <w:rsid w:val="00DC28DA"/>
    <w:rsid w:val="00DC2F07"/>
    <w:rsid w:val="00DD256C"/>
    <w:rsid w:val="00DD45D5"/>
    <w:rsid w:val="00DF40BA"/>
    <w:rsid w:val="00E02457"/>
    <w:rsid w:val="00E10F44"/>
    <w:rsid w:val="00E1225E"/>
    <w:rsid w:val="00E20E11"/>
    <w:rsid w:val="00E23F11"/>
    <w:rsid w:val="00E4453D"/>
    <w:rsid w:val="00E50180"/>
    <w:rsid w:val="00E55B32"/>
    <w:rsid w:val="00E605F6"/>
    <w:rsid w:val="00E65BF1"/>
    <w:rsid w:val="00E83B06"/>
    <w:rsid w:val="00E875E5"/>
    <w:rsid w:val="00E878D2"/>
    <w:rsid w:val="00E94A7F"/>
    <w:rsid w:val="00EA2A64"/>
    <w:rsid w:val="00EA6904"/>
    <w:rsid w:val="00EA73E1"/>
    <w:rsid w:val="00ED0AAB"/>
    <w:rsid w:val="00EF07DE"/>
    <w:rsid w:val="00EF1F14"/>
    <w:rsid w:val="00EF3D2E"/>
    <w:rsid w:val="00EF3DAF"/>
    <w:rsid w:val="00EF550F"/>
    <w:rsid w:val="00F000D1"/>
    <w:rsid w:val="00F00EBE"/>
    <w:rsid w:val="00F05E37"/>
    <w:rsid w:val="00F34510"/>
    <w:rsid w:val="00F46AF2"/>
    <w:rsid w:val="00F471C1"/>
    <w:rsid w:val="00F53D0B"/>
    <w:rsid w:val="00F64165"/>
    <w:rsid w:val="00F92484"/>
    <w:rsid w:val="00F9667D"/>
    <w:rsid w:val="00FA1E98"/>
    <w:rsid w:val="00FB023F"/>
    <w:rsid w:val="00FD1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3A91705"/>
  <w15:chartTrackingRefBased/>
  <w15:docId w15:val="{3827919B-453F-41CF-9C0E-CC537247A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4009A5"/>
    <w:pPr>
      <w:numPr>
        <w:numId w:val="8"/>
      </w:num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09A5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009A5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4009A5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4009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009A5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A1">
    <w:name w:val="A1"/>
    <w:uiPriority w:val="99"/>
    <w:rsid w:val="004009A5"/>
    <w:rPr>
      <w:rFonts w:cs="Gotham Medium"/>
      <w:color w:val="000000"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09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9A5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453D"/>
    <w:pPr>
      <w:numPr>
        <w:numId w:val="0"/>
      </w:numPr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453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65B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5BF1"/>
  </w:style>
  <w:style w:type="paragraph" w:styleId="Footer">
    <w:name w:val="footer"/>
    <w:basedOn w:val="Normal"/>
    <w:link w:val="FooterChar"/>
    <w:uiPriority w:val="99"/>
    <w:unhideWhenUsed/>
    <w:rsid w:val="00E65B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5B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E8E88-3E04-4818-9F50-2A1D988E9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4</Pages>
  <Words>1302</Words>
  <Characters>7425</Characters>
  <Application>Microsoft Office Word</Application>
  <DocSecurity>0</DocSecurity>
  <Lines>61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Sundhedsdatastyrelsen</Company>
  <LinksUpToDate>false</LinksUpToDate>
  <CharactersWithSpaces>8710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Ersbøll Ross</dc:creator>
  <cp:keywords/>
  <dc:description/>
  <cp:lastModifiedBy>Dimitris Dimitriadis</cp:lastModifiedBy>
  <cp:revision>315</cp:revision>
  <dcterms:created xsi:type="dcterms:W3CDTF">2021-01-29T10:18:00Z</dcterms:created>
  <dcterms:modified xsi:type="dcterms:W3CDTF">2021-11-25T13:20:00Z</dcterms:modified>
</cp:coreProperties>
</file>