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65A6B0C4" w:rsidR="00E30B60" w:rsidRDefault="00CB547F">
      <w:pPr>
        <w:spacing w:before="6"/>
        <w:ind w:left="105" w:right="225"/>
        <w:jc w:val="center"/>
        <w:rPr>
          <w:sz w:val="46"/>
        </w:rPr>
      </w:pPr>
      <w:r>
        <w:rPr>
          <w:sz w:val="46"/>
        </w:rPr>
        <w:t>GESETZBLATT</w:t>
      </w:r>
      <w:r w:rsidR="004771C9">
        <w:rPr>
          <w:sz w:val="46"/>
        </w:rPr>
        <w:t xml:space="preserve">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p>
    <w:p w14:paraId="350B1BBF" w14:textId="77777777" w:rsidR="00E30B60" w:rsidRDefault="00CB547F">
      <w:pPr>
        <w:spacing w:before="66"/>
        <w:ind w:left="105" w:right="105"/>
        <w:jc w:val="center"/>
        <w:rPr>
          <w:sz w:val="34"/>
        </w:rPr>
      </w:pPr>
      <w:r>
        <w:rPr>
          <w:sz w:val="34"/>
        </w:rPr>
        <w:t>DER SLOWAKISCHEN REPUBLIK</w:t>
      </w:r>
    </w:p>
    <w:p w14:paraId="06343233" w14:textId="77777777" w:rsidR="00E30B60" w:rsidRDefault="00A36B11">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Band 2021</w:t>
      </w:r>
    </w:p>
    <w:p w14:paraId="0B8D25E3" w14:textId="15BE23D8" w:rsidR="00D0358C" w:rsidRDefault="00CB547F" w:rsidP="004771C9">
      <w:pPr>
        <w:tabs>
          <w:tab w:val="left" w:pos="4781"/>
        </w:tabs>
        <w:spacing w:before="38" w:line="403" w:lineRule="auto"/>
        <w:ind w:left="105" w:right="103"/>
      </w:pPr>
      <w:r>
        <w:t>Verkündet:26.11.2021</w:t>
      </w:r>
      <w:r w:rsidR="004771C9">
        <w:t xml:space="preserve">   </w:t>
      </w:r>
      <w:r>
        <w:t>Zeitliche Fassung der geltenden Rechtsvorschriften ab:1.01.2030</w:t>
      </w:r>
    </w:p>
    <w:p w14:paraId="1B7690C4" w14:textId="22EA24A9" w:rsidR="00E30B60" w:rsidRDefault="00CB547F">
      <w:pPr>
        <w:tabs>
          <w:tab w:val="left" w:pos="4781"/>
        </w:tabs>
        <w:spacing w:before="38" w:line="403" w:lineRule="auto"/>
        <w:ind w:left="105" w:right="103"/>
        <w:jc w:val="center"/>
      </w:pPr>
      <w:r>
        <w:t xml:space="preserve"> Der Inhalt des Dokuments ist rechtsverbindlich.</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G E S E T Z</w:t>
      </w:r>
    </w:p>
    <w:p w14:paraId="319B4591" w14:textId="77777777" w:rsidR="00E30B60" w:rsidRDefault="00CB547F">
      <w:pPr>
        <w:pStyle w:val="BodyText"/>
        <w:spacing w:before="60"/>
        <w:ind w:left="105" w:right="105"/>
        <w:jc w:val="center"/>
      </w:pPr>
      <w:r>
        <w:t>vom 2. November 2021,</w:t>
      </w:r>
    </w:p>
    <w:p w14:paraId="2CC89435" w14:textId="77777777" w:rsidR="00E30B60" w:rsidRDefault="00CB547F">
      <w:pPr>
        <w:pStyle w:val="BodyText"/>
        <w:spacing w:before="93" w:line="244" w:lineRule="auto"/>
        <w:ind w:left="1230" w:right="1228"/>
        <w:jc w:val="center"/>
        <w:rPr>
          <w:b/>
        </w:rPr>
      </w:pPr>
      <w:r>
        <w:rPr>
          <w:b/>
        </w:rPr>
        <w:t>zur Änderung des Gesetzes Nr. 79/2015 über Abfälle und Änderungen bestimmter Gesetze in der geänderten Fassung und zur Änderung des Gesetzes Nr. 302/2019 über ein Pfanderstattungssystem für Einweg-Getränkebehältnisse und zur Änderung bestimmter Gesetze in der geänderten Fassung</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Der Nationalrat der Slowakischen Republik hat folgendes Gesetz erlassen:</w:t>
      </w:r>
    </w:p>
    <w:p w14:paraId="5C1BC0D2" w14:textId="77777777" w:rsidR="00E30B60" w:rsidRDefault="00CB547F">
      <w:pPr>
        <w:pStyle w:val="BodyText"/>
        <w:spacing w:before="208"/>
        <w:ind w:left="105" w:right="105"/>
        <w:jc w:val="center"/>
        <w:rPr>
          <w:b/>
        </w:rPr>
      </w:pPr>
      <w:r>
        <w:rPr>
          <w:b/>
        </w:rPr>
        <w:t>Artikel I</w:t>
      </w:r>
    </w:p>
    <w:p w14:paraId="2FC10E75" w14:textId="4EC5C8BF" w:rsidR="00E30B60" w:rsidRDefault="00CB547F">
      <w:pPr>
        <w:pStyle w:val="BodyText"/>
        <w:spacing w:before="217" w:line="276" w:lineRule="auto"/>
        <w:ind w:left="105" w:right="103" w:firstLine="226"/>
        <w:jc w:val="both"/>
      </w:pPr>
      <w:r>
        <w:t>Das Gesetz Nr. 79/2015 über Abfälle und Änderungen bestimmter Gesetze, geändert durch Gesetz Nr. 91/2016, Gesetz Nr. 313/2016, Gesetz Nr. 90/2017, Gesetz Nr. 292/2017, Gesetz Nr. 106/2018, Gesetz Nr. 177/2018, Gesetz Nr. 208/2018, Gesetz Nr. 312/2018, Gesetz Nr. 302/2019, Gesetz Nr. 364/2019, Gesetz Nr. 460/2019, Gesetz Nr. 74/2020, Gesetz Nr. 218/2020, Gesetz Nr. 285/2020, Gesetz Nr. 9/2021</w:t>
      </w:r>
    </w:p>
    <w:p w14:paraId="1C547400" w14:textId="235D3DB4" w:rsidR="00E30B60" w:rsidRDefault="00CB547F">
      <w:pPr>
        <w:pStyle w:val="BodyText"/>
        <w:spacing w:line="276" w:lineRule="auto"/>
        <w:ind w:left="105" w:right="193"/>
      </w:pPr>
      <w:r>
        <w:t>46/2021, Gesetz Nr. 128/2021, Gesetz Nr. 216/2021 und Gesetz Nr. 372/2021 werden wie folgt geändert:</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In § 27 Absatz 1 wird das Wort „siebte“ durch das Wort „achte“ ersetzt.</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In § 52 werden die Absätze 29 und 30 gestrichen.</w:t>
      </w:r>
    </w:p>
    <w:p w14:paraId="731629A1" w14:textId="77777777" w:rsidR="00E30B60" w:rsidRDefault="00CB547F">
      <w:pPr>
        <w:pStyle w:val="BodyText"/>
        <w:spacing w:before="105"/>
        <w:ind w:left="729"/>
      </w:pPr>
      <w:r>
        <w:t>Die Absätze 31 bis 35 werden zu den Absätzen 29 bis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Nach § 53 wird § 53aa eingefügt, der wie folgt lautet:</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53aa</w:t>
      </w:r>
    </w:p>
    <w:p w14:paraId="78A7988B" w14:textId="0782E007" w:rsidR="00E30B60" w:rsidRDefault="00CB547F">
      <w:pPr>
        <w:pStyle w:val="BodyText"/>
        <w:spacing w:before="217" w:line="276" w:lineRule="auto"/>
        <w:ind w:left="502" w:right="193" w:firstLine="226"/>
      </w:pPr>
      <w:r>
        <w:t>Staatliche Verwaltungsstellen dürfen bei ihren Tätigkeiten keine in Einwegverpackungen gekauften Getränke verwenden.".</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53a wird gestrichen.</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 73a wird gestrichen.</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Nach § 75 wird ein neuer Abschnitt acht eingefügt, der einschließlich des Titels lautet:</w:t>
      </w:r>
    </w:p>
    <w:p w14:paraId="2697A68C" w14:textId="4D7EDA1B" w:rsidR="00E30B60" w:rsidRDefault="00CB547F" w:rsidP="004771C9">
      <w:pPr>
        <w:pStyle w:val="BodyText"/>
        <w:spacing w:before="208" w:line="302" w:lineRule="auto"/>
        <w:ind w:left="3289" w:right="3379" w:firstLine="658"/>
        <w:rPr>
          <w:b/>
        </w:rPr>
      </w:pPr>
      <w:r>
        <w:rPr>
          <w:b/>
        </w:rPr>
        <w:t>„Abschnitt acht</w:t>
      </w:r>
      <w:r>
        <w:rPr>
          <w:b/>
        </w:rPr>
        <w:br/>
      </w:r>
      <w:proofErr w:type="spellStart"/>
      <w:r>
        <w:rPr>
          <w:b/>
        </w:rPr>
        <w:t>SpezielleKunststoffartikel</w:t>
      </w:r>
      <w:proofErr w:type="spellEnd"/>
    </w:p>
    <w:p w14:paraId="22DCFF1C" w14:textId="195F0AE8" w:rsidR="00E30B60" w:rsidRDefault="00C33F29" w:rsidP="004771C9">
      <w:pPr>
        <w:pStyle w:val="BodyText"/>
        <w:spacing w:before="245" w:line="281" w:lineRule="auto"/>
        <w:ind w:left="2948" w:right="3600" w:firstLine="851"/>
        <w:rPr>
          <w:b/>
        </w:rPr>
      </w:pPr>
      <w:r>
        <w:rPr>
          <w:b/>
        </w:rPr>
        <w:t xml:space="preserve">       </w:t>
      </w:r>
      <w:r w:rsidR="00CB547F">
        <w:rPr>
          <w:b/>
        </w:rPr>
        <w:t>§ 75a</w:t>
      </w:r>
      <w:r w:rsidR="00CB547F">
        <w:rPr>
          <w:b/>
        </w:rPr>
        <w:br/>
        <w:t>Grundlegende Bestimmungen</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Dieser Abschnitt regelt Anforderungen und Maßnahmen zur Vermeidung der Umweltauswirkungen bestimmter Einweg-Kunststoffartikel, insbesondere auf die aquatische Umwelt, auf</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die menschliche Gesundheit, mit dem Ziel, diese Auswirkungen zu verringern und den Übergang zu einer Kreislaufwirtschaft mit innovativen und nachhaltigen Geschäftsmodellen, Produkten und Materialien zu unterstützen.</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 xml:space="preserve">Die Bestimmungen dieses Abschnitts gelten für in Anhang 7a aufgeführte Einweg-Kunststoffartikel, </w:t>
      </w:r>
      <w:proofErr w:type="spellStart"/>
      <w:r>
        <w:rPr>
          <w:sz w:val="20"/>
        </w:rPr>
        <w:t>oxo</w:t>
      </w:r>
      <w:proofErr w:type="spellEnd"/>
      <w:r>
        <w:rPr>
          <w:sz w:val="20"/>
        </w:rPr>
        <w:t>-abbaubare Kunststoffartikel und kunststoffhaltige Fanggeräte.</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Sofern in diesem Abschnitt nichts anderes angegeben ist, gelten die allgemeinen Bestimmungen dieses Rechtsakts für alle in der Slowakischen Republik in Verkehr gebrachten Einweg-Kunststoffartikel und Fanggeräte, die Kunststoff enthalten, sowie für die Abfallbewirtschaftung.</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Im Sinne dieses Abschnitts bezeichnet Kunststoff ein Material, das aus einem Polymer </w:t>
      </w:r>
      <w:r>
        <w:rPr>
          <w:sz w:val="10"/>
        </w:rPr>
        <w:t>72(a)</w:t>
      </w:r>
      <w:r>
        <w:rPr>
          <w:sz w:val="20"/>
        </w:rPr>
        <w:t>besteht, dem Zusatzstoffe oder andere Stoffe zugesetzt wurden und das als Hauptbestandteil der Fertigerzeugnisse dienen kann, ausgenommen natürliche Polymere, die nicht chemisch modifiziert wurden.</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Ein Einweg-Kunststoffartikel ist ein Artikel, der ganz oder teilweise aus Kunststoff hergestellt wird und der nicht entworfen, hergestellt oder in Verkehr gebracht wird, um innerhalb seiner Lebensdauer mehrere Zyklen oder Rotationen durch Rücksendung an einen Hersteller zur Nachfüllung oder Wiederverwendung für den gleichen Zweck, für den er hergestellt wurde, zu durchlaufen.</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proofErr w:type="spellStart"/>
      <w:r>
        <w:rPr>
          <w:sz w:val="20"/>
        </w:rPr>
        <w:t>Oxo</w:t>
      </w:r>
      <w:proofErr w:type="spellEnd"/>
      <w:r>
        <w:rPr>
          <w:sz w:val="20"/>
        </w:rPr>
        <w:t>-abbaubarer Kunststoff ist ein Kunststoff, der Zusatzstoffe enthält, die das Kunststoffmaterial durch Oxidation in Mikrofragmente zerlegen oder chemisch zersetzen.</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Fanggeräte sind Gegenstände oder Ausrüstungen, die in der Fischerei oder Aquakultur verwendet werden, um biologische Meeresressourcen anzuvisieren, zu fangen oder aus dem Wasser zu heben oder die auf der Meeresoberfläche schwimmen und mit dem Ziel eingesetzt werden, diese biologischen Meeresressourcen anzulocken und zu fangen oder zu aus dem Wasser zu heben.</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Abfallfanggeräte sind Fanggeräte, die zu Abfall geworden sind, einschließlich aller separaten Bestandteile, Stoffe oder Materialien, die zum Zeitpunkt der Entsorgung oder des Verlusts Teil solcher Fanggeräte waren oder an ihnen befestigt waren.</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Das Inverkehrbringen ist die erste Bereitstellung eines Einweg-Kunststoffartikels oder eines Fanggeräts, das Kunststoff enthält, in der Slowakischen Republik.</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Die Bereitstellung auf dem Markt ist jede entgeltliche oder kostenlose Lieferung eines Einweg-Kunststoffprodukts oder eines Fanggeräts aus Kunststoff, das für den Vertrieb, den Verbrauch oder die Verwendung auf dem Markt der Slowakischen Republik im Rahmen von Geschäftstätigkeiten bestimmt ist.</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Eine harmonisierte Norm ist eine europäische Norm, die auf den Anforderungen der Kommission für die Anwendung harmonisierter EU-Rechtsvorschriften beruht.</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Der Hersteller eines Einweg-Kunststoffprodukts oder eines Fanggeräts, das Kunststoff enthält, ist ein Einzelhändler oder ein Unternehmen, der oder das unabhängig von den eingesetzten Verkaufstechniken, einschließlich Versandhandel und Internetverkäufe,</w:t>
      </w:r>
      <w:r>
        <w:rPr>
          <w:sz w:val="10"/>
        </w:rPr>
        <w:t>96b</w:t>
      </w:r>
      <w:r>
        <w:rPr>
          <w:sz w:val="20"/>
        </w:rPr>
        <w:t xml:space="preserve">)mit Ausnahme einer Einrichtung, Fischereitätigkeiten nach besonderen Rechtsvorschriften ausübt,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seinen Sitz oder seine Betriebsstätte in der Slowakischen Republik hat und Einweg-Kunststoffartikel und Fanggeräte herstellt oder die Einweg-Kunststoffartikel und Fanggeräte herstellen lässt und in Verkehr bringt;</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seinen Sitz oder seine Betriebsstätte in der Slowakischen Republik hat und in der Slowakischen Republik Einweg-Kunststoffartikel und Fanggeräte verkauft;</w:t>
      </w:r>
    </w:p>
    <w:p w14:paraId="4D4600DA" w14:textId="7D14D2C5" w:rsidR="00E30B60" w:rsidRPr="004771C9" w:rsidRDefault="00CB547F" w:rsidP="004771C9">
      <w:pPr>
        <w:pStyle w:val="ListParagraph"/>
        <w:numPr>
          <w:ilvl w:val="0"/>
          <w:numId w:val="21"/>
        </w:numPr>
        <w:tabs>
          <w:tab w:val="left" w:pos="786"/>
        </w:tabs>
        <w:spacing w:before="100" w:line="276" w:lineRule="auto"/>
        <w:jc w:val="both"/>
        <w:rPr>
          <w:sz w:val="20"/>
        </w:rPr>
      </w:pPr>
      <w:r>
        <w:rPr>
          <w:sz w:val="20"/>
        </w:rPr>
        <w:lastRenderedPageBreak/>
        <w:t>seinen Sitz oder seine Betriebsstätte in der Slowakischen Republik hat und Einweg-Kunststoffartikel befüllt oder Einweg-Kunststoffartikel befüllen lässt und diese in Verkehr bringt;</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seinen Sitz oder seine Betriebsstätte in der Slowakischen Republik hat und als Teil seiner Geschäftstätigkeit Kunststoffartikel und Fanggeräte aus einem anderen Mitgliedstaat oder aus einem Nichtmitgliedstaat auf den Markt der Slowakischen Republik bringt;</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Einweg-Kunststoffartikel und Fanggeräte in der Slowakischen Republik durch Fernkommunikation direkt an Haushalte oder Nichthaushaltsnutzer verkauft und seinen Sitz oder seine Betriebsstätte in einem anderen Mitgliedstaat oder in einem anderen Nichtmitgliedstaat hat;</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seinen Sitz oder seine Betriebsstätte in der Slowakischen Republik hat und im Rahmen seiner Geschäftstätigkeit auf der Grundlage eines Fernabsatzvertrags direkt an einen Nutzer in einem anderen Mitgliedstaat verkauft.</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Biologisch abbaubarer Kunststoff“ bezeichnet Kunststoff, der sich physikalisch und biologisch zersetzen kann, so dass er sich letztlich in Kohlendioxid (CO</w:t>
      </w:r>
      <w:r>
        <w:rPr>
          <w:sz w:val="14"/>
        </w:rPr>
        <w:t>2</w:t>
      </w:r>
      <w:r>
        <w:rPr>
          <w:sz w:val="20"/>
        </w:rPr>
        <w:t>), Biomasse und Wasser zersetzt und gemäß den europäischen Normen für Verpackungen durch Kompostierung und anaerobe Verdauung wiederverwertbar ist.</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Hafenauffanganlagen bezeichnet Hafenauffanganlagen nach besonderen Rechtsvorschriften.</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Tabakerzeugnisse sind Tabakerzeugnisse, die nach besonderen Rechtsvorschriften definiert sind.</w:t>
      </w:r>
      <w:r>
        <w:rPr>
          <w:sz w:val="10"/>
        </w:rPr>
        <w:t>96e</w:t>
      </w:r>
      <w:r>
        <w:rPr>
          <w:sz w:val="20"/>
        </w:rPr>
        <w:t>)</w:t>
      </w:r>
    </w:p>
    <w:p w14:paraId="60BFB0FA" w14:textId="140D0DE6" w:rsidR="00E30B60" w:rsidRDefault="00C33F29">
      <w:pPr>
        <w:pStyle w:val="BodyText"/>
        <w:spacing w:before="6"/>
        <w:rPr>
          <w:sz w:val="27"/>
        </w:rPr>
      </w:pPr>
      <w:r>
        <w:rPr>
          <w:sz w:val="27"/>
        </w:rPr>
        <w:t xml:space="preserve">  </w:t>
      </w:r>
    </w:p>
    <w:p w14:paraId="34F54EF9" w14:textId="0E9152AC" w:rsidR="00E30B60" w:rsidRDefault="00C33F29" w:rsidP="00F4166D">
      <w:pPr>
        <w:pStyle w:val="BodyText"/>
        <w:spacing w:line="281" w:lineRule="auto"/>
        <w:ind w:left="2948" w:right="3249" w:firstLine="765"/>
        <w:rPr>
          <w:b/>
        </w:rPr>
      </w:pPr>
      <w:r>
        <w:rPr>
          <w:b/>
        </w:rPr>
        <w:t xml:space="preserve">    </w:t>
      </w:r>
      <w:r w:rsidR="00CB547F">
        <w:rPr>
          <w:b/>
        </w:rPr>
        <w:t>§ 75b</w:t>
      </w:r>
      <w:r w:rsidR="00CB547F">
        <w:rPr>
          <w:b/>
        </w:rPr>
        <w:br/>
        <w:t>Verringerung des Verbrauchs</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(Ein Hersteller von Einweg-Kunststoffartikeln, der dem Endverbraucher gemäß Anhang 7a Teil A Einweg-Kunststoffartikel für den Verzehr von Lebensmitteln und Getränken an einem anderen Ort als dem Verkaufsort zur Verfügung stellt, ist verpflichtet</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diese gegen Bezahlung zur Verfügung zu stellen; er muss den Endverbraucher über diese Tatsache unterrichten;</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dem Endverbraucher eine wiederverwendbare Alternative anzubieten; oder</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eine biologisch abbaubare Alternative anzubieten.</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Verbrauchern darf für den Verzehr von Lebensmitteln und Getränken an der Verkaufsstelle Folgendes nicht zur Verfügung gestellt werden:</w:t>
      </w:r>
    </w:p>
    <w:p w14:paraId="4734A695" w14:textId="77777777" w:rsidR="00E30B60" w:rsidRDefault="00CB547F">
      <w:pPr>
        <w:pStyle w:val="ListParagraph"/>
        <w:numPr>
          <w:ilvl w:val="0"/>
          <w:numId w:val="18"/>
        </w:numPr>
        <w:tabs>
          <w:tab w:val="left" w:pos="786"/>
        </w:tabs>
        <w:spacing w:before="100"/>
        <w:ind w:right="0"/>
        <w:rPr>
          <w:sz w:val="20"/>
        </w:rPr>
      </w:pPr>
      <w:r>
        <w:rPr>
          <w:sz w:val="20"/>
        </w:rPr>
        <w:t>Einwegprodukte aus Kunststoff in ständigen Einrichtungen der öffentlichen und der Fast-Food-Gastronomie;</w:t>
      </w:r>
    </w:p>
    <w:p w14:paraId="49E77A18" w14:textId="77777777" w:rsidR="00E30B60" w:rsidRDefault="00CB547F">
      <w:pPr>
        <w:pStyle w:val="ListParagraph"/>
        <w:numPr>
          <w:ilvl w:val="0"/>
          <w:numId w:val="18"/>
        </w:numPr>
        <w:tabs>
          <w:tab w:val="left" w:pos="786"/>
        </w:tabs>
        <w:spacing w:before="135"/>
        <w:ind w:right="0"/>
        <w:rPr>
          <w:sz w:val="20"/>
        </w:rPr>
      </w:pPr>
      <w:r>
        <w:rPr>
          <w:sz w:val="20"/>
        </w:rPr>
        <w:t>Einweg-Kunststoffgeschirr bei öffentlichen Veranstaltungen.</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Zusätzlich zu dem Verbot nach Absatz 2 Buchstabe b ist der Veranstalter einer öffentlichen Veranstaltung im Falle der Bereitstellung biologisch abbaubarer Produkte verpflichtet, die anschließende getrennte Sammlung dieser Produkte zu gewährleisten.</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Der Hersteller von Einweg-Kunststoffartikeln gemäß Anhang 7a Teil A führt Aufzeichnungen über einzelne Produkte, die in der Slowakischen Republik in Verkehr gebracht werden, pflegt diese und meldet diese Daten dem Ministerium im vorgegebenen Umfang sowie bewahrt die gemeldeten Daten auf.</w:t>
      </w:r>
    </w:p>
    <w:p w14:paraId="2E7C43F1" w14:textId="68936ABA" w:rsidR="00E30B60" w:rsidRDefault="00CB547F">
      <w:pPr>
        <w:pStyle w:val="ListParagraph"/>
        <w:numPr>
          <w:ilvl w:val="0"/>
          <w:numId w:val="20"/>
        </w:numPr>
        <w:tabs>
          <w:tab w:val="left" w:pos="1058"/>
        </w:tabs>
        <w:spacing w:line="276" w:lineRule="auto"/>
        <w:ind w:firstLine="226"/>
        <w:jc w:val="both"/>
        <w:rPr>
          <w:sz w:val="20"/>
        </w:rPr>
      </w:pPr>
      <w:r>
        <w:rPr>
          <w:sz w:val="20"/>
        </w:rPr>
        <w:t>Der Hersteller eines in Anhang 7a Teil A aufgeführten Einweg-Kunststoffprodukts erstellt einen Bericht über die Maßnahmen zur Verbrauchsreduzierung und unterrichtet das Ministerium spätestens am 30. April über die Fortschritte bei der Verbrauchsreduzierung.</w:t>
      </w:r>
    </w:p>
    <w:p w14:paraId="7A725A34" w14:textId="1BBE7C5A" w:rsidR="00F4166D" w:rsidRDefault="00F4166D" w:rsidP="00F4166D">
      <w:pPr>
        <w:tabs>
          <w:tab w:val="left" w:pos="1058"/>
        </w:tabs>
        <w:spacing w:line="276" w:lineRule="auto"/>
        <w:jc w:val="both"/>
        <w:rPr>
          <w:sz w:val="20"/>
        </w:rPr>
      </w:pPr>
    </w:p>
    <w:p w14:paraId="75B55651" w14:textId="77777777" w:rsidR="00F4166D" w:rsidRPr="00F4166D" w:rsidRDefault="00F4166D" w:rsidP="00F4166D">
      <w:pPr>
        <w:tabs>
          <w:tab w:val="left" w:pos="1058"/>
        </w:tabs>
        <w:spacing w:line="276" w:lineRule="auto"/>
        <w:jc w:val="both"/>
        <w:rPr>
          <w:sz w:val="20"/>
        </w:rPr>
      </w:pP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8A6FDAC" w14:textId="77777777" w:rsidR="00E30B60" w:rsidRDefault="00CB547F">
      <w:pPr>
        <w:pStyle w:val="BodyText"/>
        <w:spacing w:before="218" w:line="276" w:lineRule="auto"/>
        <w:ind w:left="502" w:right="110" w:firstLine="226"/>
      </w:pPr>
      <w:r>
        <w:t xml:space="preserve">Es ist verboten, die in Anhang 7a Teil B aufgeführten Einweg-Kunststoffartikel und </w:t>
      </w:r>
      <w:proofErr w:type="spellStart"/>
      <w:r>
        <w:t>oxo</w:t>
      </w:r>
      <w:proofErr w:type="spellEnd"/>
      <w:r>
        <w:t>-abbaubare Kunststoffe in der Slowakischen Republik in Verkehr zu bringen.</w:t>
      </w: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Anforderungen an Einwegkunststoffprodukte</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Der Hersteller eines Einweg-Kunststoffprodukts ist verpflichtet, Getränkebehältnisse gemäß Anhang 7a Teil C in der Slowakischen Republik in Verkehr zu bringen, bei denen die Verschlüsse oder Deckel aus Kunststoff während der beabsichtigten Verwendung des Erzeugnisses an den Getränkebehältnissen befestigt bleiben.</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Getränkebehältnisse gemäß Anhang 7a Teil C, hergestellt nach harmonisierten Normen, deren Fundstelle im Amtsblatt der Europäischen Union veröffentlicht wurde, gelten als Getränkebehältnisse gemäß der Anforderung nach Absatz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Metallkappen oder Deckel mit Kunststoffdichtungen gelten nicht als aus Kunststoff gefertigt.</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Der Hersteller eines in Anhang 7a Teil F aufgeführten Einweg-Kunststoffprodukts ist verpflichtet, Getränkeflaschen in der Slowakischen Republik in Verkehr zu bringen, die</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aus Polyethylenterephthalat (nachstehend „PET-Getränkeflaschen”) mit einem Anteil von mindestens 25 % recyceltem Kunststoff an der Gesamtmenge der von ihm in der Slowakischen Republik in Verkehr gebrachten PET-Getränkeflaschen;</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wobei die Gesamtmenge der Kunststoff-Getränkeflaschen, die er in der Slowakischen Republik in Verkehr bringt, zu mindestens 30 % recycelten Kunststoff enthalten muss.</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Der Hersteller eines Einweg-Kunststoffprodukts legt dem Ministerium spätestens am 30. April für das vorangegangene Kalenderjahr einen Bericht über den Inhalt von recyceltem Kunststoff gemäß Absatz 4 vor. Diese Verpflichtung ist im Falle eines Verpackungsherstellers, der Getränke in zurückzunehmenden Einwegverpackungen in Verkehr bringt, durch eine Stelle nach besonderen Rechtsvorschriften zu erfüllen.</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Anforderungen an die Produktkennzeichnung</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Der Hersteller eines in Anhang 7a Teil D aufgeführten Einweg-Kunststoffprodukts ist vor dem Inverkehrbringen des Produkts in der Slowakischen Republik verpflichtet, dieses Produkt mit den folgenden Informationen für die Verbraucher zu kennzeichnen</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die am besten geeigneten Entsorgungswege für das Produkt oder die Entsorgungswege für Abfälle, die im Falle des betreffenden Produkts vermieden werden müssen, wenn es gemäß der Abfallbewirtschaftungshierarchie zu Abfall wird;</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das Vorhandensein von Kunststoff im Produkt und seine negativen Umweltauswirkungen, wenn das Produkt zu Abfall wird.</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Die in Absatz 1 genannte Etikettierung ist auf der Verpackung des Erzeugnisses, den Einzelpackungen des Erzeugnisses oder auf dem Erzeugnis selbst so anzubringen, dass sie deutlich sichtbar, lesbar und dauerhaft ist.</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Der Hersteller eines in Anhang 7a Teil D aufgeführten Einweg-Kunststoffprodukts ist verpflichtet, die Kennzeichnung der Verpackung nach Absatz 1 nach besonderen Rechtsvorschriften zu gewährleisten.</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Die Kennzeichnung von Tabakerzeugnissen gemäß Absatz 1 ergänzt die Kennzeichnung nach besonderen Rechtsvorschriften.</w:t>
      </w:r>
      <w:r>
        <w:rPr>
          <w:sz w:val="10"/>
        </w:rPr>
        <w:t>96h</w:t>
      </w:r>
      <w:r>
        <w:rPr>
          <w:sz w:val="20"/>
        </w:rPr>
        <w:t>)</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Verlängerte Haftung des Herstellers eines speziellen Kunststoffprodukts</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Zusätzlich zu den Verpflichtungen nach den Absätzen 27 und 52 trägt der Hersteller eines in Anhang 7a Teil E Abschnitt I aufgeführten Einweg-Kunststoffprodukts die Kosten</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für Maßnahmen zur Sensibilisierung für die in der Slowakischen Republik in Verkehr gebrachten Erzeugnisse;</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im Zusammenhang mit der Sammlung, dem Transport, der Verwertung, dem Recycling, der Behandlung und der Entsorgung von Abfällen;</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im Zusammenhang mit der Beseitigung von Abfällen in Form dieser Produkte in Gebieten, in denen sie nicht in lokalen Abfallentsorgungssystemen entsorgt wurden.</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Der Hersteller von Tabakerzeugnissen für die Zwecke der Verpflichtung nach Absatz 1 Buchstabe b kann eine spezifische Infrastruktur für die Sammlung von Abfällen aus diesen Erzeugnissen einrichten.</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Der Hersteller eines Einweg-Kunststoffprodukts gemäß Anhang 7a Teil E Abschnitte II und III ist verpflichtet</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die Kosten für Sensibilisierungsmaßnahmen in Bezug auf seine in der Slowakischen Republik in Verkehr gebrachten Erzeugnisse zu tragen;</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die Kosten für die Beseitigung von Abfällen in Form dieser Produkte in Gebieten zu tragen, in denen sie nicht in lokalen Abfallentsorgungssystemen entsorgt wurden;</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Aufzeichnungen über Produkte, die in der Slowakischen Republik in Verkehr gebracht werden, zu führen und dem Ministerium Daten im vorgegebenen Umfang zu melden und die gemeldeten Daten aufzubewahren.</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Der Hersteller eines in Anhang 7a Teil E aufgeführten Einweg-Kunststoffprodukts und Fanggeräts, das Kunststoff enthält, der seinen Sitz oder seine Betriebsstätte in der Slowakischen Republik hat und diese Erzeugnisse in einem anderen Mitgliedstaat verkauft, benennt in diesem Mitgliedstaat einen Bevollmächtigten zur Erfüllung seiner Pflichten in Bezug auf diese Erzeugnisse.</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Der Hersteller eines Fanggeräts, das Kunststoff enthält, führt und pflegt Aufzeichnungen über Fanggeräte, die in der Slowakischen Republik in Verkehr gebracht werden, übermittelt dem Ministerium diese Daten und speichert die gemeldeten Daten.</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Ein Hersteller von Fanggeräten, die Kunststoff enthalten, ist verpflichtet, die Kosten im Zusammenhang mit der getrennten Sammlung, Beförderung, Wiederverwertung, Verwertung oder Beseitigung von Kunststoffabfällen, die in den betreffenden Hafenauffangeinrichtungen oder anderen gleichwertigen Aufnahmesystemen angelandet wurden, zu decken.</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 g</w:t>
      </w:r>
      <w:r>
        <w:rPr>
          <w:b/>
        </w:rPr>
        <w:br/>
        <w:t>Bewusstseinsbildung</w:t>
      </w:r>
    </w:p>
    <w:p w14:paraId="20D90145" w14:textId="1BEFC6E3" w:rsidR="00E30B60" w:rsidRDefault="00CB547F">
      <w:pPr>
        <w:pStyle w:val="BodyText"/>
        <w:spacing w:before="193" w:line="276" w:lineRule="auto"/>
        <w:ind w:left="502" w:right="103" w:firstLine="226"/>
        <w:jc w:val="both"/>
      </w:pPr>
      <w:r>
        <w:t>Der Hersteller eines Einweg-Kunststoffprodukts gemäß Anhang 7a Teil G und eines kunststoffhaltigen Fanggeräts unterrichtet und motiviert die Endnutzer des Einweg-Kunststoffprodukts, verantwortungsvoll zu handeln, um die Umweltverschmutzung durch Abfälle aus diesen Produkten zu verringern;</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über die Verwendung verfügbarer wiederverwendbarer Alternativen;</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über die richtige Art der Entsorgung von Produkten, wenn sie zu Abfall werden;</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über die Auswirkungen einer unangemessenen Entsorgung von Abfällen aus Einweg-Kunststoffartikeln und kunststoffhaltigen Fanggeräten auf die Umwelt;</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über die Auswirkungen der unangemessenen Entsorgung dieser Produkte auf das Abwasser, wenn sie zu Abfällen werden.</w:t>
      </w:r>
    </w:p>
    <w:p w14:paraId="5D2E916C" w14:textId="77777777" w:rsidR="00E30B60" w:rsidRDefault="00CB547F">
      <w:pPr>
        <w:pStyle w:val="BodyText"/>
        <w:spacing w:before="85"/>
        <w:ind w:left="729"/>
        <w:jc w:val="both"/>
      </w:pPr>
      <w:r>
        <w:t>Die Fußnoten 96a bis 96h lauten:</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Artikel 2 Absatz 1 Buchstabe (c) der Verordnung (EU) Nr. 1025/2012 des Europäischen Parlaments und des Rates vom 25. Oktober 2012 zur europäischen Normung, zur Änderung der Richtlinien 89/686/EWG und 93/15/EWG des Rates sowie der Richtlinien 94/9/EG, 94/25/EG, 95/16/EG, 97/23/EG, 98/34/EG, 2004/22/EG, 2007/23/EG, 2009/23/EG und 2009/105/EG des Europäischen Parlaments und des Rates und zur Aufhebung des Beschlusses 87/95/EWG des Rates und des Beschlusses Nr. 1673/2006/EG des Europäischen Parlaments und des Rates, in der geänderten Fassung.</w:t>
      </w:r>
    </w:p>
    <w:p w14:paraId="7D526B49" w14:textId="77777777" w:rsidR="00E30B60" w:rsidRDefault="00CB547F">
      <w:pPr>
        <w:spacing w:before="103" w:line="244" w:lineRule="auto"/>
        <w:ind w:left="729" w:right="103"/>
        <w:jc w:val="both"/>
        <w:rPr>
          <w:sz w:val="18"/>
        </w:rPr>
      </w:pPr>
      <w:r>
        <w:rPr>
          <w:sz w:val="10"/>
        </w:rPr>
        <w:t>96b</w:t>
      </w:r>
      <w:r>
        <w:rPr>
          <w:sz w:val="18"/>
        </w:rPr>
        <w:t>) Gesetz Nr. 102/2014 über den Verbraucherschutz beim Verkauf von Waren oder die Erbringung von Dienstleistungen auf der Grundlage eines Fernabsatzvertrags oder eines außerhalb von Geschäftsräumen geschlossenen Vertrags des Verkäufers und zur Änderung bestimmter Gesetze in der geänderten Fassung.</w:t>
      </w:r>
    </w:p>
    <w:p w14:paraId="5DEAD916" w14:textId="69DCB80D" w:rsidR="00E30B60" w:rsidRDefault="00CB547F">
      <w:pPr>
        <w:spacing w:before="102" w:line="244" w:lineRule="auto"/>
        <w:ind w:left="729" w:right="103"/>
        <w:jc w:val="both"/>
        <w:rPr>
          <w:sz w:val="18"/>
        </w:rPr>
      </w:pPr>
      <w:r>
        <w:rPr>
          <w:sz w:val="10"/>
        </w:rPr>
        <w:t>96c</w:t>
      </w:r>
      <w:r>
        <w:rPr>
          <w:sz w:val="18"/>
        </w:rPr>
        <w:t>) Artikel 4 Absatz 1 Nummer 28 der Verordnung (EU) Nr. 1380/2013 des Europäischen Parlaments und des Rates vom 11. Dezember 2013 über die Gemeinsame Fischereipolitik zur Änderung der Verordnungen (EG) Nr. 1954/2003 und (EG) Nr. 1224/2009 des Rates sowie zur Aufhebung der Verordnungen (EG) Nr. 2371/2002 und (EG) Nr. 639/2004 des Rates und des Beschlusses 2004/585/EG des Rates, in der geänderten Fassung (</w:t>
      </w:r>
      <w:proofErr w:type="spellStart"/>
      <w:r>
        <w:rPr>
          <w:sz w:val="18"/>
        </w:rPr>
        <w:t>ABl.</w:t>
      </w:r>
      <w:proofErr w:type="spellEnd"/>
      <w:r>
        <w:rPr>
          <w:sz w:val="18"/>
        </w:rPr>
        <w:t> L 354 vom 28.12. 2013).</w:t>
      </w:r>
    </w:p>
    <w:p w14:paraId="15970DB7" w14:textId="77777777" w:rsidR="00E30B60" w:rsidRDefault="00CB547F">
      <w:pPr>
        <w:spacing w:before="102"/>
        <w:ind w:left="729"/>
        <w:jc w:val="both"/>
        <w:rPr>
          <w:sz w:val="18"/>
        </w:rPr>
      </w:pPr>
      <w:r>
        <w:rPr>
          <w:sz w:val="10"/>
        </w:rPr>
        <w:t>96d</w:t>
      </w:r>
      <w:r>
        <w:rPr>
          <w:sz w:val="18"/>
        </w:rPr>
        <w:t>) Seeschifffahrtsgesetz Nr. 435/2000 in der geänderten Fassung.</w:t>
      </w:r>
    </w:p>
    <w:p w14:paraId="5EF5EE76" w14:textId="58A6960E" w:rsidR="00E30B60" w:rsidRDefault="00CB547F">
      <w:pPr>
        <w:spacing w:before="105" w:line="244" w:lineRule="auto"/>
        <w:ind w:left="729" w:right="103"/>
        <w:jc w:val="both"/>
        <w:rPr>
          <w:sz w:val="18"/>
        </w:rPr>
      </w:pPr>
      <w:r>
        <w:rPr>
          <w:sz w:val="10"/>
        </w:rPr>
        <w:t>96e</w:t>
      </w:r>
      <w:r>
        <w:rPr>
          <w:sz w:val="18"/>
        </w:rPr>
        <w:t>) § 2 Absatz 3 des Gesetzes Nr. 89/2016 über die Herstellung, die Etikettierung und den Verkauf von Tabakerzeugnissen und verwandten Erzeugnissen sowie über Änderungen bestimmter Gesetze, geändert durch das Gesetz Nr. 92/2019</w:t>
      </w:r>
    </w:p>
    <w:p w14:paraId="1BC9FB90" w14:textId="28B52A0A" w:rsidR="00E30B60" w:rsidRDefault="00CB547F">
      <w:pPr>
        <w:spacing w:before="101" w:line="244" w:lineRule="auto"/>
        <w:ind w:left="729" w:right="103"/>
        <w:jc w:val="both"/>
        <w:rPr>
          <w:sz w:val="18"/>
        </w:rPr>
      </w:pPr>
      <w:r>
        <w:rPr>
          <w:sz w:val="10"/>
        </w:rPr>
        <w:t>96f</w:t>
      </w:r>
      <w:r>
        <w:rPr>
          <w:sz w:val="18"/>
        </w:rPr>
        <w:t>) § 7 (1)(v) des Gesetzes Nr. 302/2019 über ein Pfanderstattungssystem für Getränkebehältnisse und über die Änderung bestimmter Gesetze.</w:t>
      </w:r>
    </w:p>
    <w:p w14:paraId="2EC47CDC" w14:textId="1A1C418A" w:rsidR="00E30B60" w:rsidRDefault="00CB547F">
      <w:pPr>
        <w:spacing w:before="101" w:line="244" w:lineRule="auto"/>
        <w:ind w:left="729" w:right="103"/>
        <w:jc w:val="both"/>
        <w:rPr>
          <w:sz w:val="18"/>
        </w:rPr>
      </w:pPr>
      <w:r>
        <w:rPr>
          <w:sz w:val="10"/>
        </w:rPr>
        <w:t>96g</w:t>
      </w:r>
      <w:r>
        <w:rPr>
          <w:sz w:val="18"/>
        </w:rPr>
        <w:t>) Durchführungsverordnung (EU) 2020/2151 der Kommission vom 17. Dezember 2020 zur Festlegung harmonisierter Kennzeichnungsvorschriften für in Teil D des Anhangs der Richtlinie (EU) 2019/904 des Europäischen Parlaments und des Rates über die Verringerung der Auswirkungen bestimmter Kunststoffartikel auf die Umwelt aufgeführte Einwegkunststoffartikel (</w:t>
      </w:r>
      <w:proofErr w:type="spellStart"/>
      <w:r>
        <w:rPr>
          <w:sz w:val="18"/>
        </w:rPr>
        <w:t>ABl.</w:t>
      </w:r>
      <w:proofErr w:type="spellEnd"/>
      <w:r>
        <w:rPr>
          <w:sz w:val="18"/>
        </w:rPr>
        <w:t xml:space="preserve"> L 428 vom 18.12.2020).</w:t>
      </w:r>
    </w:p>
    <w:p w14:paraId="42F6CA94" w14:textId="77777777" w:rsidR="00E30B60" w:rsidRDefault="00CB547F">
      <w:pPr>
        <w:spacing w:before="102"/>
        <w:ind w:left="729"/>
        <w:jc w:val="both"/>
        <w:rPr>
          <w:sz w:val="18"/>
        </w:rPr>
      </w:pPr>
      <w:r>
        <w:rPr>
          <w:sz w:val="10"/>
        </w:rPr>
        <w:t>96h</w:t>
      </w:r>
      <w:r>
        <w:rPr>
          <w:sz w:val="18"/>
        </w:rPr>
        <w:t>) Gesetz Nr. 89/2016, geändert durch Gesetz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In § 105 Absatz 3 wird folgender Buchstabe angefügt:</w:t>
      </w:r>
    </w:p>
    <w:p w14:paraId="2874BDF9" w14:textId="77777777" w:rsidR="00E30B60" w:rsidRDefault="00CB547F">
      <w:pPr>
        <w:pStyle w:val="BodyText"/>
        <w:spacing w:before="106"/>
        <w:ind w:left="502"/>
        <w:jc w:val="both"/>
      </w:pPr>
      <w:r>
        <w:t>„ad) Die Kennzeichnungsspezifikationen gemäß § 75e..“</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 106 Buchstabe h) wird die Angabe „§ 53a, § 73a” durch die Angabe „§ 75b, § 75c, § 75d, § 75e” ersetzt.</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 110 Absatz 1 Buchstabe a wird der Text „Abschnitt 53a“ gestrichen, und der Text „§ 73a und § 135 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In § 111 Absatz 6 wird der Text „§ 53a und § 73a“ durch „§ 75c“ ersetzt.</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In § 117 Abs. 1 wird nach dem Wortlaut „53 Abs. 7, 8; § 54 Abs. 1 Buchst. f, 5“ der Text „§ 53aa;“ eingefügt.</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 117 Absatz 6 lautet:</w:t>
      </w:r>
    </w:p>
    <w:p w14:paraId="2F50D7B0" w14:textId="77777777" w:rsidR="00E30B60" w:rsidRDefault="00CB547F">
      <w:pPr>
        <w:pStyle w:val="BodyText"/>
        <w:spacing w:before="220" w:line="276" w:lineRule="auto"/>
        <w:ind w:left="502" w:right="103" w:firstLine="226"/>
        <w:jc w:val="both"/>
      </w:pPr>
      <w:r>
        <w:t>„(6) Gegen eine juristische Person oder einen Einzelunternehmer, der gegen die Verpflichtung nach § 13, § 16 Abs. 5, Abs. 10, § 19 Abs. 1 Buchstabe f, § 21 Abs. 2, § 21 Abs. 3 Buchstabe f, g, § 25 Abs. 1, Abs. 7 verstößt, wird von der zuständigen Abfallwirtschaftsbehörde der Landesverwaltung ein Bußgeld zwischen 4 000 und 350 000 Euro festgesetzt;</w:t>
      </w:r>
    </w:p>
    <w:p w14:paraId="4B6F5513" w14:textId="77777777" w:rsidR="00E30B60" w:rsidRPr="00D0358C" w:rsidRDefault="00CB547F">
      <w:pPr>
        <w:pStyle w:val="BodyText"/>
        <w:ind w:left="502"/>
      </w:pPr>
      <w:r>
        <w:t>§ 27 Absatz 25; § 28 Absatz 9 Buchstabe e; § 31a Absatz 2, Absatz 6, Absatz 8; § 33; § 43;§ 53 Absatz 3;§ 62 Absatz 6;</w:t>
      </w:r>
    </w:p>
    <w:p w14:paraId="091FA774" w14:textId="77777777" w:rsidR="00E30B60" w:rsidRPr="00D0358C" w:rsidRDefault="00CB547F">
      <w:pPr>
        <w:pStyle w:val="BodyText"/>
        <w:spacing w:before="35"/>
        <w:ind w:left="502"/>
      </w:pPr>
      <w:r>
        <w:t>§ 75b; § 75c; § 75d; § 75e; § 75f; § 75g; § 76 Absatz 4;§ 79 Absätze 16, 24; § 84 Absätze 3, 5;</w:t>
      </w:r>
    </w:p>
    <w:p w14:paraId="1E67AFAF" w14:textId="77777777" w:rsidR="00E30B60" w:rsidRPr="00D0358C" w:rsidRDefault="00CB547F">
      <w:pPr>
        <w:pStyle w:val="BodyText"/>
        <w:spacing w:before="35"/>
        <w:ind w:left="502"/>
      </w:pPr>
      <w:r>
        <w:t>§ 135e (1), (2), (3), (4); § 135 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In § 135 g wird nach „7a“ der Text „Teil B“ eingefügt.</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Anhang 7a, einschließlich der Überschrift, lautet:</w:t>
      </w:r>
    </w:p>
    <w:p w14:paraId="3D8AA0DD" w14:textId="3EE3F1FD" w:rsidR="00E30B60" w:rsidRDefault="00E30B60">
      <w:pPr>
        <w:pStyle w:val="BodyText"/>
        <w:spacing w:before="10"/>
        <w:rPr>
          <w:sz w:val="17"/>
        </w:rPr>
      </w:pPr>
    </w:p>
    <w:p w14:paraId="49C744AF" w14:textId="7CA2DC3D" w:rsidR="00F4166D" w:rsidRDefault="00F4166D">
      <w:pPr>
        <w:pStyle w:val="BodyText"/>
        <w:spacing w:before="10"/>
        <w:rPr>
          <w:sz w:val="17"/>
        </w:rPr>
      </w:pPr>
    </w:p>
    <w:p w14:paraId="0EE81B3B" w14:textId="79695EB4" w:rsidR="00F4166D" w:rsidRDefault="00F4166D">
      <w:pPr>
        <w:pStyle w:val="BodyText"/>
        <w:spacing w:before="10"/>
        <w:rPr>
          <w:sz w:val="17"/>
        </w:rPr>
      </w:pPr>
    </w:p>
    <w:p w14:paraId="5A63090A" w14:textId="245EA2F8" w:rsidR="00F4166D" w:rsidRDefault="00F4166D">
      <w:pPr>
        <w:pStyle w:val="BodyText"/>
        <w:spacing w:before="10"/>
        <w:rPr>
          <w:sz w:val="17"/>
        </w:rPr>
      </w:pPr>
    </w:p>
    <w:p w14:paraId="5D9ED1DE" w14:textId="77777777" w:rsidR="00F4166D" w:rsidRDefault="00F4166D">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Anhang 7a.</w:t>
      </w:r>
      <w:r>
        <w:rPr>
          <w:b/>
        </w:rPr>
        <w:br/>
        <w:t>zum Gesetz Nr. 79/2015</w:t>
      </w:r>
    </w:p>
    <w:p w14:paraId="53FA3E6C" w14:textId="77777777" w:rsidR="00E30B60" w:rsidRDefault="00CB547F">
      <w:pPr>
        <w:pStyle w:val="BodyText"/>
        <w:spacing w:before="201"/>
        <w:ind w:left="1230" w:right="834"/>
        <w:jc w:val="center"/>
        <w:rPr>
          <w:b/>
        </w:rPr>
      </w:pPr>
      <w:r>
        <w:rPr>
          <w:b/>
        </w:rPr>
        <w:t>Teil A</w:t>
      </w:r>
    </w:p>
    <w:p w14:paraId="423994C5" w14:textId="77777777" w:rsidR="00E30B60" w:rsidRDefault="00CB547F">
      <w:pPr>
        <w:pStyle w:val="BodyText"/>
        <w:spacing w:before="231"/>
        <w:ind w:left="729"/>
        <w:rPr>
          <w:b/>
        </w:rPr>
      </w:pPr>
      <w:r>
        <w:rPr>
          <w:b/>
        </w:rPr>
        <w:t>Einweg-Kunststoffartikel, deren Verbrauch zu reduzieren ist</w:t>
      </w:r>
    </w:p>
    <w:p w14:paraId="360D13BF" w14:textId="77777777" w:rsidR="00E30B60" w:rsidRDefault="00CB547F">
      <w:pPr>
        <w:pStyle w:val="ListParagraph"/>
        <w:numPr>
          <w:ilvl w:val="0"/>
          <w:numId w:val="9"/>
        </w:numPr>
        <w:tabs>
          <w:tab w:val="left" w:pos="786"/>
        </w:tabs>
        <w:spacing w:before="128"/>
        <w:ind w:right="0"/>
        <w:rPr>
          <w:sz w:val="20"/>
        </w:rPr>
      </w:pPr>
      <w:r>
        <w:rPr>
          <w:sz w:val="20"/>
        </w:rPr>
        <w:t>Getränkebecher, einschließlich ihrer Verschlüsse und Deckel;</w:t>
      </w:r>
    </w:p>
    <w:p w14:paraId="0582B242" w14:textId="2DF91F2F" w:rsidR="00E30B60" w:rsidRPr="00F4166D" w:rsidRDefault="00CB547F" w:rsidP="00F4166D">
      <w:pPr>
        <w:pStyle w:val="ListParagraph"/>
        <w:numPr>
          <w:ilvl w:val="0"/>
          <w:numId w:val="9"/>
        </w:numPr>
        <w:tabs>
          <w:tab w:val="left" w:pos="786"/>
        </w:tabs>
        <w:spacing w:before="105" w:line="244" w:lineRule="auto"/>
        <w:rPr>
          <w:sz w:val="20"/>
        </w:rPr>
      </w:pPr>
      <w:r>
        <w:rPr>
          <w:sz w:val="20"/>
        </w:rPr>
        <w:t>Lebensmittelbehältnisse, d. h. Dosen, mit oder ohne Deckel, für Lebensmittel, die</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zum unmittelbaren Verbrauch entweder an der Verkaufsstelle oder an einem anderen Ort als der Verkaufsstelle bestimmt sind;</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typischerweise aus diesem Behälter konsumiert werden; und</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ohne weitere Zubereitung, wie z. B. Kochen, Sieden oder Erhitzen, zum Verzehr bereit sind;</w:t>
      </w:r>
    </w:p>
    <w:p w14:paraId="6B251702" w14:textId="77777777" w:rsidR="00E30B60" w:rsidRDefault="00CB547F">
      <w:pPr>
        <w:pStyle w:val="BodyText"/>
        <w:spacing w:before="216" w:line="276" w:lineRule="auto"/>
        <w:ind w:left="785" w:right="103" w:firstLine="226"/>
        <w:jc w:val="both"/>
      </w:pPr>
      <w:r>
        <w:t>einschließlich Lebensmittelbehältnisse, die für Fast Food oder andere zum sofortigen Verzehr bestimmte Mahlzeiten verwendet werden, ausgenommen Getränkebehälter, Teller und Packungen sowie Umhüllungen, die Lebensmittel enthalten;</w:t>
      </w:r>
    </w:p>
    <w:p w14:paraId="08F0A563" w14:textId="77777777" w:rsidR="00E30B60" w:rsidRDefault="00CB547F">
      <w:pPr>
        <w:pStyle w:val="BodyText"/>
        <w:spacing w:before="187"/>
        <w:ind w:left="1230" w:right="834"/>
        <w:jc w:val="center"/>
        <w:rPr>
          <w:b/>
        </w:rPr>
      </w:pPr>
      <w:r>
        <w:rPr>
          <w:b/>
        </w:rPr>
        <w:t>Teil B</w:t>
      </w:r>
    </w:p>
    <w:p w14:paraId="13056B9C" w14:textId="77777777" w:rsidR="00E30B60" w:rsidRDefault="00CB547F">
      <w:pPr>
        <w:pStyle w:val="BodyText"/>
        <w:spacing w:before="231"/>
        <w:ind w:left="729"/>
        <w:rPr>
          <w:b/>
        </w:rPr>
      </w:pPr>
      <w:r>
        <w:rPr>
          <w:b/>
        </w:rPr>
        <w:t>Es ist verboten, diese Einweg-Kunststoffartikel in der Slowakischen Republik in Verkehr zu bringen</w:t>
      </w:r>
    </w:p>
    <w:p w14:paraId="51FDEC54" w14:textId="77777777" w:rsidR="00E30B60" w:rsidRDefault="00CB547F">
      <w:pPr>
        <w:pStyle w:val="ListParagraph"/>
        <w:numPr>
          <w:ilvl w:val="0"/>
          <w:numId w:val="8"/>
        </w:numPr>
        <w:tabs>
          <w:tab w:val="left" w:pos="786"/>
        </w:tabs>
        <w:spacing w:before="128"/>
        <w:ind w:right="0"/>
        <w:rPr>
          <w:sz w:val="20"/>
        </w:rPr>
      </w:pPr>
      <w:r>
        <w:rPr>
          <w:sz w:val="20"/>
        </w:rPr>
        <w:t>Wattestäbchen, die nicht unter besondere Rechtsvorschriften fallen;</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Besteck (Gabeln, Messer, Löffel, Stäbchen);</w:t>
      </w:r>
    </w:p>
    <w:p w14:paraId="270DDFA9" w14:textId="77777777" w:rsidR="00E30B60" w:rsidRDefault="00CB547F">
      <w:pPr>
        <w:pStyle w:val="ListParagraph"/>
        <w:numPr>
          <w:ilvl w:val="0"/>
          <w:numId w:val="8"/>
        </w:numPr>
        <w:tabs>
          <w:tab w:val="left" w:pos="786"/>
        </w:tabs>
        <w:spacing w:before="105"/>
        <w:ind w:right="0"/>
        <w:rPr>
          <w:sz w:val="20"/>
        </w:rPr>
      </w:pPr>
      <w:r>
        <w:rPr>
          <w:sz w:val="20"/>
        </w:rPr>
        <w:t>Teller;</w:t>
      </w:r>
    </w:p>
    <w:p w14:paraId="5A4A28E4" w14:textId="77777777" w:rsidR="00E30B60" w:rsidRDefault="00CB547F">
      <w:pPr>
        <w:pStyle w:val="ListParagraph"/>
        <w:numPr>
          <w:ilvl w:val="0"/>
          <w:numId w:val="8"/>
        </w:numPr>
        <w:tabs>
          <w:tab w:val="left" w:pos="786"/>
        </w:tabs>
        <w:spacing w:before="105"/>
        <w:ind w:right="0"/>
        <w:rPr>
          <w:sz w:val="20"/>
        </w:rPr>
      </w:pPr>
      <w:r>
        <w:rPr>
          <w:sz w:val="20"/>
        </w:rPr>
        <w:t>Strohhalme, die nicht unter besondere Rechtsvorschriften fallen;</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Rührer für Getränke;</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Stäbe zur Befestigung an und zum Tragen von Luftballons, ausgenommen Luftballons für industrielle oder andere gewerbliche Zwecke und Anwendungen, die nicht an Verbraucher abgegeben werden, einschließlich der Mechanismen solcher Stäbe;</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Lebensmittelbehältnisse aus expandiertem Polystyrol, d. h. Behältnisse wie Schachteln, mit oder ohne Deckel, für Lebensmittel, die</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zum unmittelbaren Verbrauch entweder an der Verkaufsstelle oder an einem anderen Ort als der Verkaufsstelle bestimmt sind;</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typischerweise aus diesem Behälter konsumiert werden; und</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ohne weitere Zubereitung, wie z. B. Kochen, Sieden oder Erhitzen, zum Verzehr bereit sind;</w:t>
      </w:r>
    </w:p>
    <w:p w14:paraId="2B86D403" w14:textId="77777777" w:rsidR="00E30B60" w:rsidRDefault="00CB547F">
      <w:pPr>
        <w:pStyle w:val="BodyText"/>
        <w:spacing w:before="216" w:line="276" w:lineRule="auto"/>
        <w:ind w:left="785" w:right="103" w:firstLine="226"/>
        <w:jc w:val="both"/>
      </w:pPr>
      <w:r>
        <w:t>einschließlich Lebensmittelbehältnisse, die für Fast Food oder andere zum sofortigen Verzehr bestimmte Mahlzeiten verwendet werden, ausgenommen Getränkebehälter, Teller und Packungen sowie Umhüllungen, die Lebensmittel enthalten;</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Getränkebehälter aus expandiertem Polystyrol einschließlich ihrer Verschlüsse und Deckel;</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Tassen für Getränke aus expandiertem Polystyrol, einschließlich ihrer Verschlüsse und Deckel.</w:t>
      </w:r>
    </w:p>
    <w:p w14:paraId="5A3D23E4" w14:textId="77777777" w:rsidR="00E30B60" w:rsidRDefault="00CB547F">
      <w:pPr>
        <w:pStyle w:val="BodyText"/>
        <w:spacing w:before="208"/>
        <w:ind w:left="1230" w:right="834"/>
        <w:jc w:val="center"/>
        <w:rPr>
          <w:b/>
        </w:rPr>
      </w:pPr>
      <w:r>
        <w:rPr>
          <w:b/>
        </w:rPr>
        <w:t>TEIL C</w:t>
      </w:r>
    </w:p>
    <w:p w14:paraId="7696BE96" w14:textId="77777777" w:rsidR="00E30B60" w:rsidRDefault="00CB547F">
      <w:pPr>
        <w:pStyle w:val="BodyText"/>
        <w:spacing w:before="231" w:line="297" w:lineRule="auto"/>
        <w:ind w:left="502" w:right="103" w:firstLine="226"/>
        <w:jc w:val="both"/>
        <w:rPr>
          <w:b/>
        </w:rPr>
      </w:pPr>
      <w:r>
        <w:rPr>
          <w:b/>
        </w:rPr>
        <w:t>Einweg-Kunststoffartikel, die gemäß § 75d Absatz 1 des Gesetzes in Verkehr gebracht werden dürfen</w:t>
      </w:r>
    </w:p>
    <w:p w14:paraId="101A7BC1" w14:textId="77777777" w:rsidR="00E30B60" w:rsidRDefault="00CB547F">
      <w:pPr>
        <w:pStyle w:val="BodyText"/>
        <w:spacing w:before="185" w:line="276" w:lineRule="auto"/>
        <w:ind w:left="502" w:right="103" w:firstLine="226"/>
        <w:jc w:val="both"/>
      </w:pPr>
      <w:r>
        <w:t>Getränkebehältnisse mit einem Fassungsvermögen von höchstens drei Litern, d. h. Behälter für Flüssigkeiten wie Getränkeflaschen, einschließlich Verschlüssen und Deckeln, und zusammengesetzte Getränkebehältnisse, einschließlich Verschlüssen und Deckeln, ausgenommen</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lastRenderedPageBreak/>
        <w:t>Getränkebehältnisse aus Glas oder Metall mit Kunststoffverschlüssen und -deckeln;</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Getränkebehältnisse, die für bestimmte medizinische Zwecke in flüssiger Form bestimmt und verwendet werden, vorbehaltlich besonderer Rechtsvorschriften.</w:t>
      </w:r>
      <w:r>
        <w:rPr>
          <w:sz w:val="10"/>
        </w:rPr>
        <w:t>163</w:t>
      </w:r>
      <w:r>
        <w:rPr>
          <w:sz w:val="20"/>
        </w:rPr>
        <w:t>)</w:t>
      </w:r>
    </w:p>
    <w:p w14:paraId="5A8C8B95" w14:textId="77777777" w:rsidR="00E30B60" w:rsidRDefault="00CB547F">
      <w:pPr>
        <w:pStyle w:val="BodyText"/>
        <w:spacing w:before="203"/>
        <w:ind w:left="1230" w:right="834"/>
        <w:jc w:val="center"/>
        <w:rPr>
          <w:b/>
        </w:rPr>
      </w:pPr>
      <w:r>
        <w:rPr>
          <w:b/>
        </w:rPr>
        <w:t>Teil D</w:t>
      </w:r>
    </w:p>
    <w:p w14:paraId="43A76956" w14:textId="288C4191" w:rsidR="00E30B60" w:rsidRDefault="00CB547F" w:rsidP="00D0358C">
      <w:pPr>
        <w:pStyle w:val="BodyText"/>
        <w:spacing w:before="231"/>
        <w:ind w:left="729"/>
        <w:rPr>
          <w:b/>
        </w:rPr>
      </w:pPr>
      <w:r>
        <w:rPr>
          <w:b/>
        </w:rPr>
        <w:t>Einwegprodukte aus Kunststoff, die der Kennzeichnungspflicht nach § 75e des Gesetzes entsprechen müssen</w:t>
      </w: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Damenbinden, Tampons und Tampon-Applikatoren;</w:t>
      </w:r>
    </w:p>
    <w:p w14:paraId="50510A03" w14:textId="77777777" w:rsidR="00E30B60" w:rsidRDefault="00CB547F">
      <w:pPr>
        <w:pStyle w:val="ListParagraph"/>
        <w:numPr>
          <w:ilvl w:val="0"/>
          <w:numId w:val="6"/>
        </w:numPr>
        <w:tabs>
          <w:tab w:val="left" w:pos="786"/>
        </w:tabs>
        <w:spacing w:before="106"/>
        <w:ind w:right="0"/>
        <w:rPr>
          <w:sz w:val="20"/>
        </w:rPr>
      </w:pPr>
      <w:r>
        <w:rPr>
          <w:sz w:val="20"/>
        </w:rPr>
        <w:t>Feuchttücher, d. h. vorbefeuchtete Hygienetücher und Haushaltstücher;</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}Tabakerzeugnisse, die Filter enthalten, und Filter, die zur Verwendung in Kombination mit Tabakerzeugnissen verkauft werden;</w:t>
      </w:r>
    </w:p>
    <w:p w14:paraId="40A96525" w14:textId="77777777" w:rsidR="00E30B60" w:rsidRDefault="00CB547F">
      <w:pPr>
        <w:pStyle w:val="ListParagraph"/>
        <w:numPr>
          <w:ilvl w:val="0"/>
          <w:numId w:val="6"/>
        </w:numPr>
        <w:tabs>
          <w:tab w:val="left" w:pos="786"/>
        </w:tabs>
        <w:spacing w:before="101"/>
        <w:ind w:right="0"/>
        <w:rPr>
          <w:sz w:val="20"/>
        </w:rPr>
      </w:pPr>
      <w:r>
        <w:rPr>
          <w:sz w:val="20"/>
        </w:rPr>
        <w:t>Getränkebecher.</w:t>
      </w:r>
    </w:p>
    <w:p w14:paraId="3D9A0DD0" w14:textId="492E072C" w:rsidR="00E30B60" w:rsidRDefault="00CB547F">
      <w:pPr>
        <w:pStyle w:val="BodyText"/>
        <w:spacing w:before="208"/>
        <w:ind w:left="1230" w:right="834"/>
        <w:jc w:val="center"/>
        <w:rPr>
          <w:b/>
        </w:rPr>
      </w:pPr>
      <w:r>
        <w:rPr>
          <w:b/>
        </w:rPr>
        <w:t>TEIL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Einweg-Kunststoffartikel gemäß § 75f Abs. 1 und 4 des Gesetzes</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Lebensmittelbehältnisse, d. h. Behältnisse wie Dosen, mit oder ohne Deckel, für Lebensmittel, die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zum unmittelbaren Verbrauch entweder an der Verkaufsstelle oder an einem anderen Ort als der Verkaufsstelle bestimmt sind;</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typischerweise aus diesem Behälter konsumiert werden; und</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ohne weitere Zubereitung, wie z. B. Kochen, Sieden oder Erhitzen, zum Verzehr bereit sind;</w:t>
      </w:r>
    </w:p>
    <w:p w14:paraId="0138E3D4" w14:textId="77777777" w:rsidR="00E30B60" w:rsidRDefault="00CB547F">
      <w:pPr>
        <w:pStyle w:val="BodyText"/>
        <w:spacing w:before="200" w:line="276" w:lineRule="auto"/>
        <w:ind w:left="785" w:right="103" w:firstLine="226"/>
        <w:jc w:val="both"/>
      </w:pPr>
      <w:r>
        <w:t>einschließlich Lebensmittelbehältnisse, die für Fast Food oder andere zum sofortigen Verzehr bestimmte Mahlzeiten verwendet werden, ausgenommen Getränkebehälter, Teller und Packungen sowie Umhüllungen, die Lebensmittel enthalten;</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Packungen und Umhüllungen aus flexiblem Material, die Lebensmittel enthalten, die zum sofortigen Verzehr aus der Packung oder Umhüllung ohne weitere Zubereitung bestimmt sind;</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Getränkebehältnisse mit einem Fassungsvermögen von bis zu drei Litern, d. h. Gefäße, die zur Aufnahme von Flüssigkeit dienen, wie Getränkeflaschen einschließlich ihrer Verschlüsse und Deckel sowie zusammengesetzte Getränkeverpackungen einschließlich ihrer Verschlüsse und Deckel, mit Ausnahme von Getränkebehältnissen aus Glas oder Metall, die mit Kunststoffverschlüssen versehen sind;</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Getränkebecher, einschließlich ihrer Verschlüsse und Deckel;</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leichte Plastiktragetaschen.</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Einweg-Kunststoffartikel gemäß § 75f Absätze 1, 3 und 4 des Gesetzes</w:t>
      </w:r>
    </w:p>
    <w:p w14:paraId="4BA744C0" w14:textId="77777777" w:rsidR="00E30B60" w:rsidRDefault="00CB547F">
      <w:pPr>
        <w:pStyle w:val="ListParagraph"/>
        <w:numPr>
          <w:ilvl w:val="0"/>
          <w:numId w:val="4"/>
        </w:numPr>
        <w:tabs>
          <w:tab w:val="left" w:pos="786"/>
        </w:tabs>
        <w:spacing w:before="143"/>
        <w:ind w:right="0"/>
        <w:rPr>
          <w:sz w:val="20"/>
        </w:rPr>
      </w:pPr>
      <w:r>
        <w:rPr>
          <w:sz w:val="20"/>
        </w:rPr>
        <w:t>Feuchttücher, d. h. vorbefeuchtete Hygienetücher und Haushaltstücher;</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Luftballons, ausgenommen Luftballons für industrielle oder sonstige gewerbliche Zwecke und Anwendungen, die nicht an Verbraucher abgegeben werden.</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Andere unter § 75f Abs. 1 bis 4 des Gesetzes fallende Einweg-Kunststoffartikel</w:t>
      </w:r>
    </w:p>
    <w:p w14:paraId="475248E0" w14:textId="77777777" w:rsidR="00E30B60" w:rsidRDefault="00CB547F">
      <w:pPr>
        <w:pStyle w:val="BodyText"/>
        <w:spacing w:before="43" w:line="276" w:lineRule="auto"/>
        <w:ind w:left="502" w:firstLine="226"/>
      </w:pPr>
      <w:r>
        <w:t>Tabakerzeugnisse, die Filter enthalten und zur Verwendung in Kombination mit Tabakerzeugnissen verkauft werden;</w:t>
      </w:r>
    </w:p>
    <w:p w14:paraId="3AC28F65" w14:textId="77777777" w:rsidR="00E30B60" w:rsidRDefault="00CB547F">
      <w:pPr>
        <w:pStyle w:val="BodyText"/>
        <w:spacing w:before="188"/>
        <w:ind w:left="1230" w:right="834"/>
        <w:jc w:val="center"/>
        <w:rPr>
          <w:b/>
        </w:rPr>
      </w:pPr>
      <w:r>
        <w:rPr>
          <w:b/>
        </w:rPr>
        <w:t>Teil F</w:t>
      </w:r>
    </w:p>
    <w:p w14:paraId="5503DD3F" w14:textId="77777777" w:rsidR="00E30B60" w:rsidRDefault="00CB547F">
      <w:pPr>
        <w:pStyle w:val="BodyText"/>
        <w:spacing w:before="230" w:line="297" w:lineRule="auto"/>
        <w:ind w:left="502" w:firstLine="226"/>
        <w:rPr>
          <w:b/>
        </w:rPr>
      </w:pPr>
      <w:r>
        <w:rPr>
          <w:b/>
        </w:rPr>
        <w:t>Einweg-Kunststoffartikel, die gemäß § 75d Absatz 4 des Gesetzes in Verkehr gebracht werden dürfen</w:t>
      </w:r>
    </w:p>
    <w:p w14:paraId="104BA5A3" w14:textId="77777777" w:rsidR="00E30B60" w:rsidRDefault="00CB547F">
      <w:pPr>
        <w:pStyle w:val="BodyText"/>
        <w:spacing w:before="186"/>
        <w:ind w:left="729"/>
      </w:pPr>
      <w:r>
        <w:t xml:space="preserve">Getränkeflaschen von bis zu drei Litern einschließlich Verschlüssen und Deckeln, </w:t>
      </w:r>
      <w:r>
        <w:lastRenderedPageBreak/>
        <w:t>ausgenommen</w:t>
      </w:r>
    </w:p>
    <w:p w14:paraId="411E1955" w14:textId="77777777" w:rsidR="00E30B60" w:rsidRDefault="00CB547F">
      <w:pPr>
        <w:pStyle w:val="ListParagraph"/>
        <w:numPr>
          <w:ilvl w:val="0"/>
          <w:numId w:val="3"/>
        </w:numPr>
        <w:tabs>
          <w:tab w:val="left" w:pos="786"/>
        </w:tabs>
        <w:spacing w:before="120"/>
        <w:ind w:right="0"/>
        <w:rPr>
          <w:sz w:val="20"/>
        </w:rPr>
      </w:pPr>
      <w:r>
        <w:rPr>
          <w:sz w:val="20"/>
        </w:rPr>
        <w:t>Getränkeflaschen aus Glas oder Metall mit Kunststoffkappen und -deckeln;</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Getränkeflaschen, die für bestimmte medizinische Zwecke in flüssiger Form bestimmt und für Lebensmittel verwendet werden, für die besondere Rechtsvorschriften gelten.</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t>Teil G</w:t>
      </w:r>
    </w:p>
    <w:p w14:paraId="0B3CFA54" w14:textId="416D168C" w:rsidR="00E30B60" w:rsidRDefault="00CB547F" w:rsidP="00470FBD">
      <w:pPr>
        <w:pStyle w:val="BodyText"/>
        <w:keepNext/>
        <w:keepLines/>
        <w:spacing w:before="231"/>
        <w:ind w:left="729"/>
        <w:rPr>
          <w:b/>
          <w:sz w:val="17"/>
        </w:rPr>
      </w:pPr>
      <w:r>
        <w:rPr>
          <w:b/>
        </w:rPr>
        <w:t>Einweg-Kunststoffartikel, die unter § 75 g des Gesetzes fallen</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Lebensmittelbehältnisse, d. h. Behältnisse wie Dosen, mit oder ohne Deckel, für Lebensmittel, die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zum unmittelbaren Verbrauch entweder an der Verkaufsstelle oder an einem anderen Ort als der Verkaufsstelle bestimmt sind;</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typischerweise aus diesem Behälter konsumiert werden; und</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ohne weitere Zubereitung, wie z. B. Kochen, Sieden oder Erhitzen, zum Verzehr bereit sind;</w:t>
      </w:r>
    </w:p>
    <w:p w14:paraId="43510610" w14:textId="77777777" w:rsidR="00E30B60" w:rsidRDefault="00CB547F">
      <w:pPr>
        <w:pStyle w:val="BodyText"/>
        <w:spacing w:before="216" w:line="276" w:lineRule="auto"/>
        <w:ind w:left="785" w:right="103" w:firstLine="226"/>
        <w:jc w:val="both"/>
      </w:pPr>
      <w:r>
        <w:t>einschließlich Lebensmittelbehältnisse, die für Fast Food oder andere zum sofortigen Verzehr bestimmte Mahlzeiten verwendet werden, ausgenommen Getränkebehälter, Teller und Packungen sowie Umhüllungen, die Lebensmittel enthalten;</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Packungen und Umhüllungen aus flexiblem Material, die Lebensmittel enthalten, die zum sofortigen Verzehr aus der Packung oder Umhüllung ohne weitere Zubereitung bestimmt sind;</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Getränkebehältnisse mit einem Fassungsvermögen von bis zu drei Litern, d. h. Gefäße, die zur Aufnahme von Flüssigkeit dienen, wie Getränkeflaschen einschließlich ihrer Verschlüsse und Deckel sowie zusammengesetzte Getränkeverpackungen einschließlich ihrer Verschlüsse und Deckel, mit Ausnahme von Getränkebehältnissen aus Glas oder Metall, die mit Kunststoffverschlüssen versehen sind;</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Getränkebecher, einschließlich ihrer Verschlüsse und Deckel;</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}Tabakerzeugnisse, die Filter enthalten, und Filter, die zur Verwendung in Kombination mit Tabakerzeugnissen verkauft werden;</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Feuchttücher, d. h. vorbefeuchtete Hygienetücher und Haushaltstücher;</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Luftballons, ausgenommen Luftballons für industrielle oder sonstige gewerbliche Zwecke und Anwendungen, die nicht an Verbraucher abgegeben werden.</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leichte Plastiktragetaschen;</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Damenbinden, Tampons und Tampon-Applikatoren.“. Die Fußnoten 162-164 lauten wie folgt:</w:t>
      </w:r>
    </w:p>
    <w:p w14:paraId="159DB5FD" w14:textId="77777777" w:rsidR="00E30B60" w:rsidRDefault="00CB547F">
      <w:pPr>
        <w:spacing w:line="244" w:lineRule="auto"/>
        <w:ind w:left="729" w:right="103"/>
        <w:jc w:val="both"/>
        <w:rPr>
          <w:sz w:val="18"/>
        </w:rPr>
      </w:pPr>
      <w:r>
        <w:rPr>
          <w:sz w:val="18"/>
        </w:rPr>
        <w:t>„162) Zum Beispiel Gesetz Nr. 362/2011 über Arzneimittel und Medizinprodukte und über Änderungen bestimmter Gesetze in der geänderten Fassung, Gesetz Nr. 362/2011 über Arzneimittel und Medizinprodukte und über Änderungen bestimmter Gesetze in der geänderten Fassung.</w:t>
      </w:r>
    </w:p>
    <w:p w14:paraId="5E5B56BE" w14:textId="62F04962" w:rsidR="00E30B60" w:rsidRDefault="00CB547F">
      <w:pPr>
        <w:spacing w:before="99" w:line="244" w:lineRule="auto"/>
        <w:ind w:left="729" w:right="103"/>
        <w:jc w:val="both"/>
        <w:rPr>
          <w:sz w:val="18"/>
        </w:rPr>
      </w:pPr>
      <w:r>
        <w:rPr>
          <w:sz w:val="10"/>
        </w:rPr>
        <w:t>163</w:t>
      </w:r>
      <w:r>
        <w:rPr>
          <w:sz w:val="18"/>
        </w:rPr>
        <w:t>) Verordnung (EU) Nr. 609/2013 des Europäischen Parlaments und des Rates vom 12. Juni 2013 über Lebensmittel für Säuglinge und Kleinkinder, Lebensmittel für besondere medizinische Zwecke und Tagesrationen für gewichtskontrollierende Ernährung und zur Aufhebung der Richtlinie 92/52/EWG des Rates, der Richtlinien 96/8/EG, 1999/21/EG, 2006/125/EG und 2006/141/EG der Kommission, der Richtlinie 2009/39/EG des Europäischen Parlaments und des Rates sowie der Verordnungen (EG) Nr. 41/2009 und (EG) Nr. 953/2009 des Rates und der Kommission (</w:t>
      </w:r>
      <w:proofErr w:type="spellStart"/>
      <w:r>
        <w:rPr>
          <w:sz w:val="18"/>
        </w:rPr>
        <w:t>ABl.</w:t>
      </w:r>
      <w:proofErr w:type="spellEnd"/>
      <w:r>
        <w:rPr>
          <w:sz w:val="18"/>
        </w:rPr>
        <w:t xml:space="preserve"> L 181, 29.6.2013), in der geänderten Fassung.</w:t>
      </w:r>
    </w:p>
    <w:p w14:paraId="711B9AD3" w14:textId="77777777" w:rsidR="00E30B60" w:rsidRDefault="00CB547F">
      <w:pPr>
        <w:spacing w:before="103" w:line="244" w:lineRule="auto"/>
        <w:ind w:left="729" w:right="103"/>
        <w:jc w:val="both"/>
        <w:rPr>
          <w:sz w:val="18"/>
        </w:rPr>
      </w:pPr>
      <w:r>
        <w:rPr>
          <w:sz w:val="10"/>
        </w:rPr>
        <w:t>164</w:t>
      </w:r>
      <w:r>
        <w:rPr>
          <w:sz w:val="18"/>
        </w:rPr>
        <w:t>) § 52 Absatz 27 des Gesetzes Nr. 79/2015 über Abfälle und zur Änderung bestimmter Gesetze, in der geänderten Fassung.".</w:t>
      </w:r>
    </w:p>
    <w:p w14:paraId="4B0F8EC2" w14:textId="77777777" w:rsidR="00E30B60" w:rsidRDefault="00CB547F">
      <w:pPr>
        <w:pStyle w:val="BodyText"/>
        <w:spacing w:before="205"/>
        <w:ind w:left="105" w:right="105"/>
        <w:jc w:val="center"/>
        <w:rPr>
          <w:b/>
        </w:rPr>
      </w:pPr>
      <w:r>
        <w:rPr>
          <w:b/>
        </w:rPr>
        <w:t>Artikel II</w:t>
      </w:r>
    </w:p>
    <w:p w14:paraId="2EE476EE" w14:textId="2C3D0D68" w:rsidR="00E30B60" w:rsidRDefault="00CB547F">
      <w:pPr>
        <w:pStyle w:val="BodyText"/>
        <w:spacing w:before="217" w:line="276" w:lineRule="auto"/>
        <w:ind w:left="105" w:right="103" w:firstLine="226"/>
        <w:jc w:val="both"/>
      </w:pPr>
      <w:r>
        <w:t>Das Gesetz Nr. 302/2019 über ein Pfanderstattungssystem für Getränkebehältnisse und über die Änderung bestimmter Gesetze, geändert durch das Gesetz Nr. 74/2020, das Gesetz Nr. 285/2020 und Gesetz Nr. 372/2021, wird wie folgt geändert:</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In § 4 Absatz 1 Buchstabe h wird der Text „(l) und (m)“ durch „(l), (m) und (v)“ ersetzt.</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In § 7 Absatz 1 wird folgender Buchstabe v) angefügt:</w:t>
      </w:r>
    </w:p>
    <w:p w14:paraId="05E6705E" w14:textId="1AC38935" w:rsidR="00E30B60" w:rsidRDefault="00CB547F">
      <w:pPr>
        <w:pStyle w:val="BodyText"/>
        <w:spacing w:before="105" w:line="244" w:lineRule="auto"/>
        <w:ind w:left="785" w:right="103" w:hanging="397"/>
        <w:jc w:val="both"/>
      </w:pPr>
      <w:r>
        <w:lastRenderedPageBreak/>
        <w:t>„v) dem Ministerium wird über den Inhalt von recyceltem Kunststoff in Produkten gemäß den Verpflichtungen eines Verpackungsherstellers nach besonderen Rechtsvorschriften bis spätestens</w:t>
      </w:r>
      <w:r>
        <w:rPr>
          <w:sz w:val="10"/>
        </w:rPr>
        <w:t>11a</w:t>
      </w:r>
      <w:r>
        <w:t>)30. April für das vorangegangene Kalenderjahr Bericht erstattet.“.</w:t>
      </w:r>
    </w:p>
    <w:p w14:paraId="747169BD" w14:textId="77777777" w:rsidR="00E30B60" w:rsidRDefault="00CB547F">
      <w:pPr>
        <w:pStyle w:val="BodyText"/>
        <w:spacing w:before="102"/>
        <w:ind w:left="615"/>
        <w:jc w:val="both"/>
      </w:pPr>
      <w:r>
        <w:t>Fußnote 11a lautet wie folgt:</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 § 75d Absätze 4 und 5 des Gesetzes Nr. 79/2015 über Abfälle und Änderungen bestimmter Gesetze in der geänderten Fassung.“</w:t>
      </w:r>
    </w:p>
    <w:p w14:paraId="3C4273E1" w14:textId="03A861CC" w:rsidR="00E30B60" w:rsidRPr="00F4166D" w:rsidRDefault="00CB547F" w:rsidP="00F4166D">
      <w:pPr>
        <w:pStyle w:val="ListParagraph"/>
        <w:numPr>
          <w:ilvl w:val="0"/>
          <w:numId w:val="1"/>
        </w:numPr>
        <w:tabs>
          <w:tab w:val="left" w:pos="389"/>
        </w:tabs>
        <w:spacing w:before="102"/>
        <w:ind w:right="0"/>
        <w:jc w:val="both"/>
        <w:rPr>
          <w:sz w:val="20"/>
        </w:rPr>
      </w:pPr>
      <w:r>
        <w:rPr>
          <w:sz w:val="20"/>
        </w:rPr>
        <w:t>In § 13 Buchstabe i wird ein Beistrich nach dem Text "(p) bis (s)" eingefügt, und der Text "(u)" wird durch "(u) und (v)" ersetzt.</w:t>
      </w:r>
    </w:p>
    <w:p w14:paraId="5C64465E" w14:textId="77777777" w:rsidR="00E30B60" w:rsidRDefault="00CB547F">
      <w:pPr>
        <w:pStyle w:val="ListParagraph"/>
        <w:numPr>
          <w:ilvl w:val="0"/>
          <w:numId w:val="1"/>
        </w:numPr>
        <w:tabs>
          <w:tab w:val="left" w:pos="389"/>
        </w:tabs>
        <w:spacing w:before="125"/>
        <w:ind w:right="0"/>
        <w:rPr>
          <w:sz w:val="20"/>
        </w:rPr>
      </w:pPr>
      <w:r>
        <w:rPr>
          <w:sz w:val="20"/>
        </w:rPr>
        <w:t>In Artikel IV wird der Text „und § 103 Absatz 23 Nummer 5“ gestrichen und am Ende folgender Wortlaut angefügt:</w:t>
      </w:r>
    </w:p>
    <w:p w14:paraId="0DEC76DE" w14:textId="77777777" w:rsidR="00E30B60" w:rsidRDefault="00CB547F">
      <w:pPr>
        <w:pStyle w:val="BodyText"/>
        <w:spacing w:before="6"/>
        <w:ind w:left="388"/>
      </w:pPr>
      <w:r>
        <w:t>„und mit Ausnahme des Artikels III § 103 Absatz 23 Nummer 5, der am 1. Januar 2023 wirksam wird".</w:t>
      </w:r>
    </w:p>
    <w:p w14:paraId="4398D9A5" w14:textId="77777777" w:rsidR="00E30B60" w:rsidRDefault="00CB547F">
      <w:pPr>
        <w:pStyle w:val="ListParagraph"/>
        <w:numPr>
          <w:ilvl w:val="0"/>
          <w:numId w:val="1"/>
        </w:numPr>
        <w:tabs>
          <w:tab w:val="left" w:pos="389"/>
        </w:tabs>
        <w:spacing w:before="105"/>
        <w:ind w:right="0"/>
        <w:rPr>
          <w:sz w:val="20"/>
        </w:rPr>
      </w:pPr>
      <w:r>
        <w:rPr>
          <w:sz w:val="20"/>
        </w:rPr>
        <w:t>Der bestehende Wortlaut des Anhangs 2 wird als Ziffer eins gekennzeichnet und folgende Ziffer zwei wird angefügt:</w:t>
      </w:r>
    </w:p>
    <w:p w14:paraId="59E27538" w14:textId="77777777" w:rsidR="00E30B60" w:rsidRDefault="00CB547F">
      <w:pPr>
        <w:pStyle w:val="BodyText"/>
        <w:spacing w:before="105" w:line="244" w:lineRule="auto"/>
        <w:ind w:left="785" w:hanging="397"/>
      </w:pPr>
      <w:r>
        <w:t>„2. Richtlinie (EU) 2019/904 des Europäischen Parlaments und des Rates vom 5. Juni 2019 über die Verringerung der Umweltauswirkungen bestimmter Kunststoffprodukte (</w:t>
      </w:r>
      <w:proofErr w:type="spellStart"/>
      <w:r>
        <w:t>ABl.</w:t>
      </w:r>
      <w:proofErr w:type="spellEnd"/>
      <w:r>
        <w:t> L 155 vom 12.6.2019).“</w:t>
      </w:r>
    </w:p>
    <w:p w14:paraId="5FB7BCDC" w14:textId="77777777" w:rsidR="00E30B60" w:rsidRDefault="00CB547F">
      <w:pPr>
        <w:pStyle w:val="BodyText"/>
        <w:spacing w:before="204"/>
        <w:ind w:left="105" w:right="105"/>
        <w:jc w:val="center"/>
        <w:rPr>
          <w:b/>
        </w:rPr>
      </w:pPr>
      <w:r>
        <w:rPr>
          <w:b/>
        </w:rPr>
        <w:t>Artikel III</w:t>
      </w:r>
    </w:p>
    <w:p w14:paraId="26D523C2" w14:textId="77777777" w:rsidR="00E30B60" w:rsidRDefault="00CB547F">
      <w:pPr>
        <w:pStyle w:val="BodyText"/>
        <w:spacing w:before="217" w:line="276" w:lineRule="auto"/>
        <w:ind w:left="105" w:right="103" w:firstLine="226"/>
        <w:jc w:val="both"/>
      </w:pPr>
      <w:r>
        <w:t>Dieses Gesetz tritt am 1. Dezember 2021 in Kraft, mit Ausnahme von Artikel I Nummer 3, 6 § 75f Absatz 1 und Punkt 11, die am 1. Januar 2022 in Kraft treten, Artikel I Nummer 6 von § 75d Absatz 1, der am 3. Juli 2024 in Kraft tritt, Artikel I Nummer 6 von § 75f Buchstabe (d), der am 1. Dezember 2021 in Kraft tritt, Artikel I Nummer 6 § 75d Absatz 4 Buchstabe a, der am 1. Januar 2025 in Kraft tritt, Artikel I Nummer 6 § 75d Absatz 4 Buchstabe b, der am 1. Januar 2030 in Kraft tritt.</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w:t>
      </w:r>
      <w:proofErr w:type="spellStart"/>
      <w:r>
        <w:rPr>
          <w:b/>
        </w:rPr>
        <w:t>Čaputová</w:t>
      </w:r>
      <w:proofErr w:type="spellEnd"/>
      <w:r>
        <w:rPr>
          <w:b/>
        </w:rPr>
        <w:t xml:space="preserve"> m.p.</w:t>
      </w:r>
    </w:p>
    <w:p w14:paraId="076E5D6C" w14:textId="77777777" w:rsidR="00E30B60" w:rsidRDefault="00CB547F" w:rsidP="00D0358C">
      <w:pPr>
        <w:pStyle w:val="BodyText"/>
        <w:spacing w:before="246" w:line="489" w:lineRule="auto"/>
        <w:ind w:left="3971" w:right="3790" w:firstLine="66"/>
        <w:jc w:val="center"/>
        <w:rPr>
          <w:b/>
        </w:rPr>
      </w:pPr>
      <w:r>
        <w:rPr>
          <w:b/>
        </w:rPr>
        <w:t>Boris </w:t>
      </w:r>
      <w:proofErr w:type="spellStart"/>
      <w:r>
        <w:rPr>
          <w:b/>
        </w:rPr>
        <w:t>Kollár</w:t>
      </w:r>
      <w:proofErr w:type="spellEnd"/>
      <w:r>
        <w:rPr>
          <w:b/>
        </w:rPr>
        <w:t xml:space="preserve"> m.p. Eduard Heger m.p.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72802BC6" w:rsidR="00E30B60" w:rsidRDefault="00A36B11">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Seite 11</w:t>
      </w:r>
      <w:r w:rsidR="00F4166D">
        <w:tab/>
      </w:r>
      <w:r w:rsidR="00D0358C">
        <w:t>Sammlung der Gesetze der Slowakischen Republik</w:t>
      </w:r>
      <w:r w:rsidR="00D0358C">
        <w:tab/>
      </w:r>
      <w:r w:rsidR="00F4166D">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A36B11">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Der Herausgeber der Sammlung der Gesetze der Slowakischen Republik, Inhaltsverwalter und Betreiber des Rechts- und Informationsportals </w:t>
      </w:r>
      <w:proofErr w:type="spellStart"/>
      <w:r>
        <w:rPr>
          <w:sz w:val="18"/>
        </w:rPr>
        <w:t>Slov</w:t>
      </w:r>
      <w:proofErr w:type="spellEnd"/>
      <w:r>
        <w:rPr>
          <w:sz w:val="18"/>
        </w:rPr>
        <w:t xml:space="preserve">-Lex unter </w:t>
      </w:r>
      <w:hyperlink r:id="rId10">
        <w:r>
          <w:rPr>
            <w:sz w:val="18"/>
          </w:rPr>
          <w:t>www.slov-lex.sk</w:t>
        </w:r>
      </w:hyperlink>
      <w:r>
        <w:rPr>
          <w:sz w:val="18"/>
        </w:rPr>
        <w:t>ist</w:t>
      </w:r>
    </w:p>
    <w:p w14:paraId="38FEE7A0" w14:textId="77777777" w:rsidR="00E30B60" w:rsidRDefault="00CB547F">
      <w:pPr>
        <w:spacing w:before="1" w:line="244" w:lineRule="auto"/>
        <w:ind w:left="1754" w:right="1752"/>
        <w:jc w:val="center"/>
        <w:rPr>
          <w:sz w:val="18"/>
        </w:rPr>
      </w:pPr>
      <w:r>
        <w:rPr>
          <w:sz w:val="18"/>
        </w:rPr>
        <w:t xml:space="preserve">Büro der Regierung der Slowakischen Republik, </w:t>
      </w:r>
      <w:proofErr w:type="spellStart"/>
      <w:r>
        <w:rPr>
          <w:sz w:val="18"/>
        </w:rPr>
        <w:t>Námestie</w:t>
      </w:r>
      <w:proofErr w:type="spellEnd"/>
      <w:r>
        <w:rPr>
          <w:sz w:val="18"/>
        </w:rPr>
        <w:t xml:space="preserve"> </w:t>
      </w:r>
      <w:proofErr w:type="spellStart"/>
      <w:r>
        <w:rPr>
          <w:sz w:val="18"/>
        </w:rPr>
        <w:t>slobody</w:t>
      </w:r>
      <w:proofErr w:type="spellEnd"/>
      <w:r>
        <w:rPr>
          <w:sz w:val="18"/>
        </w:rPr>
        <w:t xml:space="preserve">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BB3C" w14:textId="77777777" w:rsidR="00A36B11" w:rsidRDefault="00A36B11">
      <w:r>
        <w:separator/>
      </w:r>
    </w:p>
  </w:endnote>
  <w:endnote w:type="continuationSeparator" w:id="0">
    <w:p w14:paraId="0953A542" w14:textId="77777777" w:rsidR="00A36B11" w:rsidRDefault="00A3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2626" w14:textId="77777777" w:rsidR="00A36B11" w:rsidRDefault="00A36B11">
      <w:r>
        <w:separator/>
      </w:r>
    </w:p>
  </w:footnote>
  <w:footnote w:type="continuationSeparator" w:id="0">
    <w:p w14:paraId="2531CEEA" w14:textId="77777777" w:rsidR="00A36B11" w:rsidRDefault="00A3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1E0603B7" w:rsidR="00E30B60" w:rsidRDefault="00A36B11">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64.05pt;margin-top:39.3pt;width:259.35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Sammlung der Gesetze der Slowakischen Republik</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Seite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5CFB75A6" w:rsidR="00E30B60" w:rsidRDefault="00A36B11">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169.65pt;margin-top:39.3pt;width:264.4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Sammlung der Gesetze der Slowakischen Republik</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Seite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70FBD"/>
    <w:rsid w:val="004771C9"/>
    <w:rsid w:val="00A36B11"/>
    <w:rsid w:val="00C33F29"/>
    <w:rsid w:val="00C864E3"/>
    <w:rsid w:val="00CB547F"/>
    <w:rsid w:val="00D0358C"/>
    <w:rsid w:val="00E30B60"/>
    <w:rsid w:val="00F4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166D"/>
    <w:pPr>
      <w:tabs>
        <w:tab w:val="center" w:pos="4536"/>
        <w:tab w:val="right" w:pos="9072"/>
      </w:tabs>
    </w:pPr>
  </w:style>
  <w:style w:type="character" w:customStyle="1" w:styleId="HeaderChar">
    <w:name w:val="Header Char"/>
    <w:basedOn w:val="DefaultParagraphFont"/>
    <w:link w:val="Header"/>
    <w:uiPriority w:val="99"/>
    <w:rsid w:val="00F4166D"/>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F4166D"/>
    <w:pPr>
      <w:tabs>
        <w:tab w:val="center" w:pos="4536"/>
        <w:tab w:val="right" w:pos="9072"/>
      </w:tabs>
    </w:pPr>
  </w:style>
  <w:style w:type="character" w:customStyle="1" w:styleId="FooterChar">
    <w:name w:val="Footer Char"/>
    <w:basedOn w:val="DefaultParagraphFont"/>
    <w:link w:val="Footer"/>
    <w:uiPriority w:val="99"/>
    <w:rsid w:val="00F4166D"/>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3872</Words>
  <Characters>24630</Characters>
  <Application>Microsoft Office Word</Application>
  <DocSecurity>0</DocSecurity>
  <Lines>524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2022-03-29T07:10:00Z</dcterms:created>
  <dcterms:modified xsi:type="dcterms:W3CDTF">2022-03-29T08:40:00Z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