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4C2BFF01" w:rsidR="00E30B60" w:rsidRDefault="00CB547F">
      <w:pPr>
        <w:spacing w:before="6"/>
        <w:ind w:left="105" w:right="225"/>
        <w:jc w:val="center"/>
        <w:rPr>
          <w:sz w:val="46"/>
        </w:rPr>
      </w:pPr>
      <w:r>
        <w:rPr>
          <w:sz w:val="46"/>
        </w:rPr>
        <w:t xml:space="preserve">RACCOLTA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C03E30">
        <w:rPr>
          <w:sz w:val="46"/>
        </w:rPr>
        <w:t xml:space="preserve"> </w:t>
      </w:r>
      <w:r>
        <w:rPr>
          <w:sz w:val="46"/>
        </w:rPr>
        <w:t>DELLE LEGGI</w:t>
      </w:r>
    </w:p>
    <w:p w14:paraId="350B1BBF" w14:textId="77777777" w:rsidR="00E30B60" w:rsidRDefault="00CB547F">
      <w:pPr>
        <w:spacing w:before="66"/>
        <w:ind w:left="105" w:right="105"/>
        <w:jc w:val="center"/>
        <w:rPr>
          <w:sz w:val="34"/>
        </w:rPr>
      </w:pPr>
      <w:r>
        <w:rPr>
          <w:sz w:val="34"/>
        </w:rPr>
        <w:t>DELLA REPUBBLICA SLOVACCA</w:t>
      </w:r>
    </w:p>
    <w:p w14:paraId="06343233" w14:textId="77777777" w:rsidR="00E30B60" w:rsidRDefault="009A5051">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Edizione 2021</w:t>
      </w:r>
    </w:p>
    <w:p w14:paraId="0B8D25E3" w14:textId="6E63B5BF" w:rsidR="00D0358C" w:rsidRDefault="00CB547F">
      <w:pPr>
        <w:tabs>
          <w:tab w:val="left" w:pos="4781"/>
        </w:tabs>
        <w:spacing w:before="38" w:line="403" w:lineRule="auto"/>
        <w:ind w:left="105" w:right="103"/>
        <w:jc w:val="center"/>
      </w:pPr>
      <w:r>
        <w:t xml:space="preserve">Promulgata il: 26.11.2021 </w:t>
      </w:r>
      <w:r w:rsidR="00C03E30">
        <w:t xml:space="preserve">                  V</w:t>
      </w:r>
      <w:r>
        <w:t>ersione della legislazione in vigore dal: 1.01.2030</w:t>
      </w:r>
    </w:p>
    <w:p w14:paraId="1B7690C4" w14:textId="22EA24A9" w:rsidR="00E30B60" w:rsidRDefault="00CB547F">
      <w:pPr>
        <w:tabs>
          <w:tab w:val="left" w:pos="4781"/>
        </w:tabs>
        <w:spacing w:before="38" w:line="403" w:lineRule="auto"/>
        <w:ind w:left="105" w:right="103"/>
        <w:jc w:val="center"/>
      </w:pPr>
      <w:r>
        <w:t xml:space="preserve"> Il contenuto del documento è giuridicamente vincolante.</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 xml:space="preserve">L E G </w:t>
      </w:r>
      <w:proofErr w:type="spellStart"/>
      <w:r>
        <w:rPr>
          <w:b/>
        </w:rPr>
        <w:t>G</w:t>
      </w:r>
      <w:proofErr w:type="spellEnd"/>
      <w:r>
        <w:rPr>
          <w:b/>
        </w:rPr>
        <w:t xml:space="preserve"> E</w:t>
      </w:r>
    </w:p>
    <w:p w14:paraId="319B4591" w14:textId="77777777" w:rsidR="00E30B60" w:rsidRDefault="00CB547F">
      <w:pPr>
        <w:pStyle w:val="BodyText"/>
        <w:spacing w:before="60"/>
        <w:ind w:left="105" w:right="105"/>
        <w:jc w:val="center"/>
      </w:pPr>
      <w:r>
        <w:t>del 2 novembre 2021,</w:t>
      </w:r>
    </w:p>
    <w:p w14:paraId="2CC89435" w14:textId="77777777" w:rsidR="00E30B60" w:rsidRDefault="00CB547F">
      <w:pPr>
        <w:pStyle w:val="BodyText"/>
        <w:spacing w:before="93" w:line="244" w:lineRule="auto"/>
        <w:ind w:left="1230" w:right="1228"/>
        <w:jc w:val="center"/>
        <w:rPr>
          <w:b/>
        </w:rPr>
      </w:pPr>
      <w:r>
        <w:rPr>
          <w:b/>
        </w:rPr>
        <w:t>che modifica la Legge n. 79/2015 relativa ai rifiuti e alle modifiche di determinati atti e che modifica la Legge n. 302/2019 relativa ad un sistema di restituzione dei depositi per i contenitori per bevande usa e getta e alla modifica di determinati atti, come da emendamento</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Il Consiglio nazionale della Repubblica Slovacca ha approvato la seguente Legge:</w:t>
      </w:r>
    </w:p>
    <w:p w14:paraId="5C1BC0D2" w14:textId="77777777" w:rsidR="00E30B60" w:rsidRDefault="00CB547F">
      <w:pPr>
        <w:pStyle w:val="BodyText"/>
        <w:spacing w:before="208"/>
        <w:ind w:left="105" w:right="105"/>
        <w:jc w:val="center"/>
        <w:rPr>
          <w:b/>
        </w:rPr>
      </w:pPr>
      <w:r>
        <w:rPr>
          <w:b/>
        </w:rPr>
        <w:t>Articolo I</w:t>
      </w:r>
    </w:p>
    <w:p w14:paraId="2FC10E75" w14:textId="4EC5C8BF" w:rsidR="00E30B60" w:rsidRDefault="00CB547F">
      <w:pPr>
        <w:pStyle w:val="BodyText"/>
        <w:spacing w:before="217" w:line="276" w:lineRule="auto"/>
        <w:ind w:left="105" w:right="103" w:firstLine="226"/>
        <w:jc w:val="both"/>
      </w:pPr>
      <w:r>
        <w:t>La legge n. 79/2015 relativa ai rifiuti e alle modifiche di talune leggi, modificata dalla legge n. 91/2016, legge n. 313/2016, legge n. 90/2017, legge n. 292/2017, legge n. 106/2018, legge n. 177/2018, legge n. 208/2018, legge n. 312/2018, legge n. 302/2019, legge n. 364/2019, legge n. 460/2019, legge n. 74/2020, legge n. 218/2020, legge n. 285/2020, legge n. 9/2021</w:t>
      </w:r>
    </w:p>
    <w:p w14:paraId="1C547400" w14:textId="235D3DB4" w:rsidR="00E30B60" w:rsidRDefault="00CB547F">
      <w:pPr>
        <w:pStyle w:val="BodyText"/>
        <w:spacing w:line="276" w:lineRule="auto"/>
        <w:ind w:left="105" w:right="193"/>
      </w:pPr>
      <w:r>
        <w:t>46/2021, La legge n. 128/2021, la legge n. 216/2021 e la legge n. 372/2021 sono così modificate:</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Nell'articolo 27, paragrafo 1, la parola "settimo" viene sostituita da "ottavo".</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Nell'articolo 52, i paragrafi 29 e 30 vengono eliminati.</w:t>
      </w:r>
    </w:p>
    <w:p w14:paraId="731629A1" w14:textId="77777777" w:rsidR="00E30B60" w:rsidRDefault="00CB547F">
      <w:pPr>
        <w:pStyle w:val="BodyText"/>
        <w:spacing w:before="105"/>
        <w:ind w:left="729"/>
      </w:pPr>
      <w:r>
        <w:t>I paragrafi da 31 a 35 diventano paragrafi da 29 a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 xml:space="preserve">Dopo l'articolo 53, è inserito l'articolo 53 bis </w:t>
      </w:r>
      <w:proofErr w:type="spellStart"/>
      <w:r>
        <w:rPr>
          <w:sz w:val="20"/>
        </w:rPr>
        <w:t>bis</w:t>
      </w:r>
      <w:proofErr w:type="spellEnd"/>
      <w:r>
        <w:rPr>
          <w:sz w:val="20"/>
        </w:rPr>
        <w:t>, formulato come segue:</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xml:space="preserve">"Articolo 53 bis </w:t>
      </w:r>
      <w:proofErr w:type="spellStart"/>
      <w:r>
        <w:rPr>
          <w:b/>
        </w:rPr>
        <w:t>bis</w:t>
      </w:r>
      <w:proofErr w:type="spellEnd"/>
    </w:p>
    <w:p w14:paraId="78A7988B" w14:textId="0782E007" w:rsidR="00E30B60" w:rsidRDefault="00CB547F">
      <w:pPr>
        <w:pStyle w:val="BodyText"/>
        <w:spacing w:before="217" w:line="276" w:lineRule="auto"/>
        <w:ind w:left="502" w:right="193" w:firstLine="226"/>
      </w:pPr>
      <w:r>
        <w:t>L'amministrazione statale non dispone l'acquisto di bevande in imballaggi monouso per le proprie attività."</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L'articolo 53 bis è soppresso.</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L'articolo 73 bis è soppresso.</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Dopo l'articolo 75 viene inserita una nuova sezione otto che, compreso il titolo, recita:</w:t>
      </w:r>
    </w:p>
    <w:p w14:paraId="2697A68C" w14:textId="3800EE77" w:rsidR="00E30B60" w:rsidRDefault="00C03E30" w:rsidP="00C03E30">
      <w:pPr>
        <w:pStyle w:val="BodyText"/>
        <w:spacing w:before="208" w:line="302" w:lineRule="auto"/>
        <w:ind w:left="3119" w:right="3379" w:firstLine="658"/>
        <w:rPr>
          <w:b/>
        </w:rPr>
      </w:pPr>
      <w:r>
        <w:rPr>
          <w:b/>
        </w:rPr>
        <w:t xml:space="preserve">         </w:t>
      </w:r>
      <w:r w:rsidR="00CB547F">
        <w:rPr>
          <w:b/>
        </w:rPr>
        <w:t>“Sezione otto</w:t>
      </w:r>
      <w:r w:rsidR="00CB547F">
        <w:rPr>
          <w:b/>
        </w:rPr>
        <w:br/>
      </w:r>
      <w:r>
        <w:rPr>
          <w:b/>
        </w:rPr>
        <w:t xml:space="preserve">       </w:t>
      </w:r>
      <w:r w:rsidR="00CB547F">
        <w:rPr>
          <w:b/>
        </w:rPr>
        <w:t>Prodotti speciali in plastica</w:t>
      </w:r>
    </w:p>
    <w:p w14:paraId="22DCFF1C" w14:textId="7DADCBAB" w:rsidR="00E30B60" w:rsidRDefault="00CB547F">
      <w:pPr>
        <w:pStyle w:val="BodyText"/>
        <w:spacing w:before="245" w:line="280" w:lineRule="auto"/>
        <w:ind w:left="4014" w:right="3603" w:firstLine="852"/>
        <w:rPr>
          <w:b/>
        </w:rPr>
      </w:pPr>
      <w:r>
        <w:rPr>
          <w:b/>
        </w:rPr>
        <w:t>Articolo 75a</w:t>
      </w:r>
      <w:r>
        <w:rPr>
          <w:b/>
        </w:rPr>
        <w:br/>
      </w:r>
      <w:r w:rsidR="00C03E30">
        <w:rPr>
          <w:b/>
        </w:rPr>
        <w:t xml:space="preserve">   </w:t>
      </w:r>
      <w:r>
        <w:rPr>
          <w:b/>
        </w:rPr>
        <w:t>Disposizioni di base</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La presente sezione disciplina i requisiti e le misure per prevenire l'impatto ambientale di alcuni prodotti in plastica monouso, in particolare sull'ambiente acquatico, sulla</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salute umana, al fine di ridurre tale impatto e sostenere la transizione verso un'economia circolare con modelli commerciali, prodotti e materiali innovativi e sostenibili.</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Le disposizioni della presente sezione si applicano ai prodotti di plastica monouso elencati nell'allegato </w:t>
      </w:r>
      <w:proofErr w:type="gramStart"/>
      <w:r>
        <w:rPr>
          <w:sz w:val="20"/>
        </w:rPr>
        <w:t>7</w:t>
      </w:r>
      <w:proofErr w:type="gramEnd"/>
      <w:r>
        <w:rPr>
          <w:sz w:val="20"/>
        </w:rPr>
        <w:t xml:space="preserve"> bis, ai prodotti in plastica </w:t>
      </w:r>
      <w:proofErr w:type="spellStart"/>
      <w:r>
        <w:rPr>
          <w:sz w:val="20"/>
        </w:rPr>
        <w:t>oxodegradabili</w:t>
      </w:r>
      <w:proofErr w:type="spellEnd"/>
      <w:r>
        <w:rPr>
          <w:sz w:val="20"/>
        </w:rPr>
        <w:t xml:space="preserve"> e agli attrezzi da pesca contenenti plastica.</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Salvo disposizioni contrarie della presente sezione, le disposizioni generali della presente Legge si applicano a tutti i prodotti di plastica monouso e agli attrezzi da pesca contenenti plastica immessi sul mercato o per la distribuzione nella Repubblica Slovacca e alla gestione dei rifiuti provenienti da essi.</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Ai fini della presente sezione, per materia plastica si intende un materiale costituito da un polimero, </w:t>
      </w:r>
      <w:r>
        <w:rPr>
          <w:sz w:val="10"/>
        </w:rPr>
        <w:t>72(a)</w:t>
      </w:r>
      <w:r>
        <w:rPr>
          <w:sz w:val="20"/>
        </w:rPr>
        <w:t xml:space="preserve"> al quale possono essere stati aggiunti additivi o altre sostanze e che possono fungere da componente principale dei prodotti finiti, ad eccezione dei polimeri naturali che non sono stati modificati chimicamente.</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Prodotto in plastica monouso, prodotto interamente o parzialmente in plastica e che non è stato progettato, fabbricato o immesso sul mercato per realizzare, entro la sua durata di vita, cicli o rotazioni multipli mediante la restituzione a un produttore per essere riutilizzata o riutilizzata per lo stesso scopo per il quale è stato fabbricato.</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 xml:space="preserve">La plastica </w:t>
      </w:r>
      <w:proofErr w:type="spellStart"/>
      <w:r>
        <w:rPr>
          <w:sz w:val="20"/>
        </w:rPr>
        <w:t>oxodegradabile</w:t>
      </w:r>
      <w:proofErr w:type="spellEnd"/>
      <w:r>
        <w:rPr>
          <w:sz w:val="20"/>
        </w:rPr>
        <w:t xml:space="preserve"> è un materiale che contiene additivi che attraverso l'ossidazione scompongono il materiale plastico in </w:t>
      </w:r>
      <w:proofErr w:type="spellStart"/>
      <w:r>
        <w:rPr>
          <w:sz w:val="20"/>
        </w:rPr>
        <w:t>microframmenti</w:t>
      </w:r>
      <w:proofErr w:type="spellEnd"/>
      <w:r>
        <w:rPr>
          <w:sz w:val="20"/>
        </w:rPr>
        <w:t xml:space="preserve"> o lo decompongono chimicamente.</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Attrezzi da pesca: qualsiasi articolo o equipaggiamento utilizzato nella pesca o nell'acquacoltura per mirare, catturare o raccogliere risorse biologiche marine o galleggiare sulla superficie del mare, ed è utilizzato con l'obiettivo di attrarre e catturare o allevare tali risorse biologiche marine.</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Rifiuti da attrezzi da pesca: qualsiasi attrezzo da pesca che sia ritenuto rifiuto, compresi tutti i componenti, le sostanze o i materiali separati che facevano parte di tali attrezzi da pesca o che erano collegati a tali attrezzi da pesca al momento del rigetto, anche quando sono stati abbandonati o perduti.</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L'immissione sul mercato è la prima messa a disposizione sul mercato di un prodotto di plastica o di attrezzi da pesca monouso contenenti plastica nella Repubblica Slovacca.</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Per messa a disposizione sul mercato si intende la fornitura di un prodotto di plastica o di attrezzi da pesca monouso contenenti plastica destinati alla distribuzione, al consumo o all'uso sul mercato della Repubblica Slovacca nell'ambito di attività commerciali, a titolo oneroso o gratuito.</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Una norma armonizzata è una norma europea adottata sulla base dei requisiti della Commissione per l'applicazione della legislazione armonizzata dell'UE.</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Il produttore di un articolo di plastica o di attrezzi da pesca monouso contenenti plastica è l'operatore commerciale o entità aziendale che, indipendentemente dalle tecniche di vendita utilizzate, comprese le vendite per corrispondenza e Internet, </w:t>
      </w:r>
      <w:r>
        <w:rPr>
          <w:sz w:val="10"/>
        </w:rPr>
        <w:t>96b</w:t>
      </w:r>
      <w:r>
        <w:rPr>
          <w:sz w:val="20"/>
        </w:rPr>
        <w:t xml:space="preserve">) ad eccezione di un'entità che svolge attività di pesca ai sensi della legislazione speciale,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ha la sede legale o il luogo di attività nella Repubblica Slovacca e fabbrica prodotti in plastica e attrezzi da pesca monouso, oppure fabbrica prodotti di plastica e attrezzi da pesca monouso e li commercializza;</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ha sede o sede legale nella Repubblica Slovacca e vende prodotti di plastica e attrezzi da pesca monouso in questa;</w:t>
      </w:r>
    </w:p>
    <w:p w14:paraId="4D4600DA" w14:textId="1791D563" w:rsidR="00E30B60" w:rsidRPr="00C03E30" w:rsidRDefault="00CB547F" w:rsidP="00C03E30">
      <w:pPr>
        <w:pStyle w:val="ListParagraph"/>
        <w:numPr>
          <w:ilvl w:val="0"/>
          <w:numId w:val="21"/>
        </w:numPr>
        <w:tabs>
          <w:tab w:val="left" w:pos="786"/>
        </w:tabs>
        <w:spacing w:before="100" w:line="276" w:lineRule="auto"/>
        <w:jc w:val="both"/>
        <w:rPr>
          <w:sz w:val="20"/>
        </w:rPr>
      </w:pPr>
      <w:r>
        <w:rPr>
          <w:sz w:val="20"/>
        </w:rPr>
        <w:t xml:space="preserve">ha sede legale o sede commerciale nella Repubblica Slovacca e riempie prodotti di plastica </w:t>
      </w:r>
      <w:r>
        <w:rPr>
          <w:sz w:val="20"/>
        </w:rPr>
        <w:lastRenderedPageBreak/>
        <w:t>monouso o ha riempito prodotti di plastica monouso e li immette sul mercato;</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ha sede legale o sede commerciale nella Repubblica Slovacca e colloca su questo mercato prodotti in plastica e attrezzi da pesca monouso provenienti da un altro Stato membro o da uno Stato terzo;</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vende nella Repubblica Slovacca prodotti di plastica e attrezzi da pesca monouso mediante comunicazione a distanza direttamente alle famiglie o agli utenti non domestici e ha sede o sede legale in un altro Stato membro o in un altro Stato terzo;</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ha sede legale o sede commerciale nella Repubblica Slovacca e, nell'ambito delle sue attività, vende prodotti di plastica monouso e attrezzi da pesca direttamente ad un utente di un altro Stato membro sulla base di un contratto a distanza.</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Plastica biodegradabile indica la plastica in grado di subire una decomposizione fisica e biologica, tale che alla fine si decompone in anidride carbonica (CO</w:t>
      </w:r>
      <w:r>
        <w:rPr>
          <w:sz w:val="14"/>
        </w:rPr>
        <w:t>2</w:t>
      </w:r>
      <w:r>
        <w:rPr>
          <w:sz w:val="20"/>
        </w:rPr>
        <w:t>), biomassa e acqua, ed è, conformemente alle norme europee per l'imballaggio, recuperabile mediante compostaggio e digestione anaerobica.</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Le strutture portuali di accoglienza sono strutture di raccolta secondo la legislazione speciale.</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I prodotti del tabacco sono prodotti definiti in base alla legislazione speciale.</w:t>
      </w:r>
      <w:r>
        <w:rPr>
          <w:sz w:val="10"/>
        </w:rPr>
        <w:t>96e</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Articolo 75b</w:t>
      </w:r>
      <w:r>
        <w:rPr>
          <w:b/>
        </w:rPr>
        <w:br/>
        <w:t>Riduzione del consumo</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Il fabbricante che fornisce al consumatore finale prodotti in plastica monouso elencati nell'allegato n. 7 bis della parte A per il consumo di alimenti e bevande in un luogo diverso dal luogo di vendita è tenuto a:</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fornirli in cambio del pagamento; ne informa il consumatore finale;</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offrire un'alternativa riutilizzabile al consumatore finale; o</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offrire un'alternativa biodegradabile.</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Non possono essere fornite ai consumatori per il consumo di alimenti e bevande nel punto di vendita:</w:t>
      </w:r>
    </w:p>
    <w:p w14:paraId="4734A695" w14:textId="77777777" w:rsidR="00E30B60" w:rsidRDefault="00CB547F">
      <w:pPr>
        <w:pStyle w:val="ListParagraph"/>
        <w:numPr>
          <w:ilvl w:val="0"/>
          <w:numId w:val="18"/>
        </w:numPr>
        <w:tabs>
          <w:tab w:val="left" w:pos="786"/>
        </w:tabs>
        <w:spacing w:before="100"/>
        <w:ind w:right="0"/>
        <w:rPr>
          <w:sz w:val="20"/>
        </w:rPr>
      </w:pPr>
      <w:r>
        <w:rPr>
          <w:sz w:val="20"/>
        </w:rPr>
        <w:t>prodotti di plastica monouso nelle strutture di ristorazione pubblica e fast-food fisse;</w:t>
      </w:r>
    </w:p>
    <w:p w14:paraId="49E77A18" w14:textId="77777777" w:rsidR="00E30B60" w:rsidRDefault="00CB547F">
      <w:pPr>
        <w:pStyle w:val="ListParagraph"/>
        <w:numPr>
          <w:ilvl w:val="0"/>
          <w:numId w:val="18"/>
        </w:numPr>
        <w:tabs>
          <w:tab w:val="left" w:pos="786"/>
        </w:tabs>
        <w:spacing w:before="135"/>
        <w:ind w:right="0"/>
        <w:rPr>
          <w:sz w:val="20"/>
        </w:rPr>
      </w:pPr>
      <w:r>
        <w:rPr>
          <w:sz w:val="20"/>
        </w:rPr>
        <w:t>piatti di plastica monouso in occasione di eventi pubblici.</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Oltre al divieto di cui al paragrafo 2, lettera b), l'organizzatore di un evento pubblico è tenuto, in caso di fornitura di prodotti biodegradabili, a garantirne la successiva raccolta separata.</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 xml:space="preserve">Il fabbricante di un prodotto plastico monouso di cui all'allegato </w:t>
      </w:r>
      <w:proofErr w:type="gramStart"/>
      <w:r>
        <w:rPr>
          <w:sz w:val="20"/>
        </w:rPr>
        <w:t>7</w:t>
      </w:r>
      <w:proofErr w:type="gramEnd"/>
      <w:r>
        <w:rPr>
          <w:sz w:val="20"/>
        </w:rPr>
        <w:t xml:space="preserve"> bis, parte A, conserva e tiene registri sui singoli prodotti immessi sul mercato della Repubblica Slovacca e ne comunica i dati al ministero nella misura specificata e conserva i dati comunicati.</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Il fabbricante di un prodotto di plastica monouso di cui all'allegato 7bis, parte A, redige una relazione sulle misure adottate per ridurre il consumo e comunica al ministero, entro il 30 aprile, i progressi compiuti nella riduzione del consumo.</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Articolo 75c</w:t>
      </w:r>
    </w:p>
    <w:p w14:paraId="38A6FDAC" w14:textId="77777777" w:rsidR="00E30B60" w:rsidRDefault="00CB547F">
      <w:pPr>
        <w:pStyle w:val="BodyText"/>
        <w:spacing w:before="218" w:line="276" w:lineRule="auto"/>
        <w:ind w:left="502" w:right="110" w:firstLine="226"/>
      </w:pPr>
      <w:r>
        <w:t xml:space="preserve">È vietato immettere sul mercato della Repubblica Slovacca i prodotti in plastica monouso elencati nell'allegato 7a, parte B e la plastica </w:t>
      </w:r>
      <w:proofErr w:type="spellStart"/>
      <w:r>
        <w:t>oxodegradabile</w:t>
      </w:r>
      <w:proofErr w:type="spellEnd"/>
      <w:r>
        <w:t>.</w:t>
      </w:r>
    </w:p>
    <w:p w14:paraId="795E8A85" w14:textId="77777777" w:rsidR="00E30B60" w:rsidRDefault="00E30B60">
      <w:pPr>
        <w:spacing w:line="276" w:lineRule="auto"/>
        <w:sectPr w:rsidR="00E30B60">
          <w:headerReference w:type="even" r:id="rId8"/>
          <w:headerReference w:type="default" r:id="rId9"/>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Articolo 75d</w:t>
      </w:r>
    </w:p>
    <w:p w14:paraId="223D1A26" w14:textId="77777777" w:rsidR="00E30B60" w:rsidRDefault="00CB547F">
      <w:pPr>
        <w:pStyle w:val="BodyText"/>
        <w:spacing w:before="40"/>
        <w:ind w:left="1230" w:right="834"/>
        <w:jc w:val="center"/>
        <w:rPr>
          <w:b/>
        </w:rPr>
      </w:pPr>
      <w:r>
        <w:rPr>
          <w:b/>
        </w:rPr>
        <w:t>Requisiti dei prodotti in plastica monouso</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 xml:space="preserve">Il fabbricante di un prodotto di plastica monouso è tenuto a immettere sul mercato dei contenitori per bevande della Repubblica Slovacca di cui all'allegato </w:t>
      </w:r>
      <w:proofErr w:type="gramStart"/>
      <w:r>
        <w:rPr>
          <w:sz w:val="20"/>
        </w:rPr>
        <w:t>7</w:t>
      </w:r>
      <w:proofErr w:type="gramEnd"/>
      <w:r>
        <w:rPr>
          <w:sz w:val="20"/>
        </w:rPr>
        <w:t xml:space="preserve"> bis, parte C, a condizione che i tappi o i coperchi in plastica rimangano attaccati ai contenitori per bevande durante l'uso previsto del prodotto.</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I contenitori per bevande elencati nell'allegato 7 bis, parte C, fabbricati secondo norme armonizzate, il cui riferimento è stato pubblicato nella Gazzetta ufficiale dell'Unione europea, sono considerati contenitori per bevande conformemente al requisito di cui al paragrafo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Tappi metallici o coperchi con guarnizioni di plastica non sono considerati di plastica.</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 xml:space="preserve">Il fabbricante di un prodotto di plastica monouso di cui all'allegato </w:t>
      </w:r>
      <w:proofErr w:type="gramStart"/>
      <w:r>
        <w:rPr>
          <w:sz w:val="20"/>
        </w:rPr>
        <w:t>7</w:t>
      </w:r>
      <w:proofErr w:type="gramEnd"/>
      <w:r>
        <w:rPr>
          <w:sz w:val="20"/>
        </w:rPr>
        <w:t xml:space="preserve"> bis, parte F, è tenuto a immettere bottiglie per bevande sul mercato della Repubblica Slovacca</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fabbricate a partire da polietilene tereftalato (in seguito denominate "bottiglie per bevande in PET") contenenti almeno il 25 % di plastica riciclata dalla quantità totale di bottiglie per bevande in PET immesse sul mercato nella Repubblica Slovacca;</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con un contenuto minimo del 30 % di plastica riciclata dalla quantità totale di bottiglie per bevande in plastica che immette sul mercato nella Repubblica Slovacca.</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Il fabbricante di un prodotto plastico monouso deve presentare al Ministero, entro il 30 aprile per l'anno civile precedente, una relazione sul contenuto di plastica riciclata ai sensi del paragrafo 4. Tale obbligo è adempiuto, nel caso di un fabbricante di imballaggi che immetta bevande sul mercato in imballaggi monouso a rendimento, da un'entità ai sensi della legislazione speciale.</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Articolo 75e</w:t>
      </w:r>
    </w:p>
    <w:p w14:paraId="44678E85" w14:textId="77777777" w:rsidR="00E30B60" w:rsidRDefault="00CB547F">
      <w:pPr>
        <w:pStyle w:val="BodyText"/>
        <w:spacing w:before="39"/>
        <w:ind w:left="1230" w:right="834"/>
        <w:jc w:val="center"/>
        <w:rPr>
          <w:b/>
        </w:rPr>
      </w:pPr>
      <w:r>
        <w:rPr>
          <w:b/>
        </w:rPr>
        <w:t>Requisiti di etichettatura dei prodotti</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 xml:space="preserve">Il fabbricante di un prodotto in plastica monouso elencato nell'allegato </w:t>
      </w:r>
      <w:proofErr w:type="gramStart"/>
      <w:r>
        <w:rPr>
          <w:sz w:val="20"/>
        </w:rPr>
        <w:t>7</w:t>
      </w:r>
      <w:proofErr w:type="gramEnd"/>
      <w:r>
        <w:rPr>
          <w:sz w:val="20"/>
        </w:rPr>
        <w:t xml:space="preserve"> bis, parte D, è tenuto, prima di immettere il prodotto sul mercato della Repubblica Slovacca, ad etichettare questo prodotto con informazioni per i consumatori:</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le modalità più appropriate per smaltire il prodotto oppure le modalità per smaltire il rifiuto, necessariamente da evitare nel caso del prodotto in questione, quando diventa rifiuto secondo la gerarchia di gestione dei rifiuti;</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la presenza di plastica nel prodotto e i suoi impatti ambientali negativi quando il prodotto diventa rifiuto.</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L'etichettatura di cui al paragrafo 1 è apposta sull'imballaggio del prodotto, sugli imballaggi unitari del prodotto o sul prodotto stesso in modo che sia ben visibile, leggibile e indelebile.</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Il fabbricante di un prodotto in plastica monouso di cui all'allegato 7a, parte D, è tenuto a garantire l'etichettatura dell'imballaggio conformemente al paragrafo 1 secondo le specifiche previste dalla normativa speciale.</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L'etichettatura dei prodotti del tabacco di cui al paragrafo 1 è complementare all'etichettatura ai sensi della legislazione speciale.</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Articolo 75f</w:t>
      </w:r>
    </w:p>
    <w:p w14:paraId="29563519" w14:textId="77777777" w:rsidR="00E30B60" w:rsidRDefault="00CB547F">
      <w:pPr>
        <w:pStyle w:val="BodyText"/>
        <w:spacing w:before="40"/>
        <w:ind w:left="1230" w:right="834"/>
        <w:jc w:val="center"/>
        <w:rPr>
          <w:b/>
        </w:rPr>
      </w:pPr>
      <w:r>
        <w:rPr>
          <w:b/>
        </w:rPr>
        <w:t>Responsabilità estesa del produttore di un prodotto di plastica speciale</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Oltre agli obblighi di cui ai paragrafi 27 e 52, il fabbricante di un prodotto plastico monouso di cui all'allegato 7 bis, parte E, sezione I, sostiene i costi</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delle misure volte a sensibilizzare i propri prodotti sul mercato della Repubblica Slovacca;</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associati alla raccolta, al trasporto, al recupero, al riciclaggio, al trattamento e allo smaltimento dei rifiuti;</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associati alla pulizia dei rifiuti di questi prodotti in zone in cui non sono stati eliminati nei sistemi locali di raccolta dei rifiuti.</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Il fabbricante di prodotti del tabacco ai fini dell'obbligo di cui al paragrafo 1, lettera b), può istituire un'infrastruttura specifica per la raccolta dei rifiuti da tali prodotti.</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 xml:space="preserve">Il fabbricante di un prodotto plastico monouso di cui all'allegato </w:t>
      </w:r>
      <w:proofErr w:type="gramStart"/>
      <w:r>
        <w:rPr>
          <w:sz w:val="20"/>
        </w:rPr>
        <w:t>7</w:t>
      </w:r>
      <w:proofErr w:type="gramEnd"/>
      <w:r>
        <w:rPr>
          <w:sz w:val="20"/>
        </w:rPr>
        <w:t xml:space="preserve"> bis, parte E, sezioni II e III è tenuto a</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sostenere i costi delle misure di sensibilizzazione relative ai loro prodotti immessi sul mercato della Repubblica Slovacca;</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sostenere i costi connessi alla pulizia dei rifiuti di tali prodotti nelle zone in cui non sono stati eliminati nei sistemi locali di raccolta dei rifiuti;</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tenere e mantenere registri dei prodotti immessi sul mercato della Repubblica Slovacca e riferire i loro dati al ministero nella misura specificata e conservare i dati comunicati.</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 xml:space="preserve">Il fabbricante di un prodotto di plastica monouso di cui all'allegato </w:t>
      </w:r>
      <w:proofErr w:type="gramStart"/>
      <w:r>
        <w:rPr>
          <w:sz w:val="20"/>
        </w:rPr>
        <w:t>7</w:t>
      </w:r>
      <w:proofErr w:type="gramEnd"/>
      <w:r>
        <w:rPr>
          <w:sz w:val="20"/>
        </w:rPr>
        <w:t xml:space="preserve"> bis, parte E </w:t>
      </w:r>
      <w:proofErr w:type="spellStart"/>
      <w:r>
        <w:rPr>
          <w:sz w:val="20"/>
        </w:rPr>
        <w:t>e</w:t>
      </w:r>
      <w:proofErr w:type="spellEnd"/>
      <w:r>
        <w:rPr>
          <w:sz w:val="20"/>
        </w:rPr>
        <w:t xml:space="preserve"> di attrezzi da pesca contenenti plastica, che ha la sede o la sede sociale nella Repubblica Slovacca e vende tali prodotti in un altro Stato membro, designa un rappresentante autorizzato in tale Stato membro per adempiere ai suoi obblighi nei confronti di tali prodotti.</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Il fabbricante di attrezzi da pesca contenenti plastica conserva e mantiene registri degli attrezzi da pesca immessi sul mercato della Repubblica Slovacca e ne trasmette i dati al ministero e conserva i dati comunicati.</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Un produttore di attrezzi da pesca contenenti plastica è tenuto a coprire i costi connessi alla raccolta differenziata, al trasporto, al riciclaggio, al recupero o allo smaltimento dei rifiuti di attrezzi da pesca contenenti plastica sbarcati negli impianti portuali di raccolta pertinenti o in altri sistemi di raccolta equivalenti.</w:t>
      </w:r>
    </w:p>
    <w:p w14:paraId="4A47B1B1" w14:textId="77777777" w:rsidR="00E30B60" w:rsidRDefault="00E30B60">
      <w:pPr>
        <w:pStyle w:val="BodyText"/>
        <w:spacing w:before="6"/>
        <w:rPr>
          <w:sz w:val="24"/>
        </w:rPr>
      </w:pPr>
    </w:p>
    <w:p w14:paraId="3B78B588" w14:textId="74E92C8D" w:rsidR="00E30B60" w:rsidRDefault="00134001" w:rsidP="00134001">
      <w:pPr>
        <w:pStyle w:val="BodyText"/>
        <w:spacing w:line="281" w:lineRule="auto"/>
        <w:ind w:left="2268" w:right="1701" w:firstLine="760"/>
        <w:rPr>
          <w:b/>
        </w:rPr>
      </w:pPr>
      <w:r>
        <w:rPr>
          <w:b/>
        </w:rPr>
        <w:t xml:space="preserve">    </w:t>
      </w:r>
      <w:r w:rsidR="00CB547F">
        <w:rPr>
          <w:b/>
        </w:rPr>
        <w:t>Articolo 75 g</w:t>
      </w:r>
      <w:r w:rsidR="00CB547F">
        <w:rPr>
          <w:b/>
        </w:rPr>
        <w:br/>
        <w:t>Consapevolezza e sensibilizzazione</w:t>
      </w:r>
    </w:p>
    <w:p w14:paraId="20D90145" w14:textId="1BEFC6E3" w:rsidR="00E30B60" w:rsidRDefault="00CB547F">
      <w:pPr>
        <w:pStyle w:val="BodyText"/>
        <w:spacing w:before="193" w:line="276" w:lineRule="auto"/>
        <w:ind w:left="502" w:right="103" w:firstLine="226"/>
        <w:jc w:val="both"/>
      </w:pPr>
      <w:r>
        <w:t>Il fabbricante di un prodotto in plastica monouso di cui all'allegato 7a, parte G e di attrezzi da pesca contenenti plastica deve informare e motivare gli utilizzatori finali del prodotto in plastica monouso a comportarsi in modo responsabile al fine di ridurre l'inquinamento ambientale provocato dai rifiuti di tali prodotti;</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utilizzare alternative riutilizzabili disponibili;</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al corretto modo di smaltire i prodotti quando diventano rifiuti;</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sull'impatto sull'ambiente dello smaltimento inappropriato dei rifiuti di prodotti in plastica monouso e degli attrezzi da pesca contenenti plastica;</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sull'impatto sulle acque reflue dello smaltimento inappropriato di questi prodotti quando diventano rifiuti.</w:t>
      </w:r>
    </w:p>
    <w:p w14:paraId="5D2E916C" w14:textId="77777777" w:rsidR="00E30B60" w:rsidRDefault="00CB547F">
      <w:pPr>
        <w:pStyle w:val="BodyText"/>
        <w:spacing w:before="85"/>
        <w:ind w:left="729"/>
        <w:jc w:val="both"/>
      </w:pPr>
      <w:r>
        <w:t>Le note a piè di pagina da 96a a 96h recitano:</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Articolo 2, paragrafo 1, lettera c) del regolamento (UE) n. 1025/2012 del Parlamento europeo e del Consiglio, del 25 ottobre 2012, sulla normazione europea, che modifica le direttive 89/686/CEE e 93/15/CEE del Consiglio nonché le direttive 94/9/CE, 94/25/CE, 95/16/CE, 97/23/CE, 98/34/CE, 2004/22/CE, 2007/23/CE, 2009/23/CE e 2009/105/CE del Parlamento europeo e del Consiglio e che abroga la decisione 87/95/CEE del Consiglio e la decisione n. 1673/2006/CE del Parlamento europeo e del Consiglio, come modificate.</w:t>
      </w:r>
    </w:p>
    <w:p w14:paraId="7D526B49" w14:textId="77777777" w:rsidR="00E30B60" w:rsidRDefault="00CB547F">
      <w:pPr>
        <w:spacing w:before="103" w:line="244" w:lineRule="auto"/>
        <w:ind w:left="729" w:right="103"/>
        <w:jc w:val="both"/>
        <w:rPr>
          <w:sz w:val="18"/>
        </w:rPr>
      </w:pPr>
      <w:r>
        <w:rPr>
          <w:sz w:val="10"/>
        </w:rPr>
        <w:t>96b</w:t>
      </w:r>
      <w:r>
        <w:rPr>
          <w:sz w:val="18"/>
        </w:rPr>
        <w:t>) legge n. 102/2014 sulla tutela dei consumatori nella vendita di beni o nella prestazione di servizi sulla base di un contratto a distanza o di un contratto negoziato fuori dei locali commerciali del venditore e che modifica talune leggi, come modificata.</w:t>
      </w:r>
    </w:p>
    <w:p w14:paraId="5DEAD916" w14:textId="69DCB80D" w:rsidR="00E30B60" w:rsidRDefault="00CB547F">
      <w:pPr>
        <w:spacing w:before="102" w:line="244" w:lineRule="auto"/>
        <w:ind w:left="729" w:right="103"/>
        <w:jc w:val="both"/>
        <w:rPr>
          <w:sz w:val="18"/>
        </w:rPr>
      </w:pPr>
      <w:r>
        <w:rPr>
          <w:sz w:val="10"/>
        </w:rPr>
        <w:t>96c</w:t>
      </w:r>
      <w:r>
        <w:rPr>
          <w:sz w:val="18"/>
        </w:rPr>
        <w:t>) Articolo 4, paragrafo 1, punto 28, del regolamento (UE) n. 1380/2013 del Parlamento europeo e del Consiglio, dell'11 dicembre 2013, relativo alla politica comune della pesca, che modifica i regolamenti (CE) n. 1954/2003 e (CE) n. 1224/2009 del Consiglio e che abroga i regolamenti (CE) n. 2371/2002 e (CE) n. 639/2004 del Consiglio, nonché la decisione 2004/585/CE del Consiglio (GU L 354 del 28.12.2013), modificata.</w:t>
      </w:r>
    </w:p>
    <w:p w14:paraId="15970DB7" w14:textId="77777777" w:rsidR="00E30B60" w:rsidRDefault="00CB547F">
      <w:pPr>
        <w:spacing w:before="102"/>
        <w:ind w:left="729"/>
        <w:jc w:val="both"/>
        <w:rPr>
          <w:sz w:val="18"/>
        </w:rPr>
      </w:pPr>
      <w:r>
        <w:rPr>
          <w:sz w:val="10"/>
        </w:rPr>
        <w:t>96d</w:t>
      </w:r>
      <w:r>
        <w:rPr>
          <w:sz w:val="18"/>
        </w:rPr>
        <w:t>) legge n. 435/2000 sulla navigazione marittima, come modificata.</w:t>
      </w:r>
    </w:p>
    <w:p w14:paraId="5EF5EE76" w14:textId="58A6960E" w:rsidR="00E30B60" w:rsidRDefault="00CB547F">
      <w:pPr>
        <w:spacing w:before="105" w:line="244" w:lineRule="auto"/>
        <w:ind w:left="729" w:right="103"/>
        <w:jc w:val="both"/>
        <w:rPr>
          <w:sz w:val="18"/>
        </w:rPr>
      </w:pPr>
      <w:r>
        <w:rPr>
          <w:sz w:val="10"/>
        </w:rPr>
        <w:t>96e</w:t>
      </w:r>
      <w:r>
        <w:rPr>
          <w:sz w:val="18"/>
        </w:rPr>
        <w:t>) Articolo 2, paragrafo 3, della legge n. 89/2016 sulla produzione, l'etichettatura e la vendita dei prodotti del tabacco e dei prodotti connessi e sulle modifiche di talune leggi, modificata dalla legge n. 92/2019</w:t>
      </w:r>
    </w:p>
    <w:p w14:paraId="1BC9FB90" w14:textId="28B52A0A" w:rsidR="00E30B60" w:rsidRDefault="00CB547F">
      <w:pPr>
        <w:spacing w:before="101" w:line="244" w:lineRule="auto"/>
        <w:ind w:left="729" w:right="103"/>
        <w:jc w:val="both"/>
        <w:rPr>
          <w:sz w:val="18"/>
        </w:rPr>
      </w:pPr>
      <w:r>
        <w:rPr>
          <w:sz w:val="10"/>
        </w:rPr>
        <w:t>96f</w:t>
      </w:r>
      <w:r>
        <w:rPr>
          <w:sz w:val="18"/>
        </w:rPr>
        <w:t>) Articolo 7, paragrafo 1, lettera v, della legge n. 302/2019 relativa ad un sistema di restituzione dei depositi per i contenitori per bevande usa e getta e alla modifica di taluni atti, come modificata.</w:t>
      </w:r>
    </w:p>
    <w:p w14:paraId="2EC47CDC" w14:textId="1A1C418A" w:rsidR="00E30B60" w:rsidRDefault="00CB547F">
      <w:pPr>
        <w:spacing w:before="101" w:line="244" w:lineRule="auto"/>
        <w:ind w:left="729" w:right="103"/>
        <w:jc w:val="both"/>
        <w:rPr>
          <w:sz w:val="18"/>
        </w:rPr>
      </w:pPr>
      <w:r>
        <w:rPr>
          <w:sz w:val="10"/>
        </w:rPr>
        <w:t>96g</w:t>
      </w:r>
      <w:r>
        <w:rPr>
          <w:sz w:val="18"/>
        </w:rPr>
        <w:t>) Regolamento di esecuzione (UE) 2020/2151 della Commissione, del 17 dicembre 2020, che reca disposizioni relative alle specifiche di marcatura armonizzate per i prodotti di plastica monouso elencati nella parte D dell'allegato della direttiva (UE) 2019/904 del Parlamento europeo e del Consiglio sulla riduzione dell'incidenza di determinati prodotti in plastica sull'ambiente (GU L 428 del 18.12.2020).</w:t>
      </w:r>
    </w:p>
    <w:p w14:paraId="42F6CA94" w14:textId="77777777" w:rsidR="00E30B60" w:rsidRDefault="00CB547F">
      <w:pPr>
        <w:spacing w:before="102"/>
        <w:ind w:left="729"/>
        <w:jc w:val="both"/>
        <w:rPr>
          <w:sz w:val="18"/>
        </w:rPr>
      </w:pPr>
      <w:r>
        <w:rPr>
          <w:sz w:val="10"/>
        </w:rPr>
        <w:t>96h</w:t>
      </w:r>
      <w:r>
        <w:rPr>
          <w:sz w:val="18"/>
        </w:rPr>
        <w:t>) legge n. 89/2016, modificata dalla legge n.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Nell'articolo 105, paragrafo 3, viene aggiunta la seguente lettera ad):</w:t>
      </w:r>
    </w:p>
    <w:p w14:paraId="2874BDF9" w14:textId="77777777" w:rsidR="00E30B60" w:rsidRDefault="00CB547F">
      <w:pPr>
        <w:pStyle w:val="BodyText"/>
        <w:spacing w:before="106"/>
        <w:ind w:left="502"/>
        <w:jc w:val="both"/>
      </w:pPr>
      <w:r>
        <w:t>“ad) Le specifiche di etichettatura di cui al paragrafo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Nell'articolo 106, lettera h) il testo "articolo 53 bis, articolo 73 bis" viene sostituito da "articolo 75 ter, articolo 75 quater, articolo 75 quinquies, articolo 75 sexies".</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 xml:space="preserve">Nell'articolo 110, paragrafo 1, lettera a, viene eliminato il testo "articolo 53 bis" e il testo "articolo 73 bis e articolo 135 </w:t>
      </w:r>
      <w:proofErr w:type="spellStart"/>
      <w:r>
        <w:rPr>
          <w:sz w:val="20"/>
        </w:rPr>
        <w:t>octies</w:t>
      </w:r>
      <w:proofErr w:type="spellEnd"/>
      <w:r>
        <w:rPr>
          <w:sz w:val="20"/>
        </w:rPr>
        <w:t>".</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Nell'articolo 111, paragrafo 6, il testo "articolo 53 bis e articolo 73 bis" è sostituito da "articolo 75 quater".</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 xml:space="preserve">Nell'articolo 117, paragrafo 1, dopo il testo "53, paragrafi 7 e 8; l'articolo 54, paragrafo 1, lettera f), paragrafo 5;" è inserito il testo "articolo 53 bis </w:t>
      </w:r>
      <w:proofErr w:type="spellStart"/>
      <w:r>
        <w:rPr>
          <w:sz w:val="20"/>
        </w:rPr>
        <w:t>bis</w:t>
      </w:r>
      <w:proofErr w:type="spellEnd"/>
      <w:r>
        <w:rPr>
          <w:sz w:val="20"/>
        </w:rPr>
        <w:t>;".</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L'articolo 117, paragrafo 6, recita:</w:t>
      </w:r>
    </w:p>
    <w:p w14:paraId="2F50D7B0" w14:textId="77777777" w:rsidR="00E30B60" w:rsidRDefault="00CB547F">
      <w:pPr>
        <w:pStyle w:val="BodyText"/>
        <w:spacing w:before="220" w:line="276" w:lineRule="auto"/>
        <w:ind w:left="502" w:right="103" w:firstLine="226"/>
        <w:jc w:val="both"/>
      </w:pPr>
      <w:r>
        <w:t>"(6) Un'ammenda compresa tra 4000 e 350 000 EURO viene inflitta dall'autorità competente per la gestione dei rifiuti dell'amministrazione statale a una società oppure a agli articoli un operatore economico unico che viola l'obbligo di cui all'articolo 13; articolo 16 (5), (10); articolo 19(1)(f), articolo 21(2); articolo 21(3)(</w:t>
      </w:r>
      <w:proofErr w:type="gramStart"/>
      <w:r>
        <w:t>f);(</w:t>
      </w:r>
      <w:proofErr w:type="gramEnd"/>
      <w:r>
        <w:t>g); articolo 25(1),(7);</w:t>
      </w:r>
    </w:p>
    <w:p w14:paraId="4B6F5513" w14:textId="77777777" w:rsidR="00E30B60" w:rsidRPr="00D0358C" w:rsidRDefault="00CB547F">
      <w:pPr>
        <w:pStyle w:val="BodyText"/>
        <w:ind w:left="502"/>
      </w:pPr>
      <w:r>
        <w:t>articolo 27, paragrafo 25; articolo 28, paragrafo 9, lettera e); articolo 31 bis, paragrafi 2, 6, 8; articolo 33; articolo 43; articolo 53, paragrafo 3; articolo 62, paragrafo 6;</w:t>
      </w:r>
    </w:p>
    <w:p w14:paraId="091FA774" w14:textId="77777777" w:rsidR="00E30B60" w:rsidRPr="00D0358C" w:rsidRDefault="00CB547F">
      <w:pPr>
        <w:pStyle w:val="BodyText"/>
        <w:spacing w:before="35"/>
        <w:ind w:left="502"/>
      </w:pPr>
      <w:r>
        <w:t xml:space="preserve">articolo 75 ter; articolo 75 quater; articolo 75 quinquies; articolo 75 sexies; articolo 75 </w:t>
      </w:r>
      <w:proofErr w:type="spellStart"/>
      <w:r>
        <w:t>septies</w:t>
      </w:r>
      <w:proofErr w:type="spellEnd"/>
      <w:r>
        <w:t xml:space="preserve">; articolo 75 </w:t>
      </w:r>
      <w:proofErr w:type="spellStart"/>
      <w:r>
        <w:t>octies</w:t>
      </w:r>
      <w:proofErr w:type="spellEnd"/>
      <w:r>
        <w:t>; articolo 76, paragrafo 4; articolo 79, paragrafi 16, 24; articolo 84, paragrafi 3, 5;</w:t>
      </w:r>
    </w:p>
    <w:p w14:paraId="1E67AFAF" w14:textId="77777777" w:rsidR="00E30B60" w:rsidRPr="00D0358C" w:rsidRDefault="00CB547F">
      <w:pPr>
        <w:pStyle w:val="BodyText"/>
        <w:spacing w:before="35"/>
        <w:ind w:left="502"/>
      </w:pPr>
      <w:r>
        <w:t>articolo 135</w:t>
      </w:r>
      <w:proofErr w:type="gramStart"/>
      <w:r>
        <w:t>e(</w:t>
      </w:r>
      <w:proofErr w:type="gramEnd"/>
      <w:r>
        <w:t>1), (2), (3), (4); articolo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 xml:space="preserve">Nell'articolo 135 </w:t>
      </w:r>
      <w:proofErr w:type="spellStart"/>
      <w:r>
        <w:rPr>
          <w:sz w:val="20"/>
        </w:rPr>
        <w:t>octies</w:t>
      </w:r>
      <w:proofErr w:type="spellEnd"/>
      <w:r>
        <w:rPr>
          <w:sz w:val="20"/>
        </w:rPr>
        <w:t>, dopo "7 bis" viene inserito il testo "parte B".</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L'allegato 7 bis, compresa la voce, recita:</w:t>
      </w:r>
    </w:p>
    <w:p w14:paraId="3D8AA0DD" w14:textId="50B3F48E" w:rsidR="00E30B60" w:rsidRDefault="00E30B60">
      <w:pPr>
        <w:pStyle w:val="BodyText"/>
        <w:spacing w:before="10"/>
        <w:rPr>
          <w:sz w:val="17"/>
        </w:rPr>
      </w:pPr>
    </w:p>
    <w:p w14:paraId="22B9D144" w14:textId="4D9DE3D6" w:rsidR="00C03E30" w:rsidRDefault="00C03E30">
      <w:pPr>
        <w:pStyle w:val="BodyText"/>
        <w:spacing w:before="10"/>
        <w:rPr>
          <w:sz w:val="17"/>
        </w:rPr>
      </w:pPr>
    </w:p>
    <w:p w14:paraId="3D3A632E" w14:textId="77777777" w:rsidR="00C03E30" w:rsidRDefault="00C03E3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lastRenderedPageBreak/>
        <w:t>“Allegato 7a</w:t>
      </w:r>
      <w:r>
        <w:rPr>
          <w:b/>
        </w:rPr>
        <w:br/>
        <w:t>alla Legge n. 79/2015</w:t>
      </w:r>
    </w:p>
    <w:p w14:paraId="53FA3E6C" w14:textId="77777777" w:rsidR="00E30B60" w:rsidRDefault="00CB547F">
      <w:pPr>
        <w:pStyle w:val="BodyText"/>
        <w:spacing w:before="201"/>
        <w:ind w:left="1230" w:right="834"/>
        <w:jc w:val="center"/>
        <w:rPr>
          <w:b/>
        </w:rPr>
      </w:pPr>
      <w:r>
        <w:rPr>
          <w:b/>
        </w:rPr>
        <w:t>PARTE A</w:t>
      </w:r>
    </w:p>
    <w:p w14:paraId="423994C5" w14:textId="77777777" w:rsidR="00E30B60" w:rsidRDefault="00CB547F">
      <w:pPr>
        <w:pStyle w:val="BodyText"/>
        <w:spacing w:before="231"/>
        <w:ind w:left="729"/>
        <w:rPr>
          <w:b/>
        </w:rPr>
      </w:pPr>
      <w:r>
        <w:rPr>
          <w:b/>
        </w:rPr>
        <w:t>Prodotti in plastica monouso il cui consumo deve essere ridotto</w:t>
      </w:r>
    </w:p>
    <w:p w14:paraId="360D13BF" w14:textId="77777777" w:rsidR="00E30B60" w:rsidRDefault="00CB547F">
      <w:pPr>
        <w:pStyle w:val="ListParagraph"/>
        <w:numPr>
          <w:ilvl w:val="0"/>
          <w:numId w:val="9"/>
        </w:numPr>
        <w:tabs>
          <w:tab w:val="left" w:pos="786"/>
        </w:tabs>
        <w:spacing w:before="128"/>
        <w:ind w:right="0"/>
        <w:rPr>
          <w:sz w:val="20"/>
        </w:rPr>
      </w:pPr>
      <w:r>
        <w:rPr>
          <w:sz w:val="20"/>
        </w:rPr>
        <w:t>Tazze per bevande, compresi i loro tappi e coperchi;</w:t>
      </w:r>
    </w:p>
    <w:p w14:paraId="0582B242" w14:textId="1C0022BE" w:rsidR="00E30B60" w:rsidRPr="00C03E30" w:rsidRDefault="00CB547F" w:rsidP="00C03E30">
      <w:pPr>
        <w:pStyle w:val="ListParagraph"/>
        <w:numPr>
          <w:ilvl w:val="0"/>
          <w:numId w:val="9"/>
        </w:numPr>
        <w:tabs>
          <w:tab w:val="left" w:pos="786"/>
        </w:tabs>
        <w:spacing w:before="105" w:line="244" w:lineRule="auto"/>
        <w:rPr>
          <w:sz w:val="20"/>
        </w:rPr>
      </w:pPr>
      <w:r>
        <w:rPr>
          <w:sz w:val="20"/>
        </w:rPr>
        <w:t>Contenitori alimentari, quali scatole, con o senza coperchi, per prodotti alimentari che sono</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destinati al consumo immediato nel punto di vendita o in un punto diverso dal punto vendita;</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tipicamente consumati da questo contenitore; e</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sono pronti al consumo senza ulteriore preparazione come cottura, bollitura o riscaldamento;</w:t>
      </w:r>
    </w:p>
    <w:p w14:paraId="6B251702" w14:textId="77777777" w:rsidR="00E30B60" w:rsidRDefault="00CB547F">
      <w:pPr>
        <w:pStyle w:val="BodyText"/>
        <w:spacing w:before="216" w:line="276" w:lineRule="auto"/>
        <w:ind w:left="785" w:right="103" w:firstLine="226"/>
        <w:jc w:val="both"/>
      </w:pPr>
      <w:r>
        <w:t>compresi i contenitori per alimenti utilizzati per fast food o altri pasti pronti per il consumo immediato, eccetto contenitori per bevande, piatti, pacchetti e involucri contenenti alimenti;</w:t>
      </w:r>
    </w:p>
    <w:p w14:paraId="08F0A563" w14:textId="77777777" w:rsidR="00E30B60" w:rsidRDefault="00CB547F">
      <w:pPr>
        <w:pStyle w:val="BodyText"/>
        <w:spacing w:before="187"/>
        <w:ind w:left="1230" w:right="834"/>
        <w:jc w:val="center"/>
        <w:rPr>
          <w:b/>
        </w:rPr>
      </w:pPr>
      <w:r>
        <w:rPr>
          <w:b/>
        </w:rPr>
        <w:t>PARTE B</w:t>
      </w:r>
    </w:p>
    <w:p w14:paraId="13056B9C" w14:textId="77777777" w:rsidR="00E30B60" w:rsidRDefault="00CB547F">
      <w:pPr>
        <w:pStyle w:val="BodyText"/>
        <w:spacing w:before="231"/>
        <w:ind w:left="729"/>
        <w:rPr>
          <w:b/>
        </w:rPr>
      </w:pPr>
      <w:r>
        <w:rPr>
          <w:b/>
        </w:rPr>
        <w:t>È vietato immettere questi prodotti in plastica monouso sul mercato della Repubblica Slovacca</w:t>
      </w:r>
    </w:p>
    <w:p w14:paraId="51FDEC54" w14:textId="77777777" w:rsidR="00E30B60" w:rsidRDefault="00CB547F">
      <w:pPr>
        <w:pStyle w:val="ListParagraph"/>
        <w:numPr>
          <w:ilvl w:val="0"/>
          <w:numId w:val="8"/>
        </w:numPr>
        <w:tabs>
          <w:tab w:val="left" w:pos="786"/>
        </w:tabs>
        <w:spacing w:before="128"/>
        <w:ind w:right="0"/>
        <w:rPr>
          <w:sz w:val="20"/>
        </w:rPr>
      </w:pPr>
      <w:r>
        <w:rPr>
          <w:sz w:val="20"/>
        </w:rPr>
        <w:t>tamponi auricolari di cotone non coperti da legislazione speciale;</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posate (forchette, coltelli, cucchiai, bacchette);</w:t>
      </w:r>
    </w:p>
    <w:p w14:paraId="270DDFA9" w14:textId="77777777" w:rsidR="00E30B60" w:rsidRDefault="00CB547F">
      <w:pPr>
        <w:pStyle w:val="ListParagraph"/>
        <w:numPr>
          <w:ilvl w:val="0"/>
          <w:numId w:val="8"/>
        </w:numPr>
        <w:tabs>
          <w:tab w:val="left" w:pos="786"/>
        </w:tabs>
        <w:spacing w:before="105"/>
        <w:ind w:right="0"/>
        <w:rPr>
          <w:sz w:val="20"/>
        </w:rPr>
      </w:pPr>
      <w:r>
        <w:rPr>
          <w:sz w:val="20"/>
        </w:rPr>
        <w:t>targhe;</w:t>
      </w:r>
    </w:p>
    <w:p w14:paraId="5A4A28E4" w14:textId="77777777" w:rsidR="00E30B60" w:rsidRDefault="00CB547F">
      <w:pPr>
        <w:pStyle w:val="ListParagraph"/>
        <w:numPr>
          <w:ilvl w:val="0"/>
          <w:numId w:val="8"/>
        </w:numPr>
        <w:tabs>
          <w:tab w:val="left" w:pos="786"/>
        </w:tabs>
        <w:spacing w:before="105"/>
        <w:ind w:right="0"/>
        <w:rPr>
          <w:sz w:val="20"/>
        </w:rPr>
      </w:pPr>
      <w:r>
        <w:rPr>
          <w:sz w:val="20"/>
        </w:rPr>
        <w:t>cannucce non coperte da legislazione speciale;</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agitatori per bevande;</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bastoncini da fissare e per supportare i palloncini, tranne i palloncini per uso industriale o altri usi e applicazioni professionali che non sono distribuiti ai consumatori, compresi i meccanismi di tali bastoncini;</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contenitori per alimenti in polistirene espanso, cioè contenitori quali scatole, con o senza coperchi, per prodotti alimentari usati per prodotti alimentari</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destinati al consumo immediato nel punto di vendita o in un punto diverso dal punto vendita;</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tipicamente consumati da questo contenitore; e</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sono pronti al consumo senza ulteriore preparazione come cottura, bollitura o riscaldamento;</w:t>
      </w:r>
    </w:p>
    <w:p w14:paraId="2B86D403" w14:textId="77777777" w:rsidR="00E30B60" w:rsidRDefault="00CB547F">
      <w:pPr>
        <w:pStyle w:val="BodyText"/>
        <w:spacing w:before="216" w:line="276" w:lineRule="auto"/>
        <w:ind w:left="785" w:right="103" w:firstLine="226"/>
        <w:jc w:val="both"/>
      </w:pPr>
      <w:r>
        <w:t>sono compresi i contenitori per alimenti utilizzati per fast food o altri pasti pronti per il consumo immediato, eccetto contenitori per bevande, piatti, pacchetti e involucri contenenti alimenti;</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contenitori per bevande in polistirolo espanso e relativi tappi e coperchi;</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tazze per bevande a base di polistirene espanso, compresi i loro tappi e coperchi.</w:t>
      </w:r>
    </w:p>
    <w:p w14:paraId="5A3D23E4" w14:textId="77777777" w:rsidR="00E30B60" w:rsidRDefault="00CB547F">
      <w:pPr>
        <w:pStyle w:val="BodyText"/>
        <w:spacing w:before="208"/>
        <w:ind w:left="1230" w:right="834"/>
        <w:jc w:val="center"/>
        <w:rPr>
          <w:b/>
        </w:rPr>
      </w:pPr>
      <w:r>
        <w:rPr>
          <w:b/>
        </w:rPr>
        <w:t>Lettera C</w:t>
      </w:r>
    </w:p>
    <w:p w14:paraId="7696BE96" w14:textId="77777777" w:rsidR="00E30B60" w:rsidRDefault="00CB547F">
      <w:pPr>
        <w:pStyle w:val="BodyText"/>
        <w:spacing w:before="231" w:line="297" w:lineRule="auto"/>
        <w:ind w:left="502" w:right="103" w:firstLine="226"/>
        <w:jc w:val="both"/>
        <w:rPr>
          <w:b/>
        </w:rPr>
      </w:pPr>
      <w:r>
        <w:rPr>
          <w:b/>
        </w:rPr>
        <w:t>Prodotti in plastica monouso che possono essere immessi sul mercato conformemente al requisito di cui all'articolo 75d, (1) 1, della Legge</w:t>
      </w:r>
    </w:p>
    <w:p w14:paraId="101A7BC1" w14:textId="77777777" w:rsidR="00E30B60" w:rsidRDefault="00CB547F">
      <w:pPr>
        <w:pStyle w:val="BodyText"/>
        <w:spacing w:before="185" w:line="276" w:lineRule="auto"/>
        <w:ind w:left="502" w:right="103" w:firstLine="226"/>
        <w:jc w:val="both"/>
      </w:pPr>
      <w:r>
        <w:t>Recipienti per bevande non superiori a tre litri, ossia recipienti per liquidi quali bottiglie per bevande, compresi tappi e coperchi, e contenitori composti per bevande, compresi i tappi e i coperchi, esclusi:</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contenitori di vetro o di metallo per bevande con tappi e coperchi di plastica,</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contenitori per bevande destinati e utilizzati per alimenti per scopi medici specifici in forma liquida, soggetti a legislazione speciale.</w:t>
      </w:r>
      <w:r>
        <w:rPr>
          <w:sz w:val="10"/>
        </w:rPr>
        <w:t>163</w:t>
      </w:r>
      <w:r>
        <w:rPr>
          <w:sz w:val="20"/>
        </w:rPr>
        <w:t>)</w:t>
      </w:r>
    </w:p>
    <w:p w14:paraId="5A8C8B95" w14:textId="77777777" w:rsidR="00E30B60" w:rsidRDefault="00CB547F">
      <w:pPr>
        <w:pStyle w:val="BodyText"/>
        <w:spacing w:before="203"/>
        <w:ind w:left="1230" w:right="834"/>
        <w:jc w:val="center"/>
        <w:rPr>
          <w:b/>
        </w:rPr>
      </w:pPr>
      <w:r>
        <w:rPr>
          <w:b/>
        </w:rPr>
        <w:lastRenderedPageBreak/>
        <w:t>PARTE D</w:t>
      </w:r>
    </w:p>
    <w:p w14:paraId="55DDD53C" w14:textId="4C418992" w:rsidR="00E30B60" w:rsidRPr="00C03E30" w:rsidRDefault="00CB547F" w:rsidP="00C03E30">
      <w:pPr>
        <w:pStyle w:val="BodyText"/>
        <w:spacing w:before="231"/>
        <w:ind w:left="729"/>
        <w:rPr>
          <w:b/>
        </w:rPr>
      </w:pPr>
      <w:r>
        <w:rPr>
          <w:b/>
        </w:rPr>
        <w:t>Prodotti in plastica monouso che devono essere conformi all'obbligo di etichettatura ai sensi dell'articolo 75 sexies della legge</w:t>
      </w:r>
    </w:p>
    <w:p w14:paraId="3A4A52A3" w14:textId="77777777" w:rsidR="00E30B60" w:rsidRDefault="00CB547F">
      <w:pPr>
        <w:pStyle w:val="ListParagraph"/>
        <w:numPr>
          <w:ilvl w:val="0"/>
          <w:numId w:val="6"/>
        </w:numPr>
        <w:tabs>
          <w:tab w:val="left" w:pos="786"/>
        </w:tabs>
        <w:spacing w:before="125"/>
        <w:ind w:right="0"/>
        <w:rPr>
          <w:sz w:val="20"/>
        </w:rPr>
      </w:pPr>
      <w:r>
        <w:rPr>
          <w:sz w:val="20"/>
        </w:rPr>
        <w:t>assorbenti, tamponi e applicatori di tamponi;</w:t>
      </w:r>
    </w:p>
    <w:p w14:paraId="50510A03" w14:textId="77777777" w:rsidR="00E30B60" w:rsidRDefault="00CB547F">
      <w:pPr>
        <w:pStyle w:val="ListParagraph"/>
        <w:numPr>
          <w:ilvl w:val="0"/>
          <w:numId w:val="6"/>
        </w:numPr>
        <w:tabs>
          <w:tab w:val="left" w:pos="786"/>
        </w:tabs>
        <w:spacing w:before="106"/>
        <w:ind w:right="0"/>
        <w:rPr>
          <w:sz w:val="20"/>
        </w:rPr>
      </w:pPr>
      <w:r>
        <w:rPr>
          <w:sz w:val="20"/>
        </w:rPr>
        <w:t xml:space="preserve">Salviette umide, cioè salviette per l'igiene personale </w:t>
      </w:r>
      <w:proofErr w:type="spellStart"/>
      <w:r>
        <w:rPr>
          <w:sz w:val="20"/>
        </w:rPr>
        <w:t>pre</w:t>
      </w:r>
      <w:proofErr w:type="spellEnd"/>
      <w:r>
        <w:rPr>
          <w:sz w:val="20"/>
        </w:rPr>
        <w:t>-umidificate e salviette per uso domestico;</w:t>
      </w:r>
    </w:p>
    <w:p w14:paraId="4FF9E3EA" w14:textId="77777777" w:rsidR="00E30B60" w:rsidRDefault="00CB547F">
      <w:pPr>
        <w:pStyle w:val="ListParagraph"/>
        <w:numPr>
          <w:ilvl w:val="0"/>
          <w:numId w:val="6"/>
        </w:numPr>
        <w:tabs>
          <w:tab w:val="left" w:pos="786"/>
        </w:tabs>
        <w:spacing w:before="105" w:line="244" w:lineRule="auto"/>
        <w:rPr>
          <w:sz w:val="20"/>
        </w:rPr>
      </w:pPr>
      <w:proofErr w:type="gramStart"/>
      <w:r>
        <w:rPr>
          <w:sz w:val="20"/>
        </w:rPr>
        <w:t>}Prodotti</w:t>
      </w:r>
      <w:proofErr w:type="gramEnd"/>
      <w:r>
        <w:rPr>
          <w:sz w:val="20"/>
        </w:rPr>
        <w:t xml:space="preserve"> del tabacco contenenti filtri e filtri venduti per essere utilizzati in combinazione con prodotti del tabacco;</w:t>
      </w:r>
    </w:p>
    <w:p w14:paraId="40A96525" w14:textId="77777777" w:rsidR="00E30B60" w:rsidRDefault="00CB547F">
      <w:pPr>
        <w:pStyle w:val="ListParagraph"/>
        <w:numPr>
          <w:ilvl w:val="0"/>
          <w:numId w:val="6"/>
        </w:numPr>
        <w:tabs>
          <w:tab w:val="left" w:pos="786"/>
        </w:tabs>
        <w:spacing w:before="101"/>
        <w:ind w:right="0"/>
        <w:rPr>
          <w:sz w:val="20"/>
        </w:rPr>
      </w:pPr>
      <w:r>
        <w:rPr>
          <w:sz w:val="20"/>
        </w:rPr>
        <w:t>tazze di bevande.</w:t>
      </w:r>
    </w:p>
    <w:p w14:paraId="3D9A0DD0" w14:textId="77777777" w:rsidR="00E30B60" w:rsidRDefault="00CB547F">
      <w:pPr>
        <w:pStyle w:val="BodyText"/>
        <w:spacing w:before="208"/>
        <w:ind w:left="1230" w:right="834"/>
        <w:jc w:val="center"/>
        <w:rPr>
          <w:b/>
        </w:rPr>
      </w:pPr>
      <w:r>
        <w:rPr>
          <w:b/>
        </w:rPr>
        <w:t>Lettera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 xml:space="preserve">Prodotti di plastica monouso di cui all'articolo 75 </w:t>
      </w:r>
      <w:proofErr w:type="spellStart"/>
      <w:r>
        <w:rPr>
          <w:b/>
          <w:sz w:val="20"/>
        </w:rPr>
        <w:t>septies</w:t>
      </w:r>
      <w:proofErr w:type="spellEnd"/>
      <w:r>
        <w:rPr>
          <w:b/>
          <w:sz w:val="20"/>
        </w:rPr>
        <w:t>, paragrafi 1 e 4 della legge</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Contenitori alimentari, quali scatole, con o senza coperchi, per prodotti alimentari che sono</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destinati al consumo immediato nel punto di vendita o in un punto diverso dal punto vendita;</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tipicamente consumati da questo contenitore; e</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sono pronti al consumo senza ulteriore preparazione come cottura, bollitura o riscaldamento;</w:t>
      </w:r>
    </w:p>
    <w:p w14:paraId="0138E3D4" w14:textId="77777777" w:rsidR="00E30B60" w:rsidRDefault="00CB547F">
      <w:pPr>
        <w:pStyle w:val="BodyText"/>
        <w:spacing w:before="200" w:line="276" w:lineRule="auto"/>
        <w:ind w:left="785" w:right="103" w:firstLine="226"/>
        <w:jc w:val="both"/>
      </w:pPr>
      <w:r>
        <w:t>sono compresi i contenitori per alimenti utilizzati per fast food o altri pasti pronti per il consumo immediato, eccetto contenitori per bevande, piatti, pacchetti e involucri contenenti alimenti;</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confezioni e involucri in materiale flessibile contenente alimenti destinati al consumo immediato della confezione o dall'involucro senza ulteriore preparazione;</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contenitori per bevande con volume massimo di tre litri, cioè recipienti utilizzati per contenere liquidi, come le bottiglie per bevande, compresi i loro tappi e coperchi e gli imballaggi compositi per bevande, compresi i loro tappi e coperchi, esclusi i contenitori per bevande di vetro o di metallo aventi tappi e coperchi di plastica;</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tazze per bevande, compresi i loro tappi e coperchi;</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borse di plastica leggere.</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 xml:space="preserve">Prodotti di plastica monouso di cui all'articolo 75 </w:t>
      </w:r>
      <w:proofErr w:type="spellStart"/>
      <w:r>
        <w:rPr>
          <w:b/>
          <w:sz w:val="20"/>
        </w:rPr>
        <w:t>septies</w:t>
      </w:r>
      <w:proofErr w:type="spellEnd"/>
      <w:r>
        <w:rPr>
          <w:b/>
          <w:sz w:val="20"/>
        </w:rPr>
        <w:t>, paragrafi 1, 3 e 4 della legge</w:t>
      </w:r>
    </w:p>
    <w:p w14:paraId="4BA744C0" w14:textId="77777777" w:rsidR="00E30B60" w:rsidRDefault="00CB547F">
      <w:pPr>
        <w:pStyle w:val="ListParagraph"/>
        <w:numPr>
          <w:ilvl w:val="0"/>
          <w:numId w:val="4"/>
        </w:numPr>
        <w:tabs>
          <w:tab w:val="left" w:pos="786"/>
        </w:tabs>
        <w:spacing w:before="143"/>
        <w:ind w:right="0"/>
        <w:rPr>
          <w:sz w:val="20"/>
        </w:rPr>
      </w:pPr>
      <w:r>
        <w:rPr>
          <w:sz w:val="20"/>
        </w:rPr>
        <w:t xml:space="preserve">Salviette umidificate, cioè salviette per l'igiene personale </w:t>
      </w:r>
      <w:proofErr w:type="spellStart"/>
      <w:r>
        <w:rPr>
          <w:sz w:val="20"/>
        </w:rPr>
        <w:t>pre</w:t>
      </w:r>
      <w:proofErr w:type="spellEnd"/>
      <w:r>
        <w:rPr>
          <w:sz w:val="20"/>
        </w:rPr>
        <w:t>-umidificate, e salviette per uso domestico;</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palloncini, eccetto quelli che non vengono distribuiti ai consumatori e sono destinati all'uso e al consumo industriale o professionale.</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 xml:space="preserve">Altri prodotti di plastica monouso di cui all'articolo 75 </w:t>
      </w:r>
      <w:proofErr w:type="spellStart"/>
      <w:r>
        <w:rPr>
          <w:b/>
          <w:sz w:val="20"/>
        </w:rPr>
        <w:t>septies</w:t>
      </w:r>
      <w:proofErr w:type="spellEnd"/>
      <w:r>
        <w:rPr>
          <w:b/>
          <w:sz w:val="20"/>
        </w:rPr>
        <w:t>, paragrafi da 1 a 4 della legge</w:t>
      </w:r>
    </w:p>
    <w:p w14:paraId="475248E0" w14:textId="77777777" w:rsidR="00E30B60" w:rsidRDefault="00CB547F">
      <w:pPr>
        <w:pStyle w:val="BodyText"/>
        <w:spacing w:before="43" w:line="276" w:lineRule="auto"/>
        <w:ind w:left="502" w:firstLine="226"/>
      </w:pPr>
      <w:r>
        <w:t>Prodotti del tabacco contenenti filtri e filtri venduti per essere utilizzati in combinazione con prodotti del tabacco;</w:t>
      </w:r>
    </w:p>
    <w:p w14:paraId="3AC28F65" w14:textId="77777777" w:rsidR="00E30B60" w:rsidRDefault="00CB547F">
      <w:pPr>
        <w:pStyle w:val="BodyText"/>
        <w:spacing w:before="188"/>
        <w:ind w:left="1230" w:right="834"/>
        <w:jc w:val="center"/>
        <w:rPr>
          <w:b/>
        </w:rPr>
      </w:pPr>
      <w:r>
        <w:rPr>
          <w:b/>
        </w:rPr>
        <w:t>PARTE F</w:t>
      </w:r>
    </w:p>
    <w:p w14:paraId="5503DD3F" w14:textId="77777777" w:rsidR="00E30B60" w:rsidRDefault="00CB547F">
      <w:pPr>
        <w:pStyle w:val="BodyText"/>
        <w:spacing w:before="230" w:line="297" w:lineRule="auto"/>
        <w:ind w:left="502" w:firstLine="226"/>
        <w:rPr>
          <w:b/>
        </w:rPr>
      </w:pPr>
      <w:r>
        <w:rPr>
          <w:b/>
        </w:rPr>
        <w:t>Prodotti in plastica monouso che possono essere immessi sul mercato conformemente al requisito di cui all'articolo 75d, (4) 1, della Legge</w:t>
      </w:r>
    </w:p>
    <w:p w14:paraId="104BA5A3" w14:textId="77777777" w:rsidR="00E30B60" w:rsidRDefault="00CB547F">
      <w:pPr>
        <w:pStyle w:val="BodyText"/>
        <w:spacing w:before="186"/>
        <w:ind w:left="729"/>
      </w:pPr>
      <w:r>
        <w:t>Bottiglie per bevande fino a tre litri, compresi i tappi e i coperchi, escluse:</w:t>
      </w:r>
    </w:p>
    <w:p w14:paraId="411E1955" w14:textId="77777777" w:rsidR="00E30B60" w:rsidRDefault="00CB547F">
      <w:pPr>
        <w:pStyle w:val="ListParagraph"/>
        <w:numPr>
          <w:ilvl w:val="0"/>
          <w:numId w:val="3"/>
        </w:numPr>
        <w:tabs>
          <w:tab w:val="left" w:pos="786"/>
        </w:tabs>
        <w:spacing w:before="120"/>
        <w:ind w:right="0"/>
        <w:rPr>
          <w:sz w:val="20"/>
        </w:rPr>
      </w:pPr>
      <w:r>
        <w:rPr>
          <w:sz w:val="20"/>
        </w:rPr>
        <w:t>bottiglie di vetro o di metallo per bevande con tappi e coperchi di plastica;</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bottiglie per bevande destinate e utilizzate per alimenti a fini medici specifici in forma liquida che sono soggette alla legislazione speciale.</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Lettera G</w:t>
      </w:r>
    </w:p>
    <w:p w14:paraId="0B3CFA54" w14:textId="416D168C" w:rsidR="00E30B60" w:rsidRDefault="00CB547F" w:rsidP="00470FBD">
      <w:pPr>
        <w:pStyle w:val="BodyText"/>
        <w:keepNext/>
        <w:keepLines/>
        <w:spacing w:before="231"/>
        <w:ind w:left="729"/>
        <w:rPr>
          <w:b/>
          <w:sz w:val="17"/>
        </w:rPr>
      </w:pPr>
      <w:r>
        <w:rPr>
          <w:b/>
        </w:rPr>
        <w:t>Prodotti in plastica monouso di cui al paragrafo 75 g della Legge</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Contenitori alimentari, quali scatole, con o senza coperchi, per prodotti alimentari che sono</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destinati al consumo immediato nel punto di vendita o in un punto diverso dal punto vendita;</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tipicamente consumati da questo contenitore; e</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sono pronti al consumo senza ulteriore preparazione come cottura, bollitura o riscaldamento;</w:t>
      </w:r>
    </w:p>
    <w:p w14:paraId="43510610" w14:textId="77777777" w:rsidR="00E30B60" w:rsidRDefault="00CB547F">
      <w:pPr>
        <w:pStyle w:val="BodyText"/>
        <w:spacing w:before="216" w:line="276" w:lineRule="auto"/>
        <w:ind w:left="785" w:right="103" w:firstLine="226"/>
        <w:jc w:val="both"/>
      </w:pPr>
      <w:r>
        <w:t>sono compresi i contenitori per alimenti utilizzati per fast food o altri pasti pronti per il consumo immediato, eccetto contenitori per bevande, piatti, pacchetti e involucri contenenti alimenti;</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confezioni e involucri in materiale flessibile contenente alimenti destinati al consumo immediato della confezione o dall'involucro senza ulteriore preparazione;</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contenitori per bevande con volume massimo di tre litri, cioè recipienti utilizzati per contenere liquidi, come le bottiglie per bevande, compresi i loro tappi e coperchi e gli imballaggi compositi per bevande, compresi i loro tappi e coperchi, esclusi i contenitori per bevande di vetro o di metallo aventi tappi e coperchi di plastica;</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tazze per bevande, compresi i loro tappi e coperchi;</w:t>
      </w:r>
    </w:p>
    <w:p w14:paraId="3860162F" w14:textId="77777777" w:rsidR="00E30B60" w:rsidRDefault="00CB547F">
      <w:pPr>
        <w:pStyle w:val="ListParagraph"/>
        <w:numPr>
          <w:ilvl w:val="0"/>
          <w:numId w:val="2"/>
        </w:numPr>
        <w:tabs>
          <w:tab w:val="left" w:pos="786"/>
        </w:tabs>
        <w:spacing w:before="105" w:line="244" w:lineRule="auto"/>
        <w:jc w:val="both"/>
        <w:rPr>
          <w:sz w:val="20"/>
        </w:rPr>
      </w:pPr>
      <w:proofErr w:type="gramStart"/>
      <w:r>
        <w:rPr>
          <w:sz w:val="20"/>
        </w:rPr>
        <w:t>}Prodotti</w:t>
      </w:r>
      <w:proofErr w:type="gramEnd"/>
      <w:r>
        <w:rPr>
          <w:sz w:val="20"/>
        </w:rPr>
        <w:t xml:space="preserve"> del tabacco contenenti filtri e filtri venduti per essere utilizzati in combinazione con prodotti del tabacco;</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 xml:space="preserve">salviette umidificate, cioè salviette per l'igiene personale </w:t>
      </w:r>
      <w:proofErr w:type="spellStart"/>
      <w:r>
        <w:rPr>
          <w:sz w:val="20"/>
        </w:rPr>
        <w:t>pre</w:t>
      </w:r>
      <w:proofErr w:type="spellEnd"/>
      <w:r>
        <w:rPr>
          <w:sz w:val="20"/>
        </w:rPr>
        <w:t>-umidificate e salviette per uso domestico;</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palloncini, eccetto quelli che non vengono distribuiti ai consumatori e sono destinati all'uso e al consumo industriale o professionale.</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borse di plastica leggere.</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assorbenti, tamponi e applicatori di tamponi." Le note da 162 a 164 recitano come segue:</w:t>
      </w:r>
    </w:p>
    <w:p w14:paraId="159DB5FD" w14:textId="77777777" w:rsidR="00E30B60" w:rsidRDefault="00CB547F">
      <w:pPr>
        <w:spacing w:line="244" w:lineRule="auto"/>
        <w:ind w:left="729" w:right="103"/>
        <w:jc w:val="both"/>
        <w:rPr>
          <w:sz w:val="18"/>
        </w:rPr>
      </w:pPr>
      <w:r>
        <w:rPr>
          <w:sz w:val="18"/>
        </w:rPr>
        <w:t>"</w:t>
      </w:r>
      <w:r>
        <w:rPr>
          <w:sz w:val="10"/>
        </w:rPr>
        <w:t>162</w:t>
      </w:r>
      <w:r>
        <w:rPr>
          <w:sz w:val="18"/>
        </w:rPr>
        <w:t>) Ad esempio, la Legge n. 362/2011 sui farmaci e i dispositivi medici e sulle modifiche di taluni atti e successive modifiche della legge n. 362/2011 sui farmaci e i dispositivi medici e sulle modifiche di taluni atti e successive modifiche.</w:t>
      </w:r>
    </w:p>
    <w:p w14:paraId="5E5B56BE" w14:textId="62F04962" w:rsidR="00E30B60" w:rsidRDefault="00CB547F">
      <w:pPr>
        <w:spacing w:before="99" w:line="244" w:lineRule="auto"/>
        <w:ind w:left="729" w:right="103"/>
        <w:jc w:val="both"/>
        <w:rPr>
          <w:sz w:val="18"/>
        </w:rPr>
      </w:pPr>
      <w:r>
        <w:t>163)</w:t>
      </w:r>
      <w:r>
        <w:rPr>
          <w:sz w:val="18"/>
        </w:rPr>
        <w:t xml:space="preserve"> Regolamento (UE) n. 609/2013 del Parlamento europeo e del Consiglio, del 12 giugno 2013, relativo agli alimenti destinati ai lattanti e ai bambini, ai prodotti alimentari destinati a fini medici speciali e alla sostituzione totale della dieta per il controllo del peso e che abroga la direttiva 92/52/CEE del Consiglio, le direttive 96/8/CE, 1999/21/CE, 2006/125/CE e 2006/141/CE, la direttiva 2009/39/CE del Parlamento europeo e del Consiglio e i regolamenti (CE) n. 41/2009 e (CE) n. 953/2009 (GU L 181, 29. 6.2013), come modificato.</w:t>
      </w:r>
    </w:p>
    <w:p w14:paraId="711B9AD3" w14:textId="77777777" w:rsidR="00E30B60" w:rsidRDefault="00CB547F">
      <w:pPr>
        <w:spacing w:before="103" w:line="244" w:lineRule="auto"/>
        <w:ind w:left="729" w:right="103"/>
        <w:jc w:val="both"/>
        <w:rPr>
          <w:sz w:val="18"/>
        </w:rPr>
      </w:pPr>
      <w:r>
        <w:rPr>
          <w:sz w:val="10"/>
        </w:rPr>
        <w:t>164</w:t>
      </w:r>
      <w:r>
        <w:rPr>
          <w:sz w:val="18"/>
        </w:rPr>
        <w:t xml:space="preserve">) Articolo 52, paragrafo 27 della legge n. 79/2015 sui rifiuti e sulle modifiche di taluni atti e successive </w:t>
      </w:r>
      <w:proofErr w:type="spellStart"/>
      <w:r>
        <w:rPr>
          <w:sz w:val="18"/>
        </w:rPr>
        <w:t>modifiche."</w:t>
      </w:r>
      <w:r>
        <w:t>della</w:t>
      </w:r>
      <w:proofErr w:type="spellEnd"/>
      <w:r>
        <w:t xml:space="preserve"> legge n. 79/2015 sui rifiuti e sulle modifiche di taluni atti, come modificata."</w:t>
      </w:r>
    </w:p>
    <w:p w14:paraId="4B0F8EC2" w14:textId="77777777" w:rsidR="00E30B60" w:rsidRDefault="00CB547F">
      <w:pPr>
        <w:pStyle w:val="BodyText"/>
        <w:spacing w:before="205"/>
        <w:ind w:left="105" w:right="105"/>
        <w:jc w:val="center"/>
        <w:rPr>
          <w:b/>
        </w:rPr>
      </w:pPr>
      <w:r>
        <w:rPr>
          <w:b/>
        </w:rPr>
        <w:t>Articolo II</w:t>
      </w:r>
    </w:p>
    <w:p w14:paraId="2EE476EE" w14:textId="2C3D0D68" w:rsidR="00E30B60" w:rsidRDefault="00CB547F">
      <w:pPr>
        <w:pStyle w:val="BodyText"/>
        <w:spacing w:before="217" w:line="276" w:lineRule="auto"/>
        <w:ind w:left="105" w:right="103" w:firstLine="226"/>
        <w:jc w:val="both"/>
      </w:pPr>
      <w:r>
        <w:t>La legge n. 302/2019 relativa a un sistema di restituzione dei depositi per i contenitori per bevande usa e getta e alla modifica di taluni atti, come modificata dalla legge n. 74/2020, dalla legge n. 285/2020 e dalla legge n. 372/2021, è modificata come segue:</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All'articolo 4, paragrafo 1, lettera h), il testo "l e m)" è sostituito da "1, m) e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All'articolo 7, paragrafo 1, è aggiunta la seguente lettera v):</w:t>
      </w:r>
    </w:p>
    <w:p w14:paraId="05E6705E" w14:textId="1AC38935" w:rsidR="00E30B60" w:rsidRDefault="00CB547F">
      <w:pPr>
        <w:pStyle w:val="BodyText"/>
        <w:spacing w:before="105" w:line="244" w:lineRule="auto"/>
        <w:ind w:left="785" w:right="103" w:hanging="397"/>
        <w:jc w:val="both"/>
      </w:pPr>
      <w:r>
        <w:t>"v) riferisce al ministero sul contenuto di plastica riciclata nei prodotti conformemente agli obblighi di un fabbricante di imballaggi ai sensi della legislazione speciale</w:t>
      </w:r>
      <w:r>
        <w:rPr>
          <w:sz w:val="10"/>
        </w:rPr>
        <w:t>11a</w:t>
      </w:r>
      <w:r>
        <w:t>) entro il 30 aprile per l'anno civile precedente."</w:t>
      </w:r>
    </w:p>
    <w:p w14:paraId="747169BD" w14:textId="77777777" w:rsidR="00E30B60" w:rsidRDefault="00CB547F">
      <w:pPr>
        <w:pStyle w:val="BodyText"/>
        <w:spacing w:before="102"/>
        <w:ind w:left="615"/>
        <w:jc w:val="both"/>
      </w:pPr>
      <w:r>
        <w:t xml:space="preserve">La nota </w:t>
      </w:r>
      <w:proofErr w:type="gramStart"/>
      <w:r>
        <w:t>11a</w:t>
      </w:r>
      <w:proofErr w:type="gramEnd"/>
      <w:r>
        <w:t xml:space="preserve"> recita:</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Articolo 75 quinquies, paragrafi 4 e 5, della legge n. 79/2015 sui rifiuti e sulle modifiche di taluni atti, come modificata."</w:t>
      </w:r>
    </w:p>
    <w:p w14:paraId="3C4273E1" w14:textId="2947D27D" w:rsidR="00E30B60" w:rsidRPr="00C03E30" w:rsidRDefault="00CB547F" w:rsidP="00C03E30">
      <w:pPr>
        <w:pStyle w:val="ListParagraph"/>
        <w:numPr>
          <w:ilvl w:val="0"/>
          <w:numId w:val="1"/>
        </w:numPr>
        <w:tabs>
          <w:tab w:val="left" w:pos="389"/>
        </w:tabs>
        <w:spacing w:before="102"/>
        <w:ind w:right="0"/>
        <w:jc w:val="both"/>
        <w:rPr>
          <w:sz w:val="20"/>
        </w:rPr>
      </w:pPr>
      <w:r>
        <w:rPr>
          <w:sz w:val="20"/>
        </w:rPr>
        <w:lastRenderedPageBreak/>
        <w:t>All'articolo 13, lettera i), è inserita una virgola dopo il testo "da p) a s)" e il testo "e u)" è sostituito da "u) e v)".</w:t>
      </w:r>
    </w:p>
    <w:p w14:paraId="5C64465E" w14:textId="77777777" w:rsidR="00E30B60" w:rsidRDefault="00CB547F">
      <w:pPr>
        <w:pStyle w:val="ListParagraph"/>
        <w:numPr>
          <w:ilvl w:val="0"/>
          <w:numId w:val="1"/>
        </w:numPr>
        <w:tabs>
          <w:tab w:val="left" w:pos="389"/>
        </w:tabs>
        <w:spacing w:before="125"/>
        <w:ind w:right="0"/>
        <w:rPr>
          <w:sz w:val="20"/>
        </w:rPr>
      </w:pPr>
      <w:r>
        <w:rPr>
          <w:sz w:val="20"/>
        </w:rPr>
        <w:t>All'articolo IV, il testo "e l'articolo 103, paragrafo 23, punto 5" è soppresso e alla fine è aggiunto il testo seguente:</w:t>
      </w:r>
    </w:p>
    <w:p w14:paraId="0DEC76DE" w14:textId="77777777" w:rsidR="00E30B60" w:rsidRDefault="00CB547F">
      <w:pPr>
        <w:pStyle w:val="BodyText"/>
        <w:spacing w:before="6"/>
        <w:ind w:left="388"/>
      </w:pPr>
      <w:r>
        <w:t>"e ad eccezione dell'articolo III, dell'articolo 103, paragrafo 23, punto 5, che entra in vigore il 1º gennaio 2023".</w:t>
      </w:r>
    </w:p>
    <w:p w14:paraId="4398D9A5" w14:textId="77777777" w:rsidR="00E30B60" w:rsidRDefault="00CB547F">
      <w:pPr>
        <w:pStyle w:val="ListParagraph"/>
        <w:numPr>
          <w:ilvl w:val="0"/>
          <w:numId w:val="1"/>
        </w:numPr>
        <w:tabs>
          <w:tab w:val="left" w:pos="389"/>
        </w:tabs>
        <w:spacing w:before="105"/>
        <w:ind w:right="0"/>
        <w:rPr>
          <w:sz w:val="20"/>
        </w:rPr>
      </w:pPr>
      <w:r>
        <w:rPr>
          <w:sz w:val="20"/>
        </w:rPr>
        <w:t>Il testo esistente dell'allegato 2 viene contrassegnato come punto 1 ed è aggiunto il seguente punto 2:</w:t>
      </w:r>
    </w:p>
    <w:p w14:paraId="59E27538" w14:textId="77777777" w:rsidR="00E30B60" w:rsidRDefault="00CB547F">
      <w:pPr>
        <w:pStyle w:val="BodyText"/>
        <w:spacing w:before="105" w:line="244" w:lineRule="auto"/>
        <w:ind w:left="785" w:hanging="397"/>
      </w:pPr>
      <w:r>
        <w:t>“</w:t>
      </w:r>
      <w:proofErr w:type="gramStart"/>
      <w:r>
        <w:t>2.Direttiva</w:t>
      </w:r>
      <w:proofErr w:type="gramEnd"/>
      <w:r>
        <w:t xml:space="preserve"> (UE) 2019/904 del Parlamento europeo e del Consiglio, del 5 giugno 2019, sulla riduzione degli effetti di taluni prodotti in plastica sull'ambiente (GU L 155 del 12.6.2019).";</w:t>
      </w:r>
    </w:p>
    <w:p w14:paraId="5FB7BCDC" w14:textId="77777777" w:rsidR="00E30B60" w:rsidRDefault="00CB547F">
      <w:pPr>
        <w:pStyle w:val="BodyText"/>
        <w:spacing w:before="204"/>
        <w:ind w:left="105" w:right="105"/>
        <w:jc w:val="center"/>
        <w:rPr>
          <w:b/>
        </w:rPr>
      </w:pPr>
      <w:r>
        <w:rPr>
          <w:b/>
        </w:rPr>
        <w:t>Articolo III</w:t>
      </w:r>
    </w:p>
    <w:p w14:paraId="26D523C2" w14:textId="77777777" w:rsidR="00E30B60" w:rsidRDefault="00CB547F">
      <w:pPr>
        <w:pStyle w:val="BodyText"/>
        <w:spacing w:before="217" w:line="276" w:lineRule="auto"/>
        <w:ind w:left="105" w:right="103" w:firstLine="226"/>
        <w:jc w:val="both"/>
      </w:pPr>
      <w:r>
        <w:t xml:space="preserve">La presente legge entra in vigore il 1 dicembre 2021, ad eccezione dell'articolo I, punti 3 e 6, del paragrafo 75 </w:t>
      </w:r>
      <w:proofErr w:type="spellStart"/>
      <w:r>
        <w:t>septies</w:t>
      </w:r>
      <w:proofErr w:type="spellEnd"/>
      <w:r>
        <w:t xml:space="preserve">, punto 1 e il punto 11, che entra in vigore il 1 gennaio 2022, dell'articolo I, punto 6 del paragrafo 75 </w:t>
      </w:r>
      <w:proofErr w:type="spellStart"/>
      <w:r>
        <w:t>septies</w:t>
      </w:r>
      <w:proofErr w:type="spellEnd"/>
      <w:r>
        <w:t>, lettera d) e punto 6, che entra in vigore il 1 dicembre 2021, dell'articolo I, punto 6, dell'articolo 75 quinquies, paragrafo 1, che entra in vigore il 1 dicembre 2021, dell'articolo I, punto 6, dell'articolo 75 quinquies, paragrafo 4, lettera a) che entra in vigore il 1 gennaio 2025 e dell'articolo I, punto 6, dell'articolo 75 quinquies, paragrafo 4, lettera b), che entra in vigore il 1 gennaio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proofErr w:type="spellStart"/>
      <w:r>
        <w:rPr>
          <w:b/>
        </w:rPr>
        <w:t>Zuzana</w:t>
      </w:r>
      <w:proofErr w:type="spellEnd"/>
      <w:r>
        <w:rPr>
          <w:b/>
        </w:rPr>
        <w:t xml:space="preserve"> </w:t>
      </w:r>
      <w:proofErr w:type="spellStart"/>
      <w:r>
        <w:rPr>
          <w:b/>
        </w:rPr>
        <w:t>Čaputová</w:t>
      </w:r>
      <w:proofErr w:type="spellEnd"/>
      <w:r>
        <w:rPr>
          <w:b/>
        </w:rPr>
        <w:t xml:space="preserve"> </w:t>
      </w:r>
      <w:proofErr w:type="spellStart"/>
      <w:r>
        <w:rPr>
          <w:b/>
        </w:rPr>
        <w:t>m.p.</w:t>
      </w:r>
      <w:proofErr w:type="spellEnd"/>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w:t>
      </w:r>
      <w:proofErr w:type="spellStart"/>
      <w:r>
        <w:rPr>
          <w:b/>
        </w:rPr>
        <w:t>m.p.</w:t>
      </w:r>
      <w:proofErr w:type="spellEnd"/>
      <w:r>
        <w:rPr>
          <w:b/>
        </w:rPr>
        <w:t xml:space="preserve"> Eduard </w:t>
      </w:r>
      <w:proofErr w:type="spellStart"/>
      <w:r>
        <w:rPr>
          <w:b/>
        </w:rPr>
        <w:t>Heger</w:t>
      </w:r>
      <w:proofErr w:type="spellEnd"/>
      <w:r>
        <w:rPr>
          <w:b/>
        </w:rPr>
        <w:t xml:space="preserve"> </w:t>
      </w:r>
      <w:proofErr w:type="spellStart"/>
      <w:r>
        <w:rPr>
          <w:b/>
        </w:rPr>
        <w:t>m.p.</w:t>
      </w:r>
      <w:proofErr w:type="spellEnd"/>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44874166" w:rsidR="00E30B60" w:rsidRDefault="009A5051">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Pagina 11</w:t>
      </w:r>
      <w:r w:rsidR="00C03E30">
        <w:tab/>
      </w:r>
      <w:r w:rsidR="00D0358C">
        <w:t xml:space="preserve"> Raccolta di leggi della Repubblica slovacca </w:t>
      </w:r>
      <w:r w:rsidR="00D0358C">
        <w:tab/>
      </w:r>
      <w:r w:rsidR="00C03E30">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9A5051">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t xml:space="preserve">L'editore della raccolta di leggi della Repubblica slovacca, amministratore dei contenuti e operatore del portale legale e informativo </w:t>
      </w:r>
      <w:proofErr w:type="spellStart"/>
      <w:r>
        <w:t>Slov-Lex</w:t>
      </w:r>
      <w:proofErr w:type="spellEnd"/>
      <w:r>
        <w:t xml:space="preserve"> disponibile </w:t>
      </w:r>
      <w:r>
        <w:rPr>
          <w:sz w:val="18"/>
        </w:rPr>
        <w:t xml:space="preserve">all'indirizzo </w:t>
      </w:r>
      <w:hyperlink r:id="rId10">
        <w:r>
          <w:rPr>
            <w:sz w:val="18"/>
          </w:rPr>
          <w:t>www.slov-lex.sk</w:t>
        </w:r>
      </w:hyperlink>
      <w:r>
        <w:rPr>
          <w:sz w:val="18"/>
        </w:rPr>
        <w:t>è</w:t>
      </w:r>
    </w:p>
    <w:p w14:paraId="38FEE7A0" w14:textId="77777777" w:rsidR="00E30B60" w:rsidRDefault="00CB547F">
      <w:pPr>
        <w:spacing w:before="1" w:line="244" w:lineRule="auto"/>
        <w:ind w:left="1754" w:right="1752"/>
        <w:jc w:val="center"/>
        <w:rPr>
          <w:sz w:val="18"/>
        </w:rPr>
      </w:pPr>
      <w:r>
        <w:rPr>
          <w:sz w:val="18"/>
        </w:rPr>
        <w:t xml:space="preserve">Ufficio del governo della Repubblica Slovacca,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DC1F" w14:textId="77777777" w:rsidR="009A5051" w:rsidRDefault="009A5051">
      <w:r>
        <w:separator/>
      </w:r>
    </w:p>
  </w:endnote>
  <w:endnote w:type="continuationSeparator" w:id="0">
    <w:p w14:paraId="5DB922FE" w14:textId="77777777" w:rsidR="009A5051" w:rsidRDefault="009A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400C" w14:textId="77777777" w:rsidR="009A5051" w:rsidRDefault="009A5051">
      <w:r>
        <w:separator/>
      </w:r>
    </w:p>
  </w:footnote>
  <w:footnote w:type="continuationSeparator" w:id="0">
    <w:p w14:paraId="0FFB701A" w14:textId="77777777" w:rsidR="009A5051" w:rsidRDefault="009A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CD2DCCA" w:rsidR="00E30B60" w:rsidRDefault="009A5051">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83.4pt;margin-top:39.3pt;width:241.9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Raccolta delle leggi della Repubblica Slovacca</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Pagina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5322967E" w:rsidR="00E30B60" w:rsidRDefault="009A5051">
    <w:pPr>
      <w:pStyle w:val="BodyText"/>
      <w:spacing w:line="14" w:lineRule="auto"/>
    </w:pPr>
    <w:r>
      <w:pict w14:anchorId="7F7A7A74">
        <v:shapetype id="_x0000_t202" coordsize="21600,21600" o:spt="202" path="m,l,21600r21600,l21600,xe">
          <v:stroke joinstyle="miter"/>
          <v:path gradientshapeok="t" o:connecttype="rect"/>
        </v:shapetype>
        <v:shape id="_x0000_s1025" type="#_x0000_t202" style="position:absolute;margin-left:490.25pt;margin-top:39.3pt;width:52.7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Pagina </w:t>
                </w:r>
                <w:r>
                  <w:fldChar w:fldCharType="begin"/>
                </w:r>
                <w:r>
                  <w:instrText xml:space="preserve"> PAGE </w:instrText>
                </w:r>
                <w:r>
                  <w:fldChar w:fldCharType="separate"/>
                </w:r>
                <w:r>
                  <w:t>3</w:t>
                </w:r>
                <w:r>
                  <w:fldChar w:fldCharType="end"/>
                </w:r>
              </w:p>
            </w:txbxContent>
          </v:textbox>
          <w10:wrap anchorx="page" anchory="page"/>
        </v:shape>
      </w:pict>
    </w:r>
    <w:r>
      <w:pict w14:anchorId="0C2195BF">
        <v:shape id="_x0000_s1026" type="#_x0000_t202" style="position:absolute;margin-left:191.55pt;margin-top:39.3pt;width:238.5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Raccolta delle leggi della Repubblica Slovacca</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134001"/>
    <w:rsid w:val="00470FBD"/>
    <w:rsid w:val="009A5051"/>
    <w:rsid w:val="00B12296"/>
    <w:rsid w:val="00C03E30"/>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3E30"/>
    <w:pPr>
      <w:tabs>
        <w:tab w:val="center" w:pos="4536"/>
        <w:tab w:val="right" w:pos="9072"/>
      </w:tabs>
    </w:pPr>
  </w:style>
  <w:style w:type="character" w:customStyle="1" w:styleId="HeaderChar">
    <w:name w:val="Header Char"/>
    <w:basedOn w:val="DefaultParagraphFont"/>
    <w:link w:val="Header"/>
    <w:uiPriority w:val="99"/>
    <w:rsid w:val="00C03E30"/>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C03E30"/>
    <w:pPr>
      <w:tabs>
        <w:tab w:val="center" w:pos="4536"/>
        <w:tab w:val="right" w:pos="9072"/>
      </w:tabs>
    </w:pPr>
  </w:style>
  <w:style w:type="character" w:customStyle="1" w:styleId="FooterChar">
    <w:name w:val="Footer Char"/>
    <w:basedOn w:val="DefaultParagraphFont"/>
    <w:link w:val="Footer"/>
    <w:uiPriority w:val="99"/>
    <w:rsid w:val="00C03E30"/>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4398</Words>
  <Characters>24191</Characters>
  <Application>Microsoft Office Word</Application>
  <DocSecurity>0</DocSecurity>
  <Lines>503</Lines>
  <Paragraphs>246</Paragraphs>
  <ScaleCrop>false</ScaleCrop>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2022-03-29T08:12:00Z</dcterms:created>
  <dcterms:modified xsi:type="dcterms:W3CDTF">2022-03-29T08:44:00Z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