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710" w:rsidRPr="00B00403" w:rsidRDefault="00FD2710" w:rsidP="00FD2710">
      <w:pPr>
        <w:pStyle w:val="PlainText"/>
        <w:rPr>
          <w:rFonts w:ascii="Courier New" w:hAnsi="Courier New" w:cs="Courier New"/>
          <w:sz w:val="20"/>
          <w:szCs w:val="20"/>
        </w:rPr>
      </w:pPr>
      <w:r>
        <w:rPr>
          <w:rFonts w:ascii="Courier New" w:hAnsi="Courier New"/>
          <w:sz w:val="20"/>
        </w:rPr>
        <w:t xml:space="preserve">1. ------IND- 2018 0649 FIN FR- ------ 20190107 --- --- PROJET </w:t>
      </w:r>
    </w:p>
    <w:p w:rsidR="00FD2710" w:rsidRDefault="00FD2710" w:rsidP="006A1A37">
      <w:pPr>
        <w:pStyle w:val="LLMinisterionAsetus"/>
      </w:pPr>
    </w:p>
    <w:p w:rsidR="006A1A37" w:rsidRDefault="006A1A37" w:rsidP="006A1A37">
      <w:pPr>
        <w:pStyle w:val="LLMinisterionAsetus"/>
      </w:pPr>
      <w:r>
        <w:t>Décret du ministère de l’environnement</w:t>
      </w:r>
    </w:p>
    <w:p w:rsidR="004A0CA1" w:rsidRPr="004A0CA1" w:rsidRDefault="00906592" w:rsidP="00466C8C">
      <w:pPr>
        <w:pStyle w:val="LLSaadoksenNimi"/>
        <w:tabs>
          <w:tab w:val="center" w:pos="4173"/>
          <w:tab w:val="left" w:pos="7651"/>
        </w:tabs>
        <w:jc w:val="left"/>
      </w:pPr>
      <w:r>
        <w:t>relatif aux principales exigences techniques sur la robinetterie destinée aux équipements de plomberie des habitations</w:t>
      </w:r>
    </w:p>
    <w:p w:rsidR="004A0CA1" w:rsidRDefault="004A0CA1" w:rsidP="004A0CA1">
      <w:pPr>
        <w:pStyle w:val="LLNormaali"/>
      </w:pPr>
    </w:p>
    <w:p w:rsidR="00B11F6F" w:rsidRDefault="00B11F6F" w:rsidP="00B11F6F">
      <w:pPr>
        <w:pStyle w:val="LLJohtolauseKappaleet"/>
      </w:pPr>
      <w:r>
        <w:t>Conformément à la décision du ministère de l’environnement et en vertu de l’article 117 c, paragraphe 3, de la loi relative à l’aménagement du territoire et à la construction (132/1999), telle que modifiée par la loi (958/2012), il est décrété ce qui suit:</w:t>
      </w:r>
    </w:p>
    <w:p w:rsidR="006A1A37" w:rsidRDefault="006A1A37" w:rsidP="00E83137">
      <w:pPr>
        <w:pStyle w:val="LLPykala"/>
        <w:keepNext/>
        <w:keepLines/>
        <w:spacing w:before="240" w:after="240"/>
      </w:pPr>
      <w:r>
        <w:t>Article premier</w:t>
      </w:r>
    </w:p>
    <w:p w:rsidR="006A1A37" w:rsidRDefault="006A1A37" w:rsidP="00E83137">
      <w:pPr>
        <w:pStyle w:val="LLPykalanOtsikko"/>
        <w:keepNext/>
        <w:keepLines/>
      </w:pPr>
      <w:r>
        <w:t>Champ d’application du décret</w:t>
      </w:r>
    </w:p>
    <w:p w:rsidR="00B11F6F" w:rsidRDefault="00B11F6F" w:rsidP="00E83137">
      <w:pPr>
        <w:pStyle w:val="LLVoimaantulokappale"/>
      </w:pPr>
      <w:r>
        <w:t xml:space="preserve">Le présent décret concerne les principales exigences sur la robinetterie située dans des bâtiments et des biens immobiliers et conçue pour la conduite d’eau destinée à la consommation humaine et d’eau chaude sanitaire. </w:t>
      </w:r>
    </w:p>
    <w:p w:rsidR="006A1A37" w:rsidRDefault="006A1A37" w:rsidP="00E83137">
      <w:pPr>
        <w:pStyle w:val="LLPykala"/>
        <w:keepNext/>
        <w:keepLines/>
        <w:spacing w:before="240" w:after="240"/>
      </w:pPr>
      <w:r>
        <w:t>Article 2</w:t>
      </w:r>
    </w:p>
    <w:p w:rsidR="006A1A37" w:rsidRDefault="006A1A37" w:rsidP="00E83137">
      <w:pPr>
        <w:pStyle w:val="LLPykalanOtsikko"/>
        <w:keepNext/>
        <w:keepLines/>
      </w:pPr>
      <w:r>
        <w:t>Définitions</w:t>
      </w:r>
    </w:p>
    <w:p w:rsidR="00B11F6F" w:rsidRDefault="00D46750" w:rsidP="00E83137">
      <w:pPr>
        <w:pStyle w:val="LLNormaali"/>
        <w:ind w:firstLine="142"/>
        <w:jc w:val="both"/>
      </w:pPr>
      <w:r>
        <w:t xml:space="preserve">On entend par </w:t>
      </w:r>
      <w:r>
        <w:rPr>
          <w:i/>
        </w:rPr>
        <w:t>robinetterie</w:t>
      </w:r>
      <w:r>
        <w:t xml:space="preserve"> différents types de robinets destinés au captage d’eau. Une robinetterie peut être de type mitigeur quand elle est raccordée à une conduite d’eau froide et à une conduite d’eau chaude, ou peut être un robinet de sortie quand elle est raccordée à une conduite d’eau froide ou à une conduite d’eau chaude.</w:t>
      </w:r>
    </w:p>
    <w:p w:rsidR="006A1A37" w:rsidRDefault="006A1A37" w:rsidP="00E83137">
      <w:pPr>
        <w:pStyle w:val="LLPykala"/>
        <w:keepNext/>
        <w:keepLines/>
        <w:spacing w:before="240" w:after="240"/>
      </w:pPr>
      <w:r>
        <w:t>Article 3</w:t>
      </w:r>
    </w:p>
    <w:p w:rsidR="00B11F6F" w:rsidRDefault="00B11F6F" w:rsidP="00E83137">
      <w:pPr>
        <w:pStyle w:val="LLPykalanOtsikko"/>
        <w:keepNext/>
        <w:keepLines/>
      </w:pPr>
      <w:r>
        <w:t xml:space="preserve">Aptitude à faire circuler l’eau domestique </w:t>
      </w:r>
    </w:p>
    <w:p w:rsidR="00941742" w:rsidRPr="00666BA2" w:rsidRDefault="00941742" w:rsidP="00666BA2">
      <w:pPr>
        <w:pStyle w:val="LLVoimaantulokappale"/>
      </w:pPr>
      <w:r>
        <w:t>La robinetterie ne doit pas laisser passer dans l’eau des substances nocives, ni diminuer la qualité de l’eau. Les matériaux en contact avec l’eau doivent être adaptés à l’utilisation d’eau domestique.</w:t>
      </w:r>
    </w:p>
    <w:p w:rsidR="00E02713" w:rsidRPr="00666BA2" w:rsidRDefault="00E02713" w:rsidP="00666BA2">
      <w:pPr>
        <w:pStyle w:val="LLVoimaantulokappale"/>
      </w:pPr>
      <w:r>
        <w:t>La teneur en plomb dissous dans l’eau-test issu</w:t>
      </w:r>
      <w:r w:rsidR="00C57A5F">
        <w:t>e</w:t>
      </w:r>
      <w:r>
        <w:t xml:space="preserve"> du matériau de fabrication de la robinetterie ne doit pas dépasser cinq µg par litre quand le matériau a été testé par un essai de trempage de 26 semaines correspondant aux conditions d’utilisation réelles. L’acidité (valeur pH) de l’eau-test doit se situer entre 6,7 et 8,4, la valeur d’alcalinité entre 0,5 et 1,3 mmol par litre, et la valeur de saturation en oxygène au-delà de 70 %. L’eau-test doit être stabilisée pendant quatre heures avant le prélèvement de l’échantillon d’eau.</w:t>
      </w:r>
    </w:p>
    <w:p w:rsidR="00E02713" w:rsidRPr="00666BA2" w:rsidRDefault="00E02713" w:rsidP="00666BA2">
      <w:pPr>
        <w:pStyle w:val="LLVoimaantulokappale"/>
      </w:pPr>
      <w:r>
        <w:t>Une autre exigence possible concernant le produit est que la quantité de plomb dissous dans l’eau issu</w:t>
      </w:r>
      <w:r w:rsidR="00C57A5F">
        <w:t>e</w:t>
      </w:r>
      <w:r>
        <w:t xml:space="preserve"> de la robinetterie puisse être de 5 µg maximum quand la dissolution est testée par un essai de dix jours. Lors de l’essai, un maximum de 2 µg de cadmium peut se dissoudre. La solution-test doit être une eau domestique synthétique renouvelable ayant une valeur d’acidité de 7,0±0,1.</w:t>
      </w:r>
    </w:p>
    <w:p w:rsidR="006A1A37" w:rsidRDefault="006A1A37" w:rsidP="00E83137">
      <w:pPr>
        <w:pStyle w:val="LLPykala"/>
        <w:keepNext/>
        <w:keepLines/>
        <w:spacing w:before="240" w:after="240"/>
      </w:pPr>
      <w:r>
        <w:lastRenderedPageBreak/>
        <w:t xml:space="preserve">Article 4 </w:t>
      </w:r>
    </w:p>
    <w:p w:rsidR="003B65C9" w:rsidRPr="00240E69" w:rsidRDefault="003B65C9" w:rsidP="00E83137">
      <w:pPr>
        <w:pStyle w:val="LLPykalanOtsikko"/>
        <w:keepNext/>
        <w:keepLines/>
        <w:rPr>
          <w:i w:val="0"/>
        </w:rPr>
      </w:pPr>
      <w:r>
        <w:t xml:space="preserve">Résistance à la corrosion des parties métalliques </w:t>
      </w:r>
    </w:p>
    <w:p w:rsidR="00FA22B7" w:rsidRPr="00666BA2" w:rsidRDefault="0062671D" w:rsidP="00666BA2">
      <w:pPr>
        <w:pStyle w:val="LLVoimaantulokappale"/>
      </w:pPr>
      <w:r>
        <w:t>Dans la robinetterie, les éléments métalliques pouvant entrer en contact avec l’eau doivent être résistants à la corrosion. Les éléments du corps qui sont en laiton et sont soumis à la pression de l’eau doivent être faits dans un laiton résistant à la perte de zinc.</w:t>
      </w:r>
    </w:p>
    <w:p w:rsidR="003454BB" w:rsidRPr="00666BA2" w:rsidRDefault="00CF1338" w:rsidP="00666BA2">
      <w:pPr>
        <w:pStyle w:val="LLVoimaantulokappale"/>
      </w:pPr>
      <w:r>
        <w:t>La valeur maximale de la profondeur de la perte de zinc de la robinetterie ne doit pas dépasser 200 micromètres. La détermination de la perte de zinc n’est pas exigée quand la teneur en zinc de la composition de la robinetterie ne dépasse pas 15 %.</w:t>
      </w:r>
    </w:p>
    <w:p w:rsidR="00E744B5" w:rsidRPr="007C4179" w:rsidRDefault="00E744B5" w:rsidP="00E83137">
      <w:pPr>
        <w:pStyle w:val="LLPykala"/>
        <w:keepNext/>
        <w:keepLines/>
        <w:spacing w:before="240" w:after="240"/>
      </w:pPr>
      <w:r>
        <w:t>Article 5</w:t>
      </w:r>
    </w:p>
    <w:p w:rsidR="00E744B5" w:rsidRDefault="00825138" w:rsidP="00E83137">
      <w:pPr>
        <w:pStyle w:val="LLPykalanOtsikko"/>
        <w:keepNext/>
        <w:keepLines/>
      </w:pPr>
      <w:r>
        <w:t>Surface et facilité d’utilisation</w:t>
      </w:r>
    </w:p>
    <w:p w:rsidR="00E744B5" w:rsidRPr="00087684" w:rsidRDefault="007362A4" w:rsidP="00666BA2">
      <w:pPr>
        <w:pStyle w:val="LLVoimaantulokappale"/>
      </w:pPr>
      <w:r>
        <w:t>La surface externe de la robinetterie doit être lisse et sans défauts, et ne doit pas présenter d’excroissances coupantes.</w:t>
      </w:r>
    </w:p>
    <w:p w:rsidR="00F81B7A" w:rsidRDefault="00F81B7A" w:rsidP="00666BA2">
      <w:pPr>
        <w:pStyle w:val="LLVoimaantulokappale"/>
      </w:pPr>
      <w:r>
        <w:t xml:space="preserve">La robinetterie doit être facile d’utilisation, et nettoyable sans produits spéciaux. </w:t>
      </w:r>
    </w:p>
    <w:p w:rsidR="00672FB4" w:rsidRDefault="00AC7A11" w:rsidP="00666BA2">
      <w:pPr>
        <w:pStyle w:val="LLVoimaantulokappale"/>
      </w:pPr>
      <w:r>
        <w:t>Le fabricant doit indiquer la température de surface du déclencheur de la robinetterie après une minute d’écoulement d’eau, quand la température de l’eau qui coule est de 65 °C.</w:t>
      </w:r>
    </w:p>
    <w:p w:rsidR="00C86296" w:rsidRPr="007C4179" w:rsidRDefault="00C86296" w:rsidP="00E83137">
      <w:pPr>
        <w:pStyle w:val="LLPykala"/>
        <w:keepNext/>
        <w:keepLines/>
        <w:spacing w:before="240" w:after="240"/>
      </w:pPr>
      <w:r>
        <w:t>Article 6</w:t>
      </w:r>
    </w:p>
    <w:p w:rsidR="00C86296" w:rsidRDefault="00C86296" w:rsidP="00E83137">
      <w:pPr>
        <w:pStyle w:val="LLPykalanOtsikko"/>
        <w:keepNext/>
        <w:keepLines/>
      </w:pPr>
      <w:r>
        <w:t xml:space="preserve">Caractéristiques d’utilisation </w:t>
      </w:r>
    </w:p>
    <w:p w:rsidR="00794C43" w:rsidRPr="00794C43" w:rsidRDefault="008829DC" w:rsidP="00666BA2">
      <w:pPr>
        <w:pStyle w:val="LLVoimaantulokappale"/>
      </w:pPr>
      <w:r>
        <w:t xml:space="preserve">La robinetterie doit être munie d’une marque bleue pour l’eau froide et rouge pour l’eau chaude. Sur un robinet thermostatique, les directions de réglage de la température peuvent également être indiquées par une échelle de température ou par des symboles. </w:t>
      </w:r>
    </w:p>
    <w:p w:rsidR="00E744B5" w:rsidRDefault="00A667E3" w:rsidP="00666BA2">
      <w:pPr>
        <w:pStyle w:val="LLVoimaantulokappale"/>
      </w:pPr>
      <w:r>
        <w:t>Si la robinetterie dispose d’une vanne de machine à laver, la position fermé-ouvert de la vanne doit être aisément visible.</w:t>
      </w:r>
    </w:p>
    <w:p w:rsidR="00D77A6E" w:rsidRPr="003A0B6F" w:rsidRDefault="00EC2FF4" w:rsidP="00E83137">
      <w:pPr>
        <w:pStyle w:val="LLPykala"/>
        <w:keepNext/>
        <w:keepLines/>
        <w:spacing w:before="240" w:after="240"/>
      </w:pPr>
      <w:r>
        <w:t>Article 7</w:t>
      </w:r>
    </w:p>
    <w:p w:rsidR="003C6781" w:rsidRPr="003A0B6F" w:rsidRDefault="00AA6FA0" w:rsidP="00E83137">
      <w:pPr>
        <w:pStyle w:val="LLPykalanOtsikko"/>
        <w:keepNext/>
        <w:keepLines/>
      </w:pPr>
      <w:r>
        <w:t>Robinets électroniques</w:t>
      </w:r>
    </w:p>
    <w:p w:rsidR="00312926" w:rsidRPr="00666BA2" w:rsidRDefault="00AA6FA0" w:rsidP="00666BA2">
      <w:pPr>
        <w:pStyle w:val="LLVoimaantulokappale"/>
      </w:pPr>
      <w:r>
        <w:t xml:space="preserve">La tension d’usage d’un robinet électronique ne doit pas dépasser 42 V CA ou 72 V CC. La source de courant peut être un transformateur branché sur le secteur, une pile ou toute autre source de courant. </w:t>
      </w:r>
    </w:p>
    <w:p w:rsidR="000D1CBA" w:rsidRPr="003A0B6F" w:rsidRDefault="000D1CBA" w:rsidP="00666BA2">
      <w:pPr>
        <w:pStyle w:val="LLVoimaantulokappale"/>
      </w:pPr>
      <w:r>
        <w:t>La classe de protection des dispositifs électriques d’un robinet électronique doit être indiquée. La classe de protection doit être au moins IP 44 pour les robinets de lavabo et de cuisine et IP 67 pour les robinets de douche.</w:t>
      </w:r>
    </w:p>
    <w:p w:rsidR="00CE503F" w:rsidRPr="003A0B6F" w:rsidRDefault="003229D2" w:rsidP="00666BA2">
      <w:pPr>
        <w:pStyle w:val="LLVoimaantulokappale"/>
      </w:pPr>
      <w:r>
        <w:t xml:space="preserve">Un robinet fonctionnant sur secteur doit fermer l’arrivée d’eau quand l’alimentation électrique s’arrête. Un robinet à pile ne doit pas ouvrir l’arrivée d’eau si la tension de la pile descend sous le seuil de fonctionnement. </w:t>
      </w:r>
    </w:p>
    <w:p w:rsidR="00E744B5" w:rsidRDefault="00EC2FF4" w:rsidP="00E83137">
      <w:pPr>
        <w:pStyle w:val="LLPykala"/>
        <w:keepNext/>
        <w:keepLines/>
        <w:spacing w:before="240" w:after="240"/>
      </w:pPr>
      <w:r>
        <w:t>Article 8</w:t>
      </w:r>
    </w:p>
    <w:p w:rsidR="00E744B5" w:rsidRPr="00666BA2" w:rsidRDefault="00D90E06" w:rsidP="00E83137">
      <w:pPr>
        <w:pStyle w:val="LLPykalanOtsikko"/>
        <w:keepNext/>
        <w:keepLines/>
      </w:pPr>
      <w:r>
        <w:t>Structure et dimensions</w:t>
      </w:r>
    </w:p>
    <w:p w:rsidR="00FE7A30" w:rsidRPr="000213F6" w:rsidRDefault="00FE7A30" w:rsidP="00666BA2">
      <w:pPr>
        <w:pStyle w:val="LLVoimaantulokappale"/>
      </w:pPr>
      <w:r>
        <w:t xml:space="preserve">La robinetterie doit pouvoir, par sa structure et ses dimensions, être fixée à un endroit conforme à la destination prévue de la robinetterie. Les dimensions principales de la robinetterie doivent être conformes au tableau 1. Pour le raccordement à la conduite d’eau, les connecteurs ou les tuyaux de connexion de la robinetterie doivent pouvoir être raccordés aux tuyaux de connexion de la conduite d’eau, avec des éléments de jonction destinés à des robinets. </w:t>
      </w:r>
    </w:p>
    <w:p w:rsidR="0099645F" w:rsidRDefault="00FE7A30" w:rsidP="00666BA2">
      <w:pPr>
        <w:pStyle w:val="LLVoimaantulokappale"/>
      </w:pPr>
      <w:r>
        <w:t>Une robinetterie destinée à être installée à l’intérieur d’un mur doit disposer d’un élément de surface amovible afin que le robinet puisse être examiné et réparé.</w:t>
      </w:r>
    </w:p>
    <w:p w:rsidR="002D5731" w:rsidRDefault="002D5731" w:rsidP="00666BA2">
      <w:pPr>
        <w:pStyle w:val="LLVoimaantulokappale"/>
      </w:pPr>
      <w:r>
        <w:lastRenderedPageBreak/>
        <w:t>L’angle de rotation du tuyau de refoulement des robinets d’appareil sanitaire doit être indiqué. Un tuyau de refoulement extractible de robinet de cuisine doit disposer d’un retour automatique.</w:t>
      </w:r>
    </w:p>
    <w:p w:rsidR="0099645F" w:rsidRDefault="0099645F" w:rsidP="0099645F">
      <w:pPr>
        <w:spacing w:line="220" w:lineRule="exact"/>
        <w:ind w:firstLine="170"/>
        <w:jc w:val="both"/>
        <w:rPr>
          <w:rFonts w:ascii="Times New Roman" w:hAnsi="Times New Roman"/>
        </w:rPr>
      </w:pPr>
    </w:p>
    <w:p w:rsidR="0099645F" w:rsidRPr="00E83137" w:rsidRDefault="00E83137"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Tableau 1. Dimensions principales de la robinetterie.</w:t>
      </w:r>
    </w:p>
    <w:p w:rsidR="00E83137" w:rsidRPr="00E83137" w:rsidRDefault="00E83137" w:rsidP="00E83137">
      <w:pPr>
        <w:keepNext/>
        <w:keepLines/>
        <w:widowControl w:val="0"/>
        <w:ind w:right="56"/>
        <w:rPr>
          <w:rFonts w:ascii="Times New Roman" w:eastAsia="Times New Roman" w:hAnsi="Times New Roman"/>
          <w:snapToGrid w:val="0"/>
          <w:color w:val="000000"/>
          <w:sz w:val="20"/>
          <w:szCs w:val="20"/>
        </w:rPr>
      </w:pPr>
    </w:p>
    <w:tbl>
      <w:tblPr>
        <w:tblW w:w="7254" w:type="dxa"/>
        <w:tblInd w:w="-8" w:type="dxa"/>
        <w:tblLayout w:type="fixed"/>
        <w:tblCellMar>
          <w:left w:w="30" w:type="dxa"/>
          <w:right w:w="30" w:type="dxa"/>
        </w:tblCellMar>
        <w:tblLook w:val="0000" w:firstRow="0" w:lastRow="0" w:firstColumn="0" w:lastColumn="0" w:noHBand="0" w:noVBand="0"/>
      </w:tblPr>
      <w:tblGrid>
        <w:gridCol w:w="5850"/>
        <w:gridCol w:w="1404"/>
      </w:tblGrid>
      <w:tr w:rsidR="0099645F" w:rsidRPr="00F33C23" w:rsidTr="00E83137">
        <w:trPr>
          <w:cantSplit/>
        </w:trPr>
        <w:tc>
          <w:tcPr>
            <w:tcW w:w="5850" w:type="dxa"/>
            <w:tcBorders>
              <w:top w:val="single" w:sz="6" w:space="0" w:color="auto"/>
              <w:left w:val="single" w:sz="6" w:space="0" w:color="auto"/>
              <w:right w:val="single" w:sz="6" w:space="0" w:color="auto"/>
            </w:tcBorders>
          </w:tcPr>
          <w:p w:rsidR="0099645F" w:rsidRPr="00F33C23" w:rsidRDefault="0099645F" w:rsidP="00E83137">
            <w:pPr>
              <w:keepNext/>
              <w:keepLines/>
              <w:rPr>
                <w:rFonts w:ascii="Times New Roman" w:hAnsi="Times New Roman"/>
                <w:color w:val="000000"/>
                <w:sz w:val="20"/>
                <w:szCs w:val="20"/>
              </w:rPr>
            </w:pPr>
            <w:r>
              <w:rPr>
                <w:rFonts w:ascii="Times New Roman" w:hAnsi="Times New Roman"/>
                <w:color w:val="000000"/>
                <w:sz w:val="20"/>
              </w:rPr>
              <w:t>Type et grandeur de la robinetterie</w:t>
            </w:r>
          </w:p>
        </w:tc>
        <w:tc>
          <w:tcPr>
            <w:tcW w:w="1404" w:type="dxa"/>
            <w:tcBorders>
              <w:top w:val="single" w:sz="6" w:space="0" w:color="auto"/>
              <w:left w:val="single" w:sz="6" w:space="0" w:color="auto"/>
              <w:right w:val="single" w:sz="6" w:space="0" w:color="auto"/>
            </w:tcBorders>
          </w:tcPr>
          <w:p w:rsidR="0099645F" w:rsidRPr="00F33C23" w:rsidRDefault="0099645F" w:rsidP="00E83137">
            <w:pPr>
              <w:keepNext/>
              <w:keepLines/>
              <w:jc w:val="center"/>
              <w:rPr>
                <w:rFonts w:ascii="Times New Roman" w:hAnsi="Times New Roman"/>
                <w:color w:val="000000"/>
                <w:sz w:val="20"/>
                <w:szCs w:val="20"/>
              </w:rPr>
            </w:pPr>
            <w:r>
              <w:rPr>
                <w:rFonts w:ascii="Times New Roman" w:hAnsi="Times New Roman"/>
                <w:color w:val="000000"/>
                <w:sz w:val="20"/>
              </w:rPr>
              <w:t>Dimension</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Robinet mural</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Connecteurs d’arrivée, distance entre les axes centraux</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(150±1) mm</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taille de filetage</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¾</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longueur de filetage</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4831C9" w:rsidP="00E83137">
            <w:pPr>
              <w:jc w:val="center"/>
              <w:rPr>
                <w:rFonts w:ascii="Times New Roman" w:hAnsi="Times New Roman"/>
                <w:color w:val="000000"/>
                <w:sz w:val="20"/>
                <w:szCs w:val="20"/>
              </w:rPr>
            </w:pPr>
            <w:r>
              <w:rPr>
                <w:rFonts w:ascii="Times New Roman" w:hAnsi="Times New Roman"/>
                <w:color w:val="000000"/>
                <w:sz w:val="20"/>
              </w:rPr>
              <w:t>≥ 9 mm</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Distance du point central du trou de sortie du tuyau de refoulement par rapport au plan mural</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115 mm</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Autre trou de sortie, douche etc., taille de filetage</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½ B</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longueur de filetage</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8 mm</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Robinet d’appareil sanitaire (lavabo, évier)</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Hauteur du point le plus bas du trou de sortie du tuyau de refoulement par rapport au plan de la table</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25 mm</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E83137" w:rsidP="00E83137">
            <w:pPr>
              <w:rPr>
                <w:rFonts w:ascii="Times New Roman" w:hAnsi="Times New Roman"/>
                <w:color w:val="000000"/>
                <w:sz w:val="20"/>
                <w:szCs w:val="20"/>
              </w:rPr>
            </w:pPr>
            <w:r>
              <w:rPr>
                <w:rFonts w:ascii="Times New Roman" w:hAnsi="Times New Roman"/>
                <w:color w:val="000000"/>
                <w:sz w:val="20"/>
              </w:rPr>
              <w:t>Longueur des tuyaux de connexion</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350 mm</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Tuyaux de connexion en cuivre, diamètre externe</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10 mm</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Tuyaux de connexion souples, filetage de raccordement</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⅜</w:t>
            </w:r>
          </w:p>
        </w:tc>
      </w:tr>
    </w:tbl>
    <w:p w:rsidR="008528ED" w:rsidRDefault="00EC2FF4" w:rsidP="00E83137">
      <w:pPr>
        <w:pStyle w:val="LLPykala"/>
        <w:keepNext/>
        <w:keepLines/>
        <w:spacing w:before="240" w:after="240"/>
      </w:pPr>
      <w:r>
        <w:t>Article 9</w:t>
      </w:r>
    </w:p>
    <w:p w:rsidR="008528ED" w:rsidRPr="00BC54A7" w:rsidRDefault="008D28C7" w:rsidP="00E83137">
      <w:pPr>
        <w:pStyle w:val="LLPykalanOtsikko"/>
        <w:keepNext/>
        <w:keepLines/>
        <w:rPr>
          <w:i w:val="0"/>
          <w:color w:val="000000"/>
        </w:rPr>
      </w:pPr>
      <w:r>
        <w:rPr>
          <w:color w:val="000000"/>
        </w:rPr>
        <w:t>Débit standard</w:t>
      </w:r>
    </w:p>
    <w:p w:rsidR="00E744B5" w:rsidRDefault="00483C63" w:rsidP="00666BA2">
      <w:pPr>
        <w:pStyle w:val="LLVoimaantulokappale"/>
      </w:pPr>
      <w:r>
        <w:t>La robinetterie doit avoir les débits standards indiqués dans le tableau 2 et conformes à la destination.</w:t>
      </w:r>
    </w:p>
    <w:p w:rsidR="00E83137" w:rsidRDefault="00E83137" w:rsidP="00483C63">
      <w:pPr>
        <w:widowControl w:val="0"/>
        <w:ind w:right="56"/>
        <w:rPr>
          <w:rFonts w:ascii="Times New Roman" w:eastAsia="Times New Roman" w:hAnsi="Times New Roman"/>
          <w:snapToGrid w:val="0"/>
          <w:color w:val="000000"/>
          <w:sz w:val="20"/>
          <w:szCs w:val="20"/>
        </w:rPr>
      </w:pPr>
    </w:p>
    <w:p w:rsidR="00483C63" w:rsidRDefault="00483C6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Tableau 2. Débits standards conformes à la destination de la robinetterie, pour une pression de 3,0+0,2/-0 bar.</w:t>
      </w:r>
    </w:p>
    <w:p w:rsidR="00E83137" w:rsidRPr="00F20375" w:rsidRDefault="00E83137" w:rsidP="00E83137">
      <w:pPr>
        <w:keepNext/>
        <w:keepLines/>
        <w:widowControl w:val="0"/>
        <w:ind w:right="56"/>
        <w:rPr>
          <w:rFonts w:ascii="Times New Roman" w:eastAsia="Times New Roman" w:hAnsi="Times New Roman"/>
          <w:snapToGrid w:val="0"/>
          <w:color w:val="000000"/>
          <w:sz w:val="20"/>
          <w:szCs w:val="20"/>
        </w:rPr>
      </w:pPr>
    </w:p>
    <w:tbl>
      <w:tblPr>
        <w:tblW w:w="0" w:type="auto"/>
        <w:tblInd w:w="-8" w:type="dxa"/>
        <w:tblLayout w:type="fixed"/>
        <w:tblCellMar>
          <w:left w:w="30" w:type="dxa"/>
          <w:right w:w="30" w:type="dxa"/>
        </w:tblCellMar>
        <w:tblLook w:val="0000" w:firstRow="0" w:lastRow="0" w:firstColumn="0" w:lastColumn="0" w:noHBand="0" w:noVBand="0"/>
      </w:tblPr>
      <w:tblGrid>
        <w:gridCol w:w="3752"/>
        <w:gridCol w:w="1404"/>
        <w:gridCol w:w="1404"/>
      </w:tblGrid>
      <w:tr w:rsidR="00483C63" w:rsidTr="00E83137">
        <w:trPr>
          <w:cantSplit/>
        </w:trPr>
        <w:tc>
          <w:tcPr>
            <w:tcW w:w="3752" w:type="dxa"/>
            <w:vMerge w:val="restart"/>
            <w:tcBorders>
              <w:top w:val="single" w:sz="6" w:space="0" w:color="auto"/>
              <w:left w:val="single" w:sz="6" w:space="0" w:color="auto"/>
              <w:right w:val="single" w:sz="6" w:space="0" w:color="auto"/>
            </w:tcBorders>
          </w:tcPr>
          <w:p w:rsidR="00483C63" w:rsidRPr="00483C63" w:rsidRDefault="00483C63" w:rsidP="00E83137">
            <w:pPr>
              <w:keepNext/>
              <w:keepLines/>
              <w:spacing w:before="120"/>
              <w:rPr>
                <w:rFonts w:ascii="Times New Roman" w:hAnsi="Times New Roman"/>
                <w:color w:val="000000"/>
                <w:sz w:val="20"/>
                <w:szCs w:val="20"/>
              </w:rPr>
            </w:pPr>
            <w:r>
              <w:rPr>
                <w:rFonts w:ascii="Times New Roman" w:hAnsi="Times New Roman"/>
                <w:color w:val="000000"/>
                <w:sz w:val="20"/>
              </w:rPr>
              <w:t>Destination de la robinetterie</w:t>
            </w:r>
          </w:p>
        </w:tc>
        <w:tc>
          <w:tcPr>
            <w:tcW w:w="2808" w:type="dxa"/>
            <w:gridSpan w:val="2"/>
            <w:tcBorders>
              <w:top w:val="single" w:sz="6" w:space="0" w:color="auto"/>
              <w:left w:val="single" w:sz="6" w:space="0" w:color="auto"/>
              <w:bottom w:val="single" w:sz="6" w:space="0" w:color="auto"/>
              <w:right w:val="single" w:sz="6" w:space="0" w:color="auto"/>
            </w:tcBorders>
          </w:tcPr>
          <w:p w:rsidR="00483C63" w:rsidRPr="00483C63"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Débit standard dm</w:t>
            </w:r>
            <w:r>
              <w:rPr>
                <w:rFonts w:ascii="Times New Roman" w:hAnsi="Times New Roman"/>
                <w:color w:val="000000"/>
                <w:sz w:val="20"/>
                <w:vertAlign w:val="superscript"/>
              </w:rPr>
              <w:t>3</w:t>
            </w:r>
            <w:r>
              <w:rPr>
                <w:rFonts w:ascii="Times New Roman" w:hAnsi="Times New Roman"/>
                <w:color w:val="000000"/>
                <w:sz w:val="20"/>
              </w:rPr>
              <w:t>/s</w:t>
            </w:r>
          </w:p>
        </w:tc>
      </w:tr>
      <w:tr w:rsidR="00483C63" w:rsidTr="00E83137">
        <w:trPr>
          <w:cantSplit/>
        </w:trPr>
        <w:tc>
          <w:tcPr>
            <w:tcW w:w="3752" w:type="dxa"/>
            <w:vMerge/>
            <w:tcBorders>
              <w:left w:val="single" w:sz="6" w:space="0" w:color="auto"/>
              <w:bottom w:val="single" w:sz="6" w:space="0" w:color="auto"/>
              <w:right w:val="single" w:sz="6" w:space="0" w:color="auto"/>
            </w:tcBorders>
          </w:tcPr>
          <w:p w:rsidR="00483C63" w:rsidRPr="00483C63" w:rsidRDefault="00483C63" w:rsidP="00E83137">
            <w:pPr>
              <w:keepNext/>
              <w:keepLines/>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keepNext/>
              <w:keepLines/>
              <w:jc w:val="center"/>
              <w:rPr>
                <w:rFonts w:ascii="Times New Roman" w:hAnsi="Times New Roman"/>
                <w:color w:val="000000"/>
                <w:sz w:val="20"/>
                <w:szCs w:val="20"/>
              </w:rPr>
            </w:pPr>
            <w:r>
              <w:rPr>
                <w:rFonts w:ascii="Times New Roman" w:hAnsi="Times New Roman"/>
                <w:color w:val="000000"/>
                <w:sz w:val="20"/>
              </w:rPr>
              <w:t>Débit</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5F5F01" w:rsidP="00E83137">
            <w:pPr>
              <w:keepNext/>
              <w:keepLines/>
              <w:jc w:val="center"/>
              <w:rPr>
                <w:rFonts w:ascii="Times New Roman" w:hAnsi="Times New Roman"/>
                <w:color w:val="000000"/>
                <w:sz w:val="20"/>
                <w:szCs w:val="20"/>
              </w:rPr>
            </w:pPr>
            <w:r>
              <w:rPr>
                <w:rFonts w:ascii="Times New Roman" w:hAnsi="Times New Roman"/>
                <w:color w:val="000000"/>
                <w:sz w:val="20"/>
              </w:rPr>
              <w:t xml:space="preserve">Valeurs limites </w:t>
            </w:r>
          </w:p>
        </w:tc>
      </w:tr>
      <w:tr w:rsidR="00483C63" w:rsidTr="00E83137">
        <w:trPr>
          <w:cantSplit/>
        </w:trPr>
        <w:tc>
          <w:tcPr>
            <w:tcW w:w="3752"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Robinet de cuisine</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0,07-0,30</w:t>
            </w:r>
          </w:p>
        </w:tc>
      </w:tr>
      <w:tr w:rsidR="00483C63" w:rsidTr="00E83137">
        <w:trPr>
          <w:cantSplit/>
        </w:trPr>
        <w:tc>
          <w:tcPr>
            <w:tcW w:w="3752"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Vanne de lave-vaisselle</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rsidTr="00E83137">
        <w:trPr>
          <w:cantSplit/>
        </w:trPr>
        <w:tc>
          <w:tcPr>
            <w:tcW w:w="3752"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Robinet de lavabo et sa douchette</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0,07-0,20</w:t>
            </w:r>
          </w:p>
        </w:tc>
      </w:tr>
      <w:tr w:rsidR="00483C63" w:rsidTr="00E83137">
        <w:trPr>
          <w:cantSplit/>
        </w:trPr>
        <w:tc>
          <w:tcPr>
            <w:tcW w:w="3752"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Robinet de douche</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rsidTr="00E83137">
        <w:trPr>
          <w:cantSplit/>
        </w:trPr>
        <w:tc>
          <w:tcPr>
            <w:tcW w:w="3752"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Robinet de baignoire</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0,3</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DE02E7" w:rsidP="00E83137">
            <w:pPr>
              <w:jc w:val="center"/>
              <w:rPr>
                <w:rFonts w:ascii="Times New Roman" w:hAnsi="Times New Roman"/>
                <w:color w:val="000000"/>
                <w:sz w:val="20"/>
                <w:szCs w:val="20"/>
              </w:rPr>
            </w:pPr>
            <w:r>
              <w:rPr>
                <w:rFonts w:ascii="Times New Roman" w:hAnsi="Times New Roman"/>
                <w:color w:val="000000"/>
                <w:sz w:val="20"/>
              </w:rPr>
              <w:t>≥ 0,30</w:t>
            </w:r>
          </w:p>
        </w:tc>
      </w:tr>
      <w:tr w:rsidR="00483C63" w:rsidTr="00E83137">
        <w:trPr>
          <w:cantSplit/>
        </w:trPr>
        <w:tc>
          <w:tcPr>
            <w:tcW w:w="3752"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Robinet de sortie</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rsidTr="00E83137">
        <w:trPr>
          <w:cantSplit/>
        </w:trPr>
        <w:tc>
          <w:tcPr>
            <w:tcW w:w="3752" w:type="dxa"/>
            <w:tcBorders>
              <w:top w:val="single" w:sz="6" w:space="0" w:color="auto"/>
              <w:left w:val="single" w:sz="6" w:space="0" w:color="auto"/>
              <w:bottom w:val="single" w:sz="6" w:space="0" w:color="auto"/>
              <w:right w:val="single" w:sz="6" w:space="0" w:color="auto"/>
            </w:tcBorders>
          </w:tcPr>
          <w:p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Vanne de bouche d’incendie DN 15</w:t>
            </w:r>
          </w:p>
        </w:tc>
        <w:tc>
          <w:tcPr>
            <w:tcW w:w="1404" w:type="dxa"/>
            <w:tcBorders>
              <w:top w:val="single" w:sz="6" w:space="0" w:color="auto"/>
              <w:left w:val="single" w:sz="6" w:space="0" w:color="auto"/>
              <w:bottom w:val="single" w:sz="6" w:space="0" w:color="auto"/>
              <w:right w:val="single" w:sz="6" w:space="0" w:color="auto"/>
            </w:tcBorders>
          </w:tcPr>
          <w:p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rsidTr="00E83137">
        <w:trPr>
          <w:cantSplit/>
        </w:trPr>
        <w:tc>
          <w:tcPr>
            <w:tcW w:w="3752" w:type="dxa"/>
            <w:tcBorders>
              <w:top w:val="single" w:sz="6" w:space="0" w:color="auto"/>
              <w:left w:val="single" w:sz="6" w:space="0" w:color="auto"/>
              <w:bottom w:val="single" w:sz="6" w:space="0" w:color="auto"/>
              <w:right w:val="single" w:sz="6" w:space="0" w:color="auto"/>
            </w:tcBorders>
          </w:tcPr>
          <w:p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Vanne de bouche d’incendie DN 20</w:t>
            </w:r>
          </w:p>
        </w:tc>
        <w:tc>
          <w:tcPr>
            <w:tcW w:w="1404" w:type="dxa"/>
            <w:tcBorders>
              <w:top w:val="single" w:sz="6" w:space="0" w:color="auto"/>
              <w:left w:val="single" w:sz="6" w:space="0" w:color="auto"/>
              <w:bottom w:val="single" w:sz="6" w:space="0" w:color="auto"/>
              <w:right w:val="single" w:sz="6" w:space="0" w:color="auto"/>
            </w:tcBorders>
          </w:tcPr>
          <w:p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0,4</w:t>
            </w:r>
          </w:p>
        </w:tc>
        <w:tc>
          <w:tcPr>
            <w:tcW w:w="1404" w:type="dxa"/>
            <w:tcBorders>
              <w:top w:val="single" w:sz="6" w:space="0" w:color="auto"/>
              <w:left w:val="single" w:sz="6" w:space="0" w:color="auto"/>
              <w:bottom w:val="single" w:sz="6" w:space="0" w:color="auto"/>
              <w:right w:val="single" w:sz="6" w:space="0" w:color="auto"/>
            </w:tcBorders>
          </w:tcPr>
          <w:p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0,30-0,50</w:t>
            </w:r>
          </w:p>
        </w:tc>
      </w:tr>
      <w:tr w:rsidR="00483C63" w:rsidTr="00E83137">
        <w:trPr>
          <w:cantSplit/>
        </w:trPr>
        <w:tc>
          <w:tcPr>
            <w:tcW w:w="3752"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Vanne de rinçage d’urinoir</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0,4</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min. 0,40</w:t>
            </w:r>
          </w:p>
        </w:tc>
      </w:tr>
    </w:tbl>
    <w:p w:rsidR="006A1A37" w:rsidRDefault="00EC2FF4" w:rsidP="00E83137">
      <w:pPr>
        <w:pStyle w:val="LLPykala"/>
        <w:keepNext/>
        <w:keepLines/>
        <w:spacing w:before="240" w:after="240"/>
      </w:pPr>
      <w:r>
        <w:t>Article 10</w:t>
      </w:r>
    </w:p>
    <w:p w:rsidR="003B65C9" w:rsidRDefault="009A6CFC" w:rsidP="00E83137">
      <w:pPr>
        <w:pStyle w:val="LLPykalanOtsikko"/>
        <w:keepNext/>
        <w:keepLines/>
      </w:pPr>
      <w:r>
        <w:t xml:space="preserve">Résistance </w:t>
      </w:r>
    </w:p>
    <w:p w:rsidR="0062671D" w:rsidRPr="00666BA2" w:rsidRDefault="009A6CFC" w:rsidP="00666BA2">
      <w:pPr>
        <w:pStyle w:val="LLVoimaantulokappale"/>
      </w:pPr>
      <w:r>
        <w:t>La robinetterie doit résister aux contraintes mécaniques, chimiques et thermiques survenant dans les équipements de plomberie de telle façon que le bon fonctionnement et l’hygiène de la robinetterie soient maintenus pendant la durée de vie prévue.</w:t>
      </w:r>
    </w:p>
    <w:p w:rsidR="003B65C9" w:rsidRPr="00666BA2" w:rsidRDefault="003B65C9" w:rsidP="00666BA2">
      <w:pPr>
        <w:pStyle w:val="LLVoimaantulokappale"/>
      </w:pPr>
      <w:r>
        <w:t>La robinetterie doit résister dans les conditions de fonctionnement présentées dans le tableau 3, en restant étanche et sûre.</w:t>
      </w:r>
    </w:p>
    <w:p w:rsidR="00335B53" w:rsidRDefault="00335B53" w:rsidP="00335B53">
      <w:pPr>
        <w:widowControl w:val="0"/>
        <w:ind w:right="56"/>
        <w:rPr>
          <w:rFonts w:ascii="Times New Roman" w:eastAsia="Times New Roman" w:hAnsi="Times New Roman"/>
          <w:i/>
          <w:snapToGrid w:val="0"/>
          <w:color w:val="000000"/>
          <w:sz w:val="20"/>
          <w:szCs w:val="20"/>
        </w:rPr>
      </w:pPr>
    </w:p>
    <w:p w:rsidR="00335B53" w:rsidRPr="00615B30" w:rsidRDefault="00335B5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lastRenderedPageBreak/>
        <w:t>Tableau 3. Conditions de fonctionnement de la robinetterie.</w:t>
      </w:r>
    </w:p>
    <w:p w:rsidR="00335B53" w:rsidRDefault="00335B53" w:rsidP="00E83137">
      <w:pPr>
        <w:keepNext/>
        <w:keepLines/>
      </w:pPr>
    </w:p>
    <w:tbl>
      <w:tblPr>
        <w:tblW w:w="7693" w:type="dxa"/>
        <w:tblInd w:w="-8" w:type="dxa"/>
        <w:tblLayout w:type="fixed"/>
        <w:tblCellMar>
          <w:left w:w="30" w:type="dxa"/>
          <w:right w:w="30" w:type="dxa"/>
        </w:tblCellMar>
        <w:tblLook w:val="0000" w:firstRow="0" w:lastRow="0" w:firstColumn="0" w:lastColumn="0" w:noHBand="0" w:noVBand="0"/>
      </w:tblPr>
      <w:tblGrid>
        <w:gridCol w:w="747"/>
        <w:gridCol w:w="2268"/>
        <w:gridCol w:w="2268"/>
        <w:gridCol w:w="2410"/>
      </w:tblGrid>
      <w:tr w:rsidR="003058CA" w:rsidTr="00E83137">
        <w:trPr>
          <w:cantSplit/>
        </w:trPr>
        <w:tc>
          <w:tcPr>
            <w:tcW w:w="3015" w:type="dxa"/>
            <w:gridSpan w:val="2"/>
            <w:vMerge w:val="restart"/>
            <w:tcBorders>
              <w:top w:val="single" w:sz="6" w:space="0" w:color="auto"/>
              <w:left w:val="single" w:sz="6" w:space="0" w:color="auto"/>
              <w:right w:val="single" w:sz="6" w:space="0" w:color="auto"/>
            </w:tcBorders>
            <w:vAlign w:val="center"/>
          </w:tcPr>
          <w:p w:rsidR="003058CA" w:rsidRDefault="003058CA" w:rsidP="00E83137">
            <w:pPr>
              <w:keepNext/>
              <w:keepLines/>
              <w:rPr>
                <w:rFonts w:ascii="Times New Roman" w:hAnsi="Times New Roman"/>
                <w:color w:val="000000"/>
                <w:sz w:val="20"/>
                <w:szCs w:val="20"/>
              </w:rPr>
            </w:pPr>
            <w:r>
              <w:rPr>
                <w:rFonts w:ascii="Times New Roman" w:hAnsi="Times New Roman"/>
                <w:color w:val="000000"/>
                <w:sz w:val="20"/>
              </w:rPr>
              <w:t>Équipements de plomberie</w:t>
            </w:r>
          </w:p>
        </w:tc>
        <w:tc>
          <w:tcPr>
            <w:tcW w:w="4678" w:type="dxa"/>
            <w:gridSpan w:val="2"/>
            <w:tcBorders>
              <w:top w:val="single" w:sz="6" w:space="0" w:color="auto"/>
              <w:left w:val="single" w:sz="6" w:space="0" w:color="auto"/>
              <w:bottom w:val="single" w:sz="6" w:space="0" w:color="auto"/>
              <w:right w:val="single" w:sz="6" w:space="0" w:color="auto"/>
            </w:tcBorders>
          </w:tcPr>
          <w:p w:rsidR="003058CA"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Conditions de fonctionnement</w:t>
            </w:r>
          </w:p>
        </w:tc>
      </w:tr>
      <w:tr w:rsidR="003058CA" w:rsidTr="00E83137">
        <w:trPr>
          <w:cantSplit/>
        </w:trPr>
        <w:tc>
          <w:tcPr>
            <w:tcW w:w="3015" w:type="dxa"/>
            <w:gridSpan w:val="2"/>
            <w:vMerge/>
            <w:tcBorders>
              <w:left w:val="single" w:sz="6" w:space="0" w:color="auto"/>
              <w:bottom w:val="single" w:sz="6" w:space="0" w:color="auto"/>
              <w:right w:val="single" w:sz="6" w:space="0" w:color="auto"/>
            </w:tcBorders>
          </w:tcPr>
          <w:p w:rsidR="003058CA" w:rsidRDefault="003058CA" w:rsidP="00E83137">
            <w:pPr>
              <w:keepNext/>
              <w:keepLines/>
              <w:jc w:val="cente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Valeur-limite</w:t>
            </w:r>
          </w:p>
        </w:tc>
        <w:tc>
          <w:tcPr>
            <w:tcW w:w="2410" w:type="dxa"/>
            <w:tcBorders>
              <w:top w:val="single" w:sz="6" w:space="0" w:color="auto"/>
              <w:left w:val="single" w:sz="6" w:space="0" w:color="auto"/>
              <w:bottom w:val="single" w:sz="6" w:space="0" w:color="auto"/>
              <w:right w:val="single" w:sz="6" w:space="0" w:color="auto"/>
            </w:tcBorders>
          </w:tcPr>
          <w:p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Conditions d’utilisation normales</w:t>
            </w:r>
          </w:p>
        </w:tc>
      </w:tr>
      <w:tr w:rsidR="004D7BEB" w:rsidTr="00E83137">
        <w:trPr>
          <w:cantSplit/>
        </w:trPr>
        <w:tc>
          <w:tcPr>
            <w:tcW w:w="747" w:type="dxa"/>
            <w:vMerge w:val="restart"/>
            <w:tcBorders>
              <w:top w:val="single" w:sz="6" w:space="0" w:color="auto"/>
              <w:left w:val="single" w:sz="6" w:space="0" w:color="auto"/>
              <w:right w:val="single" w:sz="6" w:space="0" w:color="auto"/>
            </w:tcBorders>
          </w:tcPr>
          <w:p w:rsidR="004D7BEB" w:rsidRPr="00483C63" w:rsidRDefault="004D7BEB" w:rsidP="00E83137">
            <w:pPr>
              <w:rPr>
                <w:rFonts w:ascii="Times New Roman" w:hAnsi="Times New Roman"/>
                <w:color w:val="000000"/>
                <w:sz w:val="20"/>
                <w:szCs w:val="20"/>
              </w:rPr>
            </w:pPr>
            <w:r>
              <w:rPr>
                <w:rFonts w:ascii="Times New Roman" w:hAnsi="Times New Roman"/>
                <w:color w:val="000000"/>
                <w:sz w:val="20"/>
              </w:rPr>
              <w:t>Pression</w:t>
            </w:r>
          </w:p>
        </w:tc>
        <w:tc>
          <w:tcPr>
            <w:tcW w:w="2268" w:type="dxa"/>
            <w:tcBorders>
              <w:top w:val="single" w:sz="6" w:space="0" w:color="auto"/>
              <w:left w:val="single" w:sz="6" w:space="0" w:color="auto"/>
              <w:bottom w:val="single" w:sz="6" w:space="0" w:color="auto"/>
              <w:right w:val="single" w:sz="6" w:space="0" w:color="auto"/>
            </w:tcBorders>
          </w:tcPr>
          <w:p w:rsidR="004D7BEB" w:rsidRDefault="00BD47CC" w:rsidP="00E83137">
            <w:pPr>
              <w:rPr>
                <w:rFonts w:ascii="Times New Roman" w:hAnsi="Times New Roman"/>
                <w:color w:val="000000"/>
                <w:sz w:val="20"/>
                <w:szCs w:val="20"/>
              </w:rPr>
            </w:pPr>
            <w:r>
              <w:rPr>
                <w:rFonts w:ascii="Times New Roman" w:hAnsi="Times New Roman"/>
                <w:color w:val="000000"/>
                <w:sz w:val="20"/>
              </w:rPr>
              <w:t>Pression d’écoulement, au moins</w:t>
            </w:r>
          </w:p>
        </w:tc>
        <w:tc>
          <w:tcPr>
            <w:tcW w:w="2268" w:type="dxa"/>
            <w:tcBorders>
              <w:top w:val="single" w:sz="6" w:space="0" w:color="auto"/>
              <w:left w:val="single" w:sz="6" w:space="0" w:color="auto"/>
              <w:bottom w:val="single" w:sz="6" w:space="0" w:color="auto"/>
              <w:right w:val="single" w:sz="6" w:space="0" w:color="auto"/>
            </w:tcBorders>
          </w:tcPr>
          <w:p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0,5 bar</w:t>
            </w:r>
          </w:p>
        </w:tc>
        <w:tc>
          <w:tcPr>
            <w:tcW w:w="2410" w:type="dxa"/>
            <w:tcBorders>
              <w:top w:val="single" w:sz="6" w:space="0" w:color="auto"/>
              <w:left w:val="single" w:sz="6" w:space="0" w:color="auto"/>
              <w:bottom w:val="single" w:sz="6" w:space="0" w:color="auto"/>
              <w:right w:val="single" w:sz="6" w:space="0" w:color="auto"/>
            </w:tcBorders>
          </w:tcPr>
          <w:p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(1,0–5,0) bar</w:t>
            </w:r>
          </w:p>
        </w:tc>
      </w:tr>
      <w:tr w:rsidR="004D7BEB" w:rsidTr="00E83137">
        <w:trPr>
          <w:cantSplit/>
        </w:trPr>
        <w:tc>
          <w:tcPr>
            <w:tcW w:w="747" w:type="dxa"/>
            <w:vMerge/>
            <w:tcBorders>
              <w:left w:val="single" w:sz="6" w:space="0" w:color="auto"/>
              <w:bottom w:val="single" w:sz="6" w:space="0" w:color="auto"/>
              <w:right w:val="single" w:sz="6" w:space="0" w:color="auto"/>
            </w:tcBorders>
          </w:tcPr>
          <w:p w:rsidR="004D7BEB" w:rsidRPr="00483C63" w:rsidRDefault="004D7BEB" w:rsidP="00E83137">
            <w:pP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rsidR="004D7BEB" w:rsidRDefault="004D7BEB" w:rsidP="00E83137">
            <w:pPr>
              <w:rPr>
                <w:rFonts w:ascii="Times New Roman" w:hAnsi="Times New Roman"/>
                <w:color w:val="000000"/>
                <w:sz w:val="20"/>
                <w:szCs w:val="20"/>
              </w:rPr>
            </w:pPr>
            <w:r>
              <w:rPr>
                <w:rFonts w:ascii="Times New Roman" w:hAnsi="Times New Roman"/>
                <w:color w:val="000000"/>
                <w:sz w:val="20"/>
              </w:rPr>
              <w:t>Pression statique, au maximum</w:t>
            </w:r>
          </w:p>
        </w:tc>
        <w:tc>
          <w:tcPr>
            <w:tcW w:w="2268" w:type="dxa"/>
            <w:tcBorders>
              <w:top w:val="single" w:sz="6" w:space="0" w:color="auto"/>
              <w:left w:val="single" w:sz="6" w:space="0" w:color="auto"/>
              <w:bottom w:val="single" w:sz="6" w:space="0" w:color="auto"/>
              <w:right w:val="single" w:sz="6" w:space="0" w:color="auto"/>
            </w:tcBorders>
          </w:tcPr>
          <w:p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 bar</w:t>
            </w:r>
          </w:p>
        </w:tc>
        <w:tc>
          <w:tcPr>
            <w:tcW w:w="2410" w:type="dxa"/>
            <w:tcBorders>
              <w:top w:val="single" w:sz="6" w:space="0" w:color="auto"/>
              <w:left w:val="single" w:sz="6" w:space="0" w:color="auto"/>
              <w:bottom w:val="single" w:sz="6" w:space="0" w:color="auto"/>
              <w:right w:val="single" w:sz="6" w:space="0" w:color="auto"/>
            </w:tcBorders>
          </w:tcPr>
          <w:p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(3,0–5,0) bar</w:t>
            </w:r>
          </w:p>
        </w:tc>
      </w:tr>
      <w:tr w:rsidR="004D7BEB" w:rsidTr="00E83137">
        <w:trPr>
          <w:cantSplit/>
        </w:trPr>
        <w:tc>
          <w:tcPr>
            <w:tcW w:w="3015" w:type="dxa"/>
            <w:gridSpan w:val="2"/>
            <w:tcBorders>
              <w:top w:val="single" w:sz="6" w:space="0" w:color="auto"/>
              <w:left w:val="single" w:sz="6" w:space="0" w:color="auto"/>
              <w:bottom w:val="single" w:sz="6" w:space="0" w:color="auto"/>
              <w:right w:val="single" w:sz="6" w:space="0" w:color="auto"/>
            </w:tcBorders>
          </w:tcPr>
          <w:p w:rsidR="004D7BEB" w:rsidRPr="00483C63" w:rsidRDefault="00BD47CC" w:rsidP="00E83137">
            <w:pPr>
              <w:rPr>
                <w:rFonts w:ascii="Times New Roman" w:hAnsi="Times New Roman"/>
                <w:color w:val="000000"/>
                <w:sz w:val="20"/>
                <w:szCs w:val="20"/>
              </w:rPr>
            </w:pPr>
            <w:r>
              <w:rPr>
                <w:rFonts w:ascii="Times New Roman" w:hAnsi="Times New Roman"/>
                <w:color w:val="000000"/>
                <w:sz w:val="20"/>
              </w:rPr>
              <w:t>Température de l’eau, au maximum</w:t>
            </w:r>
          </w:p>
        </w:tc>
        <w:tc>
          <w:tcPr>
            <w:tcW w:w="2268" w:type="dxa"/>
            <w:tcBorders>
              <w:top w:val="single" w:sz="6" w:space="0" w:color="auto"/>
              <w:left w:val="single" w:sz="6" w:space="0" w:color="auto"/>
              <w:bottom w:val="single" w:sz="6" w:space="0" w:color="auto"/>
              <w:right w:val="single" w:sz="6" w:space="0" w:color="auto"/>
            </w:tcBorders>
          </w:tcPr>
          <w:p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 xml:space="preserve">90 °C </w:t>
            </w:r>
            <w:r>
              <w:rPr>
                <w:rFonts w:ascii="Times New Roman" w:hAnsi="Times New Roman"/>
                <w:color w:val="000000"/>
                <w:sz w:val="20"/>
                <w:vertAlign w:val="superscript"/>
              </w:rPr>
              <w:t>1)</w:t>
            </w:r>
          </w:p>
        </w:tc>
        <w:tc>
          <w:tcPr>
            <w:tcW w:w="2410" w:type="dxa"/>
            <w:tcBorders>
              <w:top w:val="single" w:sz="6" w:space="0" w:color="auto"/>
              <w:left w:val="single" w:sz="6" w:space="0" w:color="auto"/>
              <w:bottom w:val="single" w:sz="6" w:space="0" w:color="auto"/>
              <w:right w:val="single" w:sz="6" w:space="0" w:color="auto"/>
            </w:tcBorders>
          </w:tcPr>
          <w:p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65 °C</w:t>
            </w:r>
          </w:p>
        </w:tc>
      </w:tr>
      <w:tr w:rsidR="00BD47CC" w:rsidTr="00E83137">
        <w:trPr>
          <w:cantSplit/>
        </w:trPr>
        <w:tc>
          <w:tcPr>
            <w:tcW w:w="7693" w:type="dxa"/>
            <w:gridSpan w:val="4"/>
            <w:tcBorders>
              <w:top w:val="single" w:sz="6" w:space="0" w:color="auto"/>
              <w:left w:val="single" w:sz="6" w:space="0" w:color="auto"/>
              <w:bottom w:val="single" w:sz="6" w:space="0" w:color="auto"/>
              <w:right w:val="single" w:sz="6" w:space="0" w:color="auto"/>
            </w:tcBorders>
          </w:tcPr>
          <w:p w:rsidR="00BD47CC" w:rsidRPr="00483C63" w:rsidRDefault="00BD47CC" w:rsidP="00E83137">
            <w:pPr>
              <w:numPr>
                <w:ilvl w:val="0"/>
                <w:numId w:val="45"/>
              </w:numPr>
              <w:tabs>
                <w:tab w:val="left" w:pos="359"/>
              </w:tabs>
              <w:ind w:left="0" w:firstLine="0"/>
              <w:rPr>
                <w:rFonts w:ascii="Times New Roman" w:hAnsi="Times New Roman"/>
                <w:color w:val="000000"/>
                <w:sz w:val="20"/>
                <w:szCs w:val="20"/>
              </w:rPr>
            </w:pPr>
            <w:r>
              <w:rPr>
                <w:rFonts w:ascii="Times New Roman" w:hAnsi="Times New Roman"/>
                <w:color w:val="000000"/>
                <w:sz w:val="20"/>
              </w:rPr>
              <w:t xml:space="preserve">Robinets électroniques: 75 °C </w:t>
            </w:r>
          </w:p>
        </w:tc>
      </w:tr>
    </w:tbl>
    <w:p w:rsidR="00DE02E7" w:rsidRDefault="00446020" w:rsidP="00E83137">
      <w:pPr>
        <w:pStyle w:val="LLPykala"/>
        <w:keepNext/>
        <w:keepLines/>
        <w:spacing w:before="240" w:after="240"/>
      </w:pPr>
      <w:r>
        <w:t>Article 11</w:t>
      </w:r>
    </w:p>
    <w:p w:rsidR="00DE02E7" w:rsidRDefault="00AB3AE1" w:rsidP="00E83137">
      <w:pPr>
        <w:pStyle w:val="LLPykalanOtsikko"/>
        <w:keepNext/>
        <w:keepLines/>
      </w:pPr>
      <w:r>
        <w:t xml:space="preserve">Groupes de niveau de bruit </w:t>
      </w:r>
    </w:p>
    <w:p w:rsidR="009916FE" w:rsidRDefault="00DE02E7" w:rsidP="00545CB0">
      <w:pPr>
        <w:pStyle w:val="LLNormaali"/>
        <w:ind w:firstLine="142"/>
        <w:jc w:val="both"/>
      </w:pPr>
      <w:r>
        <w:t xml:space="preserve">Il convient d’indiquer le groupe de niveau de bruit de la robinetterie. Le groupe est déterminé par le niveau de bruit causé par le fonctionnement de la robinetterie pour une pression d’eau de 0,3 MPa, mesuré en conditions de laboratoire. Il y a trois groupes de niveau de bruit, déterminés en fonction des niveaux de bruit présentés dans le tableau 4. </w:t>
      </w:r>
    </w:p>
    <w:p w:rsidR="00AB3AE1" w:rsidRDefault="00AB3AE1" w:rsidP="00AB3AE1">
      <w:pPr>
        <w:widowControl w:val="0"/>
        <w:ind w:right="56"/>
        <w:rPr>
          <w:rFonts w:ascii="Times New Roman" w:eastAsia="Times New Roman" w:hAnsi="Times New Roman"/>
          <w:i/>
          <w:snapToGrid w:val="0"/>
          <w:color w:val="000000"/>
          <w:sz w:val="20"/>
          <w:szCs w:val="20"/>
        </w:rPr>
      </w:pPr>
    </w:p>
    <w:p w:rsidR="00AB3AE1" w:rsidRPr="00545CB0" w:rsidRDefault="00AB3AE1"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Tableau 4. Groupes de niveau de bruit de la robinetterie.</w:t>
      </w:r>
    </w:p>
    <w:p w:rsidR="009916FE" w:rsidRPr="009E5AD9" w:rsidRDefault="009916FE" w:rsidP="00E83137">
      <w:pPr>
        <w:pStyle w:val="Header"/>
        <w:keepNext/>
        <w:keepLines/>
        <w:suppressAutoHyphens/>
      </w:pPr>
    </w:p>
    <w:tbl>
      <w:tblPr>
        <w:tblW w:w="0" w:type="auto"/>
        <w:tblInd w:w="30" w:type="dxa"/>
        <w:tblLayout w:type="fixed"/>
        <w:tblCellMar>
          <w:left w:w="30" w:type="dxa"/>
          <w:right w:w="30" w:type="dxa"/>
        </w:tblCellMar>
        <w:tblLook w:val="0000" w:firstRow="0" w:lastRow="0" w:firstColumn="0" w:lastColumn="0" w:noHBand="0" w:noVBand="0"/>
      </w:tblPr>
      <w:tblGrid>
        <w:gridCol w:w="1947"/>
        <w:gridCol w:w="1947"/>
        <w:gridCol w:w="1948"/>
      </w:tblGrid>
      <w:tr w:rsidR="009916FE" w:rsidRPr="009916FE" w:rsidTr="00E83137">
        <w:trPr>
          <w:cantSplit/>
        </w:trPr>
        <w:tc>
          <w:tcPr>
            <w:tcW w:w="1947" w:type="dxa"/>
            <w:tcBorders>
              <w:top w:val="single" w:sz="6" w:space="0" w:color="auto"/>
              <w:left w:val="single" w:sz="6" w:space="0" w:color="auto"/>
              <w:bottom w:val="single" w:sz="6" w:space="0" w:color="auto"/>
            </w:tcBorders>
          </w:tcPr>
          <w:p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Groupe 1</w:t>
            </w:r>
          </w:p>
        </w:tc>
        <w:tc>
          <w:tcPr>
            <w:tcW w:w="1947" w:type="dxa"/>
            <w:tcBorders>
              <w:top w:val="single" w:sz="6" w:space="0" w:color="auto"/>
              <w:left w:val="single" w:sz="6" w:space="0" w:color="auto"/>
              <w:bottom w:val="single" w:sz="6" w:space="0" w:color="auto"/>
              <w:right w:val="single" w:sz="6" w:space="0" w:color="auto"/>
            </w:tcBorders>
          </w:tcPr>
          <w:p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Groupe 2</w:t>
            </w:r>
          </w:p>
        </w:tc>
        <w:tc>
          <w:tcPr>
            <w:tcW w:w="1948" w:type="dxa"/>
            <w:tcBorders>
              <w:top w:val="single" w:sz="6" w:space="0" w:color="auto"/>
              <w:bottom w:val="single" w:sz="6" w:space="0" w:color="auto"/>
              <w:right w:val="single" w:sz="6" w:space="0" w:color="auto"/>
            </w:tcBorders>
          </w:tcPr>
          <w:p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Groupe 3</w:t>
            </w:r>
          </w:p>
        </w:tc>
      </w:tr>
      <w:tr w:rsidR="009916FE" w:rsidRPr="009E5AD9" w:rsidTr="00E83137">
        <w:trPr>
          <w:cantSplit/>
        </w:trPr>
        <w:tc>
          <w:tcPr>
            <w:tcW w:w="1947" w:type="dxa"/>
            <w:tcBorders>
              <w:top w:val="dotted" w:sz="6" w:space="0" w:color="auto"/>
              <w:left w:val="single" w:sz="6" w:space="0" w:color="auto"/>
              <w:bottom w:val="single" w:sz="6" w:space="0" w:color="auto"/>
            </w:tcBorders>
          </w:tcPr>
          <w:p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20 dB(A)</w:t>
            </w:r>
          </w:p>
        </w:tc>
        <w:tc>
          <w:tcPr>
            <w:tcW w:w="1947" w:type="dxa"/>
            <w:tcBorders>
              <w:top w:val="dotted" w:sz="6" w:space="0" w:color="auto"/>
              <w:left w:val="single" w:sz="6" w:space="0" w:color="auto"/>
              <w:bottom w:val="single" w:sz="6" w:space="0" w:color="auto"/>
              <w:right w:val="single" w:sz="6" w:space="0" w:color="auto"/>
            </w:tcBorders>
          </w:tcPr>
          <w:p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30 dB(A)</w:t>
            </w:r>
          </w:p>
        </w:tc>
        <w:tc>
          <w:tcPr>
            <w:tcW w:w="1948" w:type="dxa"/>
            <w:tcBorders>
              <w:top w:val="dotted" w:sz="6" w:space="0" w:color="auto"/>
              <w:bottom w:val="single" w:sz="6" w:space="0" w:color="auto"/>
              <w:right w:val="single" w:sz="6" w:space="0" w:color="auto"/>
            </w:tcBorders>
          </w:tcPr>
          <w:p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ap</w:t>
            </w:r>
            <w:r>
              <w:rPr>
                <w:rFonts w:ascii="Times New Roman" w:hAnsi="Times New Roman"/>
                <w:color w:val="000000"/>
              </w:rPr>
              <w:t>&gt;30 dB(A)</w:t>
            </w:r>
          </w:p>
        </w:tc>
      </w:tr>
    </w:tbl>
    <w:p w:rsidR="002A54A6" w:rsidRDefault="00915041" w:rsidP="00E83137">
      <w:pPr>
        <w:pStyle w:val="LLPykala"/>
        <w:keepNext/>
        <w:keepLines/>
        <w:spacing w:before="240" w:after="240"/>
      </w:pPr>
      <w:r>
        <w:t>Article 12</w:t>
      </w:r>
    </w:p>
    <w:p w:rsidR="002A54A6" w:rsidRPr="00666BA2" w:rsidRDefault="002A54A6" w:rsidP="00E83137">
      <w:pPr>
        <w:pStyle w:val="LLPykalanOtsikko"/>
        <w:keepNext/>
        <w:keepLines/>
      </w:pPr>
      <w:r>
        <w:t xml:space="preserve">Prévention du reflux </w:t>
      </w:r>
    </w:p>
    <w:p w:rsidR="008D28C7" w:rsidRDefault="002A54A6" w:rsidP="00666BA2">
      <w:pPr>
        <w:pStyle w:val="LLVoimaantulokappale"/>
      </w:pPr>
      <w:r>
        <w:t>La robinetterie doit disposer d’une protection anti-reflux qui empêche le reflux de l’eau dans la conduite. Dans un robinet thermostatique, l’écoulement croisé de l’eau froide et de l’eau chaude doit être empêché par des clapets anti-retour fixes installés dans les connecteurs d’arrivée du robinet. La robinetterie doit disposer des protections anti-reflux indiquées dans le tableau 5.</w:t>
      </w:r>
    </w:p>
    <w:p w:rsidR="008D28C7" w:rsidRDefault="008D28C7" w:rsidP="008D28C7">
      <w:pPr>
        <w:spacing w:line="220" w:lineRule="exact"/>
        <w:ind w:firstLine="170"/>
        <w:jc w:val="both"/>
        <w:rPr>
          <w:rFonts w:ascii="Times New Roman" w:eastAsia="Times New Roman" w:hAnsi="Times New Roman"/>
        </w:rPr>
      </w:pPr>
    </w:p>
    <w:p w:rsidR="008D28C7" w:rsidRPr="00615B30" w:rsidRDefault="008D28C7" w:rsidP="00E83137">
      <w:pPr>
        <w:keepNext/>
        <w:keepLines/>
        <w:spacing w:line="220" w:lineRule="exact"/>
        <w:jc w:val="both"/>
        <w:rPr>
          <w:rFonts w:ascii="Times New Roman" w:eastAsia="Times New Roman" w:hAnsi="Times New Roman"/>
          <w:sz w:val="20"/>
          <w:szCs w:val="20"/>
        </w:rPr>
      </w:pPr>
      <w:r>
        <w:rPr>
          <w:rFonts w:ascii="Times New Roman" w:hAnsi="Times New Roman"/>
          <w:sz w:val="20"/>
        </w:rPr>
        <w:t>Tableau 5. Protection anti-reflux de la robinetterie.</w:t>
      </w:r>
    </w:p>
    <w:p w:rsidR="008D28C7" w:rsidRDefault="008D28C7" w:rsidP="00E83137">
      <w:pPr>
        <w:keepNext/>
        <w:keepLines/>
        <w:spacing w:line="220" w:lineRule="exact"/>
        <w:jc w:val="both"/>
        <w:rPr>
          <w:rFonts w:ascii="Times New Roman" w:eastAsia="Times New Roman" w:hAnsi="Times New Roman"/>
        </w:rPr>
      </w:pPr>
    </w:p>
    <w:tbl>
      <w:tblPr>
        <w:tblW w:w="66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015"/>
        <w:gridCol w:w="4678"/>
      </w:tblGrid>
      <w:tr w:rsidR="008D28C7" w:rsidRPr="00CE2F4E" w:rsidTr="00D83C91">
        <w:trPr>
          <w:cantSplit/>
        </w:trPr>
        <w:tc>
          <w:tcPr>
            <w:tcW w:w="2015" w:type="dxa"/>
            <w:tcBorders>
              <w:top w:val="single" w:sz="6" w:space="0" w:color="auto"/>
              <w:left w:val="single" w:sz="6" w:space="0" w:color="auto"/>
              <w:bottom w:val="single" w:sz="6" w:space="0" w:color="auto"/>
            </w:tcBorders>
          </w:tcPr>
          <w:p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Objet de l’essai</w:t>
            </w:r>
          </w:p>
        </w:tc>
        <w:tc>
          <w:tcPr>
            <w:tcW w:w="4678" w:type="dxa"/>
            <w:tcBorders>
              <w:top w:val="single" w:sz="6" w:space="0" w:color="auto"/>
              <w:bottom w:val="single" w:sz="6" w:space="0" w:color="auto"/>
              <w:right w:val="single" w:sz="6" w:space="0" w:color="auto"/>
            </w:tcBorders>
          </w:tcPr>
          <w:p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Protection anti-reflux</w:t>
            </w:r>
          </w:p>
        </w:tc>
      </w:tr>
      <w:tr w:rsidR="008D28C7" w:rsidRPr="00CE2F4E" w:rsidTr="00D83C91">
        <w:trPr>
          <w:cantSplit/>
        </w:trPr>
        <w:tc>
          <w:tcPr>
            <w:tcW w:w="2015" w:type="dxa"/>
            <w:tcBorders>
              <w:top w:val="single" w:sz="6" w:space="0" w:color="auto"/>
              <w:left w:val="single" w:sz="6" w:space="0" w:color="auto"/>
              <w:bottom w:val="single" w:sz="6" w:space="0" w:color="auto"/>
            </w:tcBorders>
          </w:tcPr>
          <w:p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Tuyau de refoulement</w:t>
            </w:r>
          </w:p>
        </w:tc>
        <w:tc>
          <w:tcPr>
            <w:tcW w:w="4678" w:type="dxa"/>
            <w:tcBorders>
              <w:top w:val="single" w:sz="6" w:space="0" w:color="auto"/>
              <w:bottom w:val="single" w:sz="6" w:space="0" w:color="auto"/>
              <w:right w:val="single" w:sz="6" w:space="0" w:color="auto"/>
            </w:tcBorders>
          </w:tcPr>
          <w:p w:rsidR="008D28C7" w:rsidRPr="00CE2F4E" w:rsidRDefault="008D28C7" w:rsidP="00D83C91">
            <w:pPr>
              <w:jc w:val="center"/>
              <w:rPr>
                <w:rFonts w:ascii="Times New Roman" w:hAnsi="Times New Roman"/>
                <w:color w:val="000000"/>
                <w:sz w:val="20"/>
                <w:szCs w:val="20"/>
              </w:rPr>
            </w:pPr>
            <w:r>
              <w:rPr>
                <w:rFonts w:ascii="Times New Roman" w:hAnsi="Times New Roman"/>
                <w:color w:val="000000"/>
                <w:sz w:val="20"/>
              </w:rPr>
              <w:t>Intervalle d’air ≥ 25 mm</w:t>
            </w:r>
          </w:p>
        </w:tc>
      </w:tr>
      <w:tr w:rsidR="008D28C7" w:rsidRPr="00CE2F4E" w:rsidTr="00D83C91">
        <w:trPr>
          <w:cantSplit/>
        </w:trPr>
        <w:tc>
          <w:tcPr>
            <w:tcW w:w="2015" w:type="dxa"/>
            <w:tcBorders>
              <w:top w:val="single" w:sz="6" w:space="0" w:color="auto"/>
              <w:left w:val="single" w:sz="6" w:space="0" w:color="auto"/>
              <w:bottom w:val="single" w:sz="6" w:space="0" w:color="auto"/>
            </w:tcBorders>
          </w:tcPr>
          <w:p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Douchette</w:t>
            </w:r>
          </w:p>
        </w:tc>
        <w:tc>
          <w:tcPr>
            <w:tcW w:w="4678" w:type="dxa"/>
            <w:tcBorders>
              <w:top w:val="single" w:sz="6" w:space="0" w:color="auto"/>
              <w:bottom w:val="single" w:sz="6" w:space="0" w:color="auto"/>
              <w:right w:val="single" w:sz="6" w:space="0" w:color="auto"/>
            </w:tcBorders>
          </w:tcPr>
          <w:p w:rsidR="008D28C7" w:rsidRDefault="00E83137" w:rsidP="00D83C91">
            <w:pPr>
              <w:jc w:val="center"/>
              <w:rPr>
                <w:rFonts w:ascii="Times New Roman" w:hAnsi="Times New Roman"/>
                <w:color w:val="000000"/>
                <w:sz w:val="20"/>
                <w:szCs w:val="20"/>
              </w:rPr>
            </w:pPr>
            <w:r>
              <w:rPr>
                <w:rFonts w:ascii="Times New Roman" w:hAnsi="Times New Roman"/>
                <w:color w:val="000000"/>
                <w:sz w:val="20"/>
              </w:rPr>
              <w:t>Inverseur automatique, vanne à vide ou clapet anti-retour</w:t>
            </w:r>
          </w:p>
        </w:tc>
      </w:tr>
      <w:tr w:rsidR="008D28C7" w:rsidRPr="00CE2F4E" w:rsidTr="00D83C91">
        <w:trPr>
          <w:cantSplit/>
        </w:trPr>
        <w:tc>
          <w:tcPr>
            <w:tcW w:w="2015" w:type="dxa"/>
            <w:tcBorders>
              <w:top w:val="single" w:sz="6" w:space="0" w:color="auto"/>
              <w:left w:val="single" w:sz="6" w:space="0" w:color="auto"/>
              <w:bottom w:val="single" w:sz="6" w:space="0" w:color="auto"/>
            </w:tcBorders>
          </w:tcPr>
          <w:p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Robinet thermostatique</w:t>
            </w:r>
          </w:p>
        </w:tc>
        <w:tc>
          <w:tcPr>
            <w:tcW w:w="4678" w:type="dxa"/>
            <w:tcBorders>
              <w:top w:val="single" w:sz="6" w:space="0" w:color="auto"/>
              <w:bottom w:val="single" w:sz="6" w:space="0" w:color="auto"/>
              <w:right w:val="single" w:sz="6" w:space="0" w:color="auto"/>
            </w:tcBorders>
          </w:tcPr>
          <w:p w:rsidR="008D28C7" w:rsidRDefault="008D28C7" w:rsidP="00D83C91">
            <w:pPr>
              <w:jc w:val="center"/>
              <w:rPr>
                <w:rFonts w:ascii="Times New Roman" w:hAnsi="Times New Roman"/>
                <w:color w:val="000000"/>
                <w:sz w:val="20"/>
                <w:szCs w:val="20"/>
              </w:rPr>
            </w:pPr>
            <w:r>
              <w:rPr>
                <w:rFonts w:ascii="Times New Roman" w:hAnsi="Times New Roman"/>
                <w:color w:val="000000"/>
                <w:sz w:val="20"/>
              </w:rPr>
              <w:t>Clapets anti-retour</w:t>
            </w:r>
          </w:p>
        </w:tc>
      </w:tr>
      <w:tr w:rsidR="008D28C7" w:rsidRPr="00CE2F4E" w:rsidTr="00D83C91">
        <w:trPr>
          <w:cantSplit/>
        </w:trPr>
        <w:tc>
          <w:tcPr>
            <w:tcW w:w="2015" w:type="dxa"/>
            <w:tcBorders>
              <w:top w:val="single" w:sz="6" w:space="0" w:color="auto"/>
              <w:left w:val="single" w:sz="6" w:space="0" w:color="auto"/>
              <w:bottom w:val="single" w:sz="6" w:space="0" w:color="auto"/>
            </w:tcBorders>
          </w:tcPr>
          <w:p w:rsidR="008D28C7" w:rsidRPr="00CE2F4E" w:rsidRDefault="00F47E90" w:rsidP="00E83137">
            <w:pPr>
              <w:rPr>
                <w:rFonts w:ascii="Times New Roman" w:hAnsi="Times New Roman"/>
                <w:color w:val="000000"/>
                <w:sz w:val="20"/>
                <w:szCs w:val="20"/>
              </w:rPr>
            </w:pPr>
            <w:r>
              <w:rPr>
                <w:rFonts w:ascii="Times New Roman" w:hAnsi="Times New Roman"/>
                <w:color w:val="000000"/>
                <w:sz w:val="20"/>
              </w:rPr>
              <w:t>Douchette de bidet</w:t>
            </w:r>
          </w:p>
        </w:tc>
        <w:tc>
          <w:tcPr>
            <w:tcW w:w="4678" w:type="dxa"/>
            <w:tcBorders>
              <w:top w:val="single" w:sz="6" w:space="0" w:color="auto"/>
              <w:bottom w:val="single" w:sz="6" w:space="0" w:color="auto"/>
              <w:right w:val="single" w:sz="6" w:space="0" w:color="auto"/>
            </w:tcBorders>
          </w:tcPr>
          <w:p w:rsidR="008D28C7" w:rsidRPr="00CE2F4E" w:rsidRDefault="00F47E90" w:rsidP="00D83C91">
            <w:pPr>
              <w:jc w:val="center"/>
              <w:rPr>
                <w:rFonts w:ascii="Times New Roman" w:hAnsi="Times New Roman"/>
                <w:color w:val="000000"/>
                <w:sz w:val="20"/>
                <w:szCs w:val="20"/>
              </w:rPr>
            </w:pPr>
            <w:r>
              <w:rPr>
                <w:rFonts w:ascii="Times New Roman" w:hAnsi="Times New Roman"/>
                <w:color w:val="000000"/>
                <w:sz w:val="20"/>
              </w:rPr>
              <w:t>Clapets anti-retour</w:t>
            </w:r>
          </w:p>
        </w:tc>
      </w:tr>
    </w:tbl>
    <w:p w:rsidR="006A1A37" w:rsidRDefault="00915041" w:rsidP="00E83137">
      <w:pPr>
        <w:pStyle w:val="LLPykala"/>
        <w:keepNext/>
        <w:keepLines/>
        <w:spacing w:before="240" w:after="240"/>
      </w:pPr>
      <w:r>
        <w:t>Article 13</w:t>
      </w:r>
    </w:p>
    <w:p w:rsidR="003B65C9" w:rsidRDefault="003B65C9" w:rsidP="00666BA2">
      <w:pPr>
        <w:pStyle w:val="LLPykalanOtsikko"/>
        <w:keepNext/>
        <w:keepLines/>
      </w:pPr>
      <w:r>
        <w:t>Marquage</w:t>
      </w:r>
    </w:p>
    <w:p w:rsidR="00863453" w:rsidRDefault="003B65C9" w:rsidP="00666BA2">
      <w:pPr>
        <w:pStyle w:val="LLVoimaantulokappale"/>
      </w:pPr>
      <w:r>
        <w:t>La robinetterie doit être marquée de telle façon que les marquages fassent apparaître au moins les données d’identification du fabricant.</w:t>
      </w:r>
      <w:bookmarkStart w:id="0" w:name="_GoBack"/>
      <w:bookmarkEnd w:id="0"/>
    </w:p>
    <w:p w:rsidR="006A1A37" w:rsidRDefault="003E109B" w:rsidP="00666BA2">
      <w:pPr>
        <w:pStyle w:val="LLVoimaantulokappale"/>
      </w:pPr>
      <w:r>
        <w:t>Les connecteurs d’arrivée de la robinetterie doivent être marqués de façon à être distincts les uns des autres. Le connecteur d’arrivée d’eau froide d’un robinet thermostatique doit être muni d’une marque bleue, et le connecteur d’arrivée d’eau chaude d’une marque rouge.</w:t>
      </w:r>
    </w:p>
    <w:p w:rsidR="008110FF" w:rsidRPr="00666BA2" w:rsidRDefault="008110FF" w:rsidP="00666BA2">
      <w:pPr>
        <w:pStyle w:val="LLPykala"/>
        <w:keepNext/>
        <w:keepLines/>
        <w:spacing w:before="240" w:after="240"/>
      </w:pPr>
      <w:r>
        <w:lastRenderedPageBreak/>
        <w:t>Article 14</w:t>
      </w:r>
    </w:p>
    <w:p w:rsidR="008110FF" w:rsidRPr="00666BA2" w:rsidRDefault="008110FF" w:rsidP="00E83137">
      <w:pPr>
        <w:pStyle w:val="LLPykalanOtsikko"/>
        <w:keepNext/>
        <w:keepLines/>
      </w:pPr>
      <w:r>
        <w:t>Détermination expérimentale des caractéristiques techniques</w:t>
      </w:r>
    </w:p>
    <w:p w:rsidR="008110FF" w:rsidRPr="00666BA2" w:rsidRDefault="00F76F49" w:rsidP="00666BA2">
      <w:pPr>
        <w:pStyle w:val="LLVoimaantulokappale"/>
      </w:pPr>
      <w:r>
        <w:t>Le fabricant doit déterminer expérimentalement les caractéristiques techniques. La détermination expérimentale doit être faite dans un État membre de l’Espace économique européen ou en Turquie, en utilisant une méthode généralement admise. Le compte rendu des méthodes utilisées pour la détermination des caractéristiques techniques et les résultats de test doivent, s’ils sont demandés, être fournis au maître d’ouvrage et à l’autorité de contrôle de la construction et du marché.</w:t>
      </w:r>
    </w:p>
    <w:p w:rsidR="006A1A37" w:rsidRDefault="00915041" w:rsidP="00E83137">
      <w:pPr>
        <w:pStyle w:val="LLPykala"/>
        <w:keepNext/>
        <w:keepLines/>
        <w:spacing w:before="240" w:after="240"/>
      </w:pPr>
      <w:r>
        <w:t>Article 15</w:t>
      </w:r>
    </w:p>
    <w:p w:rsidR="006A1A37" w:rsidRDefault="006A1A37" w:rsidP="00E83137">
      <w:pPr>
        <w:pStyle w:val="LLPykalanOtsikko"/>
        <w:keepNext/>
        <w:keepLines/>
      </w:pPr>
      <w:r>
        <w:t>Entrée en vigueur</w:t>
      </w:r>
    </w:p>
    <w:p w:rsidR="006A1A37" w:rsidRDefault="006A1A37" w:rsidP="00666BA2">
      <w:pPr>
        <w:pStyle w:val="LLVoimaantulokappale"/>
      </w:pPr>
      <w:r>
        <w:t>Le présent décret entre en vigueur le                            20.</w:t>
      </w:r>
    </w:p>
    <w:p w:rsidR="00E700CA" w:rsidRDefault="00E700CA" w:rsidP="00666BA2">
      <w:pPr>
        <w:pStyle w:val="LLVoimaantulokappale"/>
      </w:pPr>
      <w:r>
        <w:t>Le traitement d’un projet en cours au moment de l’entrée en vigueur du présent décret se verra appliquer les dispositions qui étaient en vigueur au moment de l’entrée en vigueur du présent décret.</w:t>
      </w:r>
    </w:p>
    <w:p w:rsidR="006A1A37" w:rsidRDefault="006A1A37" w:rsidP="006A1A37">
      <w:pPr>
        <w:pStyle w:val="LLNormaali"/>
      </w:pPr>
    </w:p>
    <w:p w:rsidR="006A1A37" w:rsidRPr="00300472" w:rsidRDefault="006A1A37" w:rsidP="006A1A37">
      <w:pPr>
        <w:pStyle w:val="LLNormaali"/>
      </w:pPr>
    </w:p>
    <w:p w:rsidR="006A1A37" w:rsidRDefault="006A1A37" w:rsidP="006A1A37">
      <w:pPr>
        <w:pStyle w:val="LLPaivays"/>
      </w:pPr>
      <w:r>
        <w:t>Fait à Helsinki, le                            20</w:t>
      </w:r>
    </w:p>
    <w:p w:rsidR="006A1A37" w:rsidRDefault="006A1A37" w:rsidP="006A1A37">
      <w:pPr>
        <w:pStyle w:val="LLNormaali"/>
      </w:pPr>
    </w:p>
    <w:p w:rsidR="006A1A37" w:rsidRDefault="006A1A37" w:rsidP="006A1A37">
      <w:pPr>
        <w:pStyle w:val="LLNormaali"/>
      </w:pPr>
    </w:p>
    <w:p w:rsidR="006A1A37" w:rsidRDefault="001543CC" w:rsidP="00E83137">
      <w:pPr>
        <w:pStyle w:val="LLMinisterinAllekirjoitus"/>
        <w:keepNext/>
        <w:keepLines/>
      </w:pPr>
      <w:r>
        <w:t>Le ministre du logement, de l’énergie et de l’environnement</w:t>
      </w:r>
    </w:p>
    <w:p w:rsidR="006A1A37" w:rsidRDefault="006A1A37" w:rsidP="00E83137">
      <w:pPr>
        <w:pStyle w:val="LLNormaali"/>
        <w:keepNext/>
        <w:keepLines/>
      </w:pPr>
    </w:p>
    <w:p w:rsidR="006A1A37" w:rsidRDefault="006A1A37" w:rsidP="00E83137">
      <w:pPr>
        <w:pStyle w:val="LLNormaali"/>
        <w:keepNext/>
        <w:keepLines/>
      </w:pPr>
    </w:p>
    <w:p w:rsidR="002D0561" w:rsidRPr="002D0561" w:rsidRDefault="006A1A37" w:rsidP="00E83137">
      <w:pPr>
        <w:pStyle w:val="LLEsittelijanVarmennus"/>
        <w:jc w:val="center"/>
      </w:pPr>
      <w:r>
        <w:t>L’ingénieur en chef</w:t>
      </w:r>
    </w:p>
    <w:sectPr w:rsidR="002D0561" w:rsidRPr="002D0561" w:rsidSect="00C85EB5">
      <w:footerReference w:type="even" r:id="rId8"/>
      <w:footerReference w:type="default" r:id="rId9"/>
      <w:headerReference w:type="first" r:id="rId10"/>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AE4" w:rsidRDefault="00C95AE4">
      <w:r>
        <w:separator/>
      </w:r>
    </w:p>
  </w:endnote>
  <w:endnote w:type="continuationSeparator" w:id="0">
    <w:p w:rsidR="00C95AE4" w:rsidRDefault="00C9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041" w:rsidRDefault="008B03AC" w:rsidP="001310B9">
    <w:pPr>
      <w:pStyle w:val="Footer"/>
      <w:framePr w:wrap="around" w:vAnchor="text" w:hAnchor="margin" w:xAlign="center" w:y="1"/>
      <w:rPr>
        <w:rStyle w:val="PageNumber"/>
      </w:rPr>
    </w:pPr>
    <w:r>
      <w:rPr>
        <w:rStyle w:val="PageNumber"/>
      </w:rPr>
      <w:fldChar w:fldCharType="begin"/>
    </w:r>
    <w:r w:rsidR="00915041">
      <w:rPr>
        <w:rStyle w:val="PageNumber"/>
      </w:rPr>
      <w:instrText xml:space="preserve">PAGE  </w:instrText>
    </w:r>
    <w:r>
      <w:rPr>
        <w:rStyle w:val="PageNumber"/>
      </w:rPr>
      <w:fldChar w:fldCharType="end"/>
    </w:r>
  </w:p>
  <w:p w:rsidR="00915041" w:rsidRDefault="009150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rsidR="00E83137" w:rsidRDefault="008B03AC" w:rsidP="00E83137">
        <w:pPr>
          <w:pStyle w:val="Footer"/>
        </w:pPr>
        <w:r>
          <w:fldChar w:fldCharType="begin"/>
        </w:r>
        <w:r w:rsidR="00E83137">
          <w:instrText xml:space="preserve"> PAGE   \* MERGEFORMAT </w:instrText>
        </w:r>
        <w:r>
          <w:fldChar w:fldCharType="separate"/>
        </w:r>
        <w:r w:rsidR="00FC0932">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AE4" w:rsidRDefault="00C95AE4">
      <w:r>
        <w:separator/>
      </w:r>
    </w:p>
  </w:footnote>
  <w:footnote w:type="continuationSeparator" w:id="0">
    <w:p w:rsidR="00C95AE4" w:rsidRDefault="00C95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041" w:rsidRPr="00E83137" w:rsidRDefault="00E83137" w:rsidP="00E83137">
    <w:pPr>
      <w:pStyle w:val="Header"/>
      <w:jc w:val="right"/>
      <w:rPr>
        <w:rFonts w:ascii="Times New Roman" w:hAnsi="Times New Roman"/>
        <w:i/>
      </w:rPr>
    </w:pPr>
    <w:r>
      <w:rPr>
        <w:rFonts w:ascii="Times New Roman" w:hAnsi="Times New Roman"/>
        <w:i/>
      </w:rPr>
      <w:t>Projet 11/12/2018</w:t>
    </w:r>
  </w:p>
  <w:p w:rsidR="00E83137" w:rsidRPr="00E83137" w:rsidRDefault="00E83137" w:rsidP="00E83137">
    <w:pPr>
      <w:pStyle w:val="Header"/>
      <w:jc w:val="right"/>
      <w:rPr>
        <w:rFonts w:ascii="Times New Roman" w:hAnsi="Times New Roman"/>
        <w:i/>
      </w:rPr>
    </w:pPr>
  </w:p>
  <w:p w:rsidR="00E83137" w:rsidRPr="00E83137" w:rsidRDefault="00E83137" w:rsidP="00E83137">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9"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2"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56EE3797"/>
    <w:multiLevelType w:val="hybridMultilevel"/>
    <w:tmpl w:val="99FE2C2A"/>
    <w:lvl w:ilvl="0" w:tplc="FD0EBFC6">
      <w:start w:val="1"/>
      <w:numFmt w:val="decimal"/>
      <w:lvlText w:val="%1)"/>
      <w:lvlJc w:val="left"/>
      <w:pPr>
        <w:ind w:left="465" w:hanging="360"/>
      </w:pPr>
      <w:rPr>
        <w:rFonts w:hint="default"/>
      </w:rPr>
    </w:lvl>
    <w:lvl w:ilvl="1" w:tplc="040B0019" w:tentative="1">
      <w:start w:val="1"/>
      <w:numFmt w:val="lowerLetter"/>
      <w:lvlText w:val="%2."/>
      <w:lvlJc w:val="left"/>
      <w:pPr>
        <w:ind w:left="1185" w:hanging="360"/>
      </w:pPr>
    </w:lvl>
    <w:lvl w:ilvl="2" w:tplc="040B001B" w:tentative="1">
      <w:start w:val="1"/>
      <w:numFmt w:val="lowerRoman"/>
      <w:lvlText w:val="%3."/>
      <w:lvlJc w:val="right"/>
      <w:pPr>
        <w:ind w:left="1905" w:hanging="180"/>
      </w:pPr>
    </w:lvl>
    <w:lvl w:ilvl="3" w:tplc="040B000F" w:tentative="1">
      <w:start w:val="1"/>
      <w:numFmt w:val="decimal"/>
      <w:lvlText w:val="%4."/>
      <w:lvlJc w:val="left"/>
      <w:pPr>
        <w:ind w:left="2625" w:hanging="360"/>
      </w:pPr>
    </w:lvl>
    <w:lvl w:ilvl="4" w:tplc="040B0019" w:tentative="1">
      <w:start w:val="1"/>
      <w:numFmt w:val="lowerLetter"/>
      <w:lvlText w:val="%5."/>
      <w:lvlJc w:val="left"/>
      <w:pPr>
        <w:ind w:left="3345" w:hanging="360"/>
      </w:pPr>
    </w:lvl>
    <w:lvl w:ilvl="5" w:tplc="040B001B" w:tentative="1">
      <w:start w:val="1"/>
      <w:numFmt w:val="lowerRoman"/>
      <w:lvlText w:val="%6."/>
      <w:lvlJc w:val="right"/>
      <w:pPr>
        <w:ind w:left="4065" w:hanging="180"/>
      </w:pPr>
    </w:lvl>
    <w:lvl w:ilvl="6" w:tplc="040B000F" w:tentative="1">
      <w:start w:val="1"/>
      <w:numFmt w:val="decimal"/>
      <w:lvlText w:val="%7."/>
      <w:lvlJc w:val="left"/>
      <w:pPr>
        <w:ind w:left="4785" w:hanging="360"/>
      </w:pPr>
    </w:lvl>
    <w:lvl w:ilvl="7" w:tplc="040B0019" w:tentative="1">
      <w:start w:val="1"/>
      <w:numFmt w:val="lowerLetter"/>
      <w:lvlText w:val="%8."/>
      <w:lvlJc w:val="left"/>
      <w:pPr>
        <w:ind w:left="5505" w:hanging="360"/>
      </w:pPr>
    </w:lvl>
    <w:lvl w:ilvl="8" w:tplc="040B001B" w:tentative="1">
      <w:start w:val="1"/>
      <w:numFmt w:val="lowerRoman"/>
      <w:lvlText w:val="%9."/>
      <w:lvlJc w:val="right"/>
      <w:pPr>
        <w:ind w:left="6225" w:hanging="180"/>
      </w:p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4"/>
  </w:num>
  <w:num w:numId="4">
    <w:abstractNumId w:val="4"/>
  </w:num>
  <w:num w:numId="5">
    <w:abstractNumId w:val="27"/>
  </w:num>
  <w:num w:numId="6">
    <w:abstractNumId w:val="20"/>
  </w:num>
  <w:num w:numId="7">
    <w:abstractNumId w:val="23"/>
  </w:num>
  <w:num w:numId="8">
    <w:abstractNumId w:val="41"/>
  </w:num>
  <w:num w:numId="9">
    <w:abstractNumId w:val="36"/>
  </w:num>
  <w:num w:numId="10">
    <w:abstractNumId w:val="25"/>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5"/>
  </w:num>
  <w:num w:numId="18">
    <w:abstractNumId w:val="5"/>
  </w:num>
  <w:num w:numId="19">
    <w:abstractNumId w:val="28"/>
  </w:num>
  <w:num w:numId="20">
    <w:abstractNumId w:val="16"/>
  </w:num>
  <w:num w:numId="21">
    <w:abstractNumId w:val="35"/>
  </w:num>
  <w:num w:numId="22">
    <w:abstractNumId w:val="0"/>
  </w:num>
  <w:num w:numId="23">
    <w:abstractNumId w:val="3"/>
  </w:num>
  <w:num w:numId="24">
    <w:abstractNumId w:val="7"/>
  </w:num>
  <w:num w:numId="25">
    <w:abstractNumId w:val="10"/>
  </w:num>
  <w:num w:numId="26">
    <w:abstractNumId w:val="22"/>
  </w:num>
  <w:num w:numId="27">
    <w:abstractNumId w:val="18"/>
  </w:num>
  <w:num w:numId="28">
    <w:abstractNumId w:val="43"/>
  </w:num>
  <w:num w:numId="29">
    <w:abstractNumId w:val="34"/>
  </w:num>
  <w:num w:numId="30">
    <w:abstractNumId w:val="26"/>
  </w:num>
  <w:num w:numId="31">
    <w:abstractNumId w:val="17"/>
  </w:num>
  <w:num w:numId="32">
    <w:abstractNumId w:val="19"/>
  </w:num>
  <w:num w:numId="33">
    <w:abstractNumId w:val="6"/>
  </w:num>
  <w:num w:numId="34">
    <w:abstractNumId w:val="37"/>
  </w:num>
  <w:num w:numId="35">
    <w:abstractNumId w:val="14"/>
  </w:num>
  <w:num w:numId="36">
    <w:abstractNumId w:val="21"/>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fi-FI" w:vendorID="22"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
  <w:rsids>
    <w:rsidRoot w:val="006A1A37"/>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3F6"/>
    <w:rsid w:val="0002194F"/>
    <w:rsid w:val="00023201"/>
    <w:rsid w:val="00024697"/>
    <w:rsid w:val="00024B6D"/>
    <w:rsid w:val="00030044"/>
    <w:rsid w:val="0003265F"/>
    <w:rsid w:val="0003393F"/>
    <w:rsid w:val="00034B95"/>
    <w:rsid w:val="0003652F"/>
    <w:rsid w:val="000370C8"/>
    <w:rsid w:val="00040719"/>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53DE"/>
    <w:rsid w:val="00066DC3"/>
    <w:rsid w:val="000677E9"/>
    <w:rsid w:val="00070B45"/>
    <w:rsid w:val="000722C4"/>
    <w:rsid w:val="0007441F"/>
    <w:rsid w:val="0007557D"/>
    <w:rsid w:val="00075ADB"/>
    <w:rsid w:val="000769BB"/>
    <w:rsid w:val="00077867"/>
    <w:rsid w:val="000811EC"/>
    <w:rsid w:val="00083E71"/>
    <w:rsid w:val="00084034"/>
    <w:rsid w:val="00086D51"/>
    <w:rsid w:val="00086E44"/>
    <w:rsid w:val="0009275E"/>
    <w:rsid w:val="00094938"/>
    <w:rsid w:val="000968AF"/>
    <w:rsid w:val="00097836"/>
    <w:rsid w:val="000A11C9"/>
    <w:rsid w:val="000A23C8"/>
    <w:rsid w:val="000A2C2D"/>
    <w:rsid w:val="000A3181"/>
    <w:rsid w:val="000A3668"/>
    <w:rsid w:val="000A4346"/>
    <w:rsid w:val="000A48BD"/>
    <w:rsid w:val="000A4CC1"/>
    <w:rsid w:val="000A55E5"/>
    <w:rsid w:val="000A5605"/>
    <w:rsid w:val="000A6C3E"/>
    <w:rsid w:val="000A7212"/>
    <w:rsid w:val="000A75CB"/>
    <w:rsid w:val="000B0F5F"/>
    <w:rsid w:val="000B2410"/>
    <w:rsid w:val="000B43F5"/>
    <w:rsid w:val="000B45D2"/>
    <w:rsid w:val="000B62E5"/>
    <w:rsid w:val="000C13BA"/>
    <w:rsid w:val="000C15D0"/>
    <w:rsid w:val="000C15D4"/>
    <w:rsid w:val="000C1725"/>
    <w:rsid w:val="000C3407"/>
    <w:rsid w:val="000C3A8E"/>
    <w:rsid w:val="000C4809"/>
    <w:rsid w:val="000C5020"/>
    <w:rsid w:val="000D0644"/>
    <w:rsid w:val="000D0AA3"/>
    <w:rsid w:val="000D1CBA"/>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8A"/>
    <w:rsid w:val="000F71FD"/>
    <w:rsid w:val="000F7CDB"/>
    <w:rsid w:val="00100EB7"/>
    <w:rsid w:val="00103ACA"/>
    <w:rsid w:val="00103C5F"/>
    <w:rsid w:val="001044A0"/>
    <w:rsid w:val="001063A9"/>
    <w:rsid w:val="00106FD6"/>
    <w:rsid w:val="00107C32"/>
    <w:rsid w:val="00113CCD"/>
    <w:rsid w:val="00113D42"/>
    <w:rsid w:val="00113FEF"/>
    <w:rsid w:val="00114D89"/>
    <w:rsid w:val="0011693E"/>
    <w:rsid w:val="00117C3F"/>
    <w:rsid w:val="00120A6F"/>
    <w:rsid w:val="00120D3D"/>
    <w:rsid w:val="00121E3B"/>
    <w:rsid w:val="00123A44"/>
    <w:rsid w:val="0012475C"/>
    <w:rsid w:val="00127D8D"/>
    <w:rsid w:val="001305A0"/>
    <w:rsid w:val="001308F7"/>
    <w:rsid w:val="001310B9"/>
    <w:rsid w:val="001421FF"/>
    <w:rsid w:val="001534DC"/>
    <w:rsid w:val="001543CC"/>
    <w:rsid w:val="001601AF"/>
    <w:rsid w:val="001619B4"/>
    <w:rsid w:val="00161A08"/>
    <w:rsid w:val="001628A5"/>
    <w:rsid w:val="00162A7C"/>
    <w:rsid w:val="00163D28"/>
    <w:rsid w:val="00166CCA"/>
    <w:rsid w:val="00167060"/>
    <w:rsid w:val="00170B5F"/>
    <w:rsid w:val="00171AEB"/>
    <w:rsid w:val="00172F40"/>
    <w:rsid w:val="00172F9D"/>
    <w:rsid w:val="001737ED"/>
    <w:rsid w:val="00173F89"/>
    <w:rsid w:val="00174FCA"/>
    <w:rsid w:val="00175AD6"/>
    <w:rsid w:val="00177976"/>
    <w:rsid w:val="001809D8"/>
    <w:rsid w:val="001818B6"/>
    <w:rsid w:val="00181D52"/>
    <w:rsid w:val="00185F2E"/>
    <w:rsid w:val="0019152A"/>
    <w:rsid w:val="0019244A"/>
    <w:rsid w:val="001942C3"/>
    <w:rsid w:val="00197B82"/>
    <w:rsid w:val="00197F54"/>
    <w:rsid w:val="001A0813"/>
    <w:rsid w:val="001A119D"/>
    <w:rsid w:val="001A15F0"/>
    <w:rsid w:val="001A17D8"/>
    <w:rsid w:val="001A20EA"/>
    <w:rsid w:val="001A2377"/>
    <w:rsid w:val="001A2585"/>
    <w:rsid w:val="001A2C87"/>
    <w:rsid w:val="001A5FE9"/>
    <w:rsid w:val="001A6BB6"/>
    <w:rsid w:val="001B0461"/>
    <w:rsid w:val="001B0E89"/>
    <w:rsid w:val="001B1D4B"/>
    <w:rsid w:val="001B3072"/>
    <w:rsid w:val="001B3773"/>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572"/>
    <w:rsid w:val="001E07D9"/>
    <w:rsid w:val="001E0895"/>
    <w:rsid w:val="001E2815"/>
    <w:rsid w:val="001E3303"/>
    <w:rsid w:val="001E4796"/>
    <w:rsid w:val="001E6054"/>
    <w:rsid w:val="001E6CCB"/>
    <w:rsid w:val="001F0934"/>
    <w:rsid w:val="001F207C"/>
    <w:rsid w:val="001F4F56"/>
    <w:rsid w:val="001F6E1A"/>
    <w:rsid w:val="001F7A9D"/>
    <w:rsid w:val="002013EA"/>
    <w:rsid w:val="00203617"/>
    <w:rsid w:val="002042DB"/>
    <w:rsid w:val="002049A0"/>
    <w:rsid w:val="00204FC0"/>
    <w:rsid w:val="00205F1C"/>
    <w:rsid w:val="002070FC"/>
    <w:rsid w:val="00212BFF"/>
    <w:rsid w:val="00213078"/>
    <w:rsid w:val="002133C2"/>
    <w:rsid w:val="00214F6B"/>
    <w:rsid w:val="002163E7"/>
    <w:rsid w:val="00216F59"/>
    <w:rsid w:val="0021781C"/>
    <w:rsid w:val="00220C7D"/>
    <w:rsid w:val="002211A0"/>
    <w:rsid w:val="002233F1"/>
    <w:rsid w:val="00223FC3"/>
    <w:rsid w:val="002302BD"/>
    <w:rsid w:val="002305CB"/>
    <w:rsid w:val="00232CF3"/>
    <w:rsid w:val="00232E8B"/>
    <w:rsid w:val="00233151"/>
    <w:rsid w:val="00236F17"/>
    <w:rsid w:val="00237A9A"/>
    <w:rsid w:val="00241124"/>
    <w:rsid w:val="00241EBC"/>
    <w:rsid w:val="002445F2"/>
    <w:rsid w:val="002446DA"/>
    <w:rsid w:val="00244822"/>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2F2"/>
    <w:rsid w:val="002559F5"/>
    <w:rsid w:val="00255C8C"/>
    <w:rsid w:val="002568F3"/>
    <w:rsid w:val="002600EF"/>
    <w:rsid w:val="00260ED8"/>
    <w:rsid w:val="00261B3D"/>
    <w:rsid w:val="00263506"/>
    <w:rsid w:val="002637F9"/>
    <w:rsid w:val="002640C3"/>
    <w:rsid w:val="00264939"/>
    <w:rsid w:val="00266690"/>
    <w:rsid w:val="00273F65"/>
    <w:rsid w:val="0027666C"/>
    <w:rsid w:val="002767A8"/>
    <w:rsid w:val="0027698E"/>
    <w:rsid w:val="00276C0A"/>
    <w:rsid w:val="0028520A"/>
    <w:rsid w:val="00292DB8"/>
    <w:rsid w:val="00292E3A"/>
    <w:rsid w:val="00293DCE"/>
    <w:rsid w:val="00293E3F"/>
    <w:rsid w:val="00295268"/>
    <w:rsid w:val="002953B9"/>
    <w:rsid w:val="002955E2"/>
    <w:rsid w:val="002A0577"/>
    <w:rsid w:val="002A1372"/>
    <w:rsid w:val="002A2066"/>
    <w:rsid w:val="002A31AF"/>
    <w:rsid w:val="002A4575"/>
    <w:rsid w:val="002A54A6"/>
    <w:rsid w:val="002A5827"/>
    <w:rsid w:val="002A5F4C"/>
    <w:rsid w:val="002A630E"/>
    <w:rsid w:val="002B0120"/>
    <w:rsid w:val="002B3891"/>
    <w:rsid w:val="002B4A7F"/>
    <w:rsid w:val="002B712B"/>
    <w:rsid w:val="002C14C8"/>
    <w:rsid w:val="002C19FF"/>
    <w:rsid w:val="002C22B0"/>
    <w:rsid w:val="002C25AD"/>
    <w:rsid w:val="002C694B"/>
    <w:rsid w:val="002D0561"/>
    <w:rsid w:val="002D158A"/>
    <w:rsid w:val="002D2DFF"/>
    <w:rsid w:val="002D4C0B"/>
    <w:rsid w:val="002D5731"/>
    <w:rsid w:val="002E0619"/>
    <w:rsid w:val="002E0770"/>
    <w:rsid w:val="002E0859"/>
    <w:rsid w:val="002E136D"/>
    <w:rsid w:val="002E1C57"/>
    <w:rsid w:val="002E58B2"/>
    <w:rsid w:val="002E73F2"/>
    <w:rsid w:val="002F02BB"/>
    <w:rsid w:val="002F036A"/>
    <w:rsid w:val="002F0DA6"/>
    <w:rsid w:val="002F0F80"/>
    <w:rsid w:val="002F3ECD"/>
    <w:rsid w:val="002F486D"/>
    <w:rsid w:val="002F690F"/>
    <w:rsid w:val="0030010F"/>
    <w:rsid w:val="00302A04"/>
    <w:rsid w:val="003039D4"/>
    <w:rsid w:val="00303A94"/>
    <w:rsid w:val="0030433D"/>
    <w:rsid w:val="00304948"/>
    <w:rsid w:val="00304FE0"/>
    <w:rsid w:val="003058CA"/>
    <w:rsid w:val="00306FED"/>
    <w:rsid w:val="003115B9"/>
    <w:rsid w:val="00311A68"/>
    <w:rsid w:val="00312926"/>
    <w:rsid w:val="00312ED2"/>
    <w:rsid w:val="00313379"/>
    <w:rsid w:val="0031475A"/>
    <w:rsid w:val="00314807"/>
    <w:rsid w:val="00315799"/>
    <w:rsid w:val="00317836"/>
    <w:rsid w:val="003206A2"/>
    <w:rsid w:val="003215BF"/>
    <w:rsid w:val="003229D2"/>
    <w:rsid w:val="0032557F"/>
    <w:rsid w:val="00325E89"/>
    <w:rsid w:val="00326029"/>
    <w:rsid w:val="00327C20"/>
    <w:rsid w:val="0033013E"/>
    <w:rsid w:val="00331079"/>
    <w:rsid w:val="00332AFA"/>
    <w:rsid w:val="00333C32"/>
    <w:rsid w:val="0033438A"/>
    <w:rsid w:val="00334D23"/>
    <w:rsid w:val="00335B53"/>
    <w:rsid w:val="00335B97"/>
    <w:rsid w:val="00336539"/>
    <w:rsid w:val="00337046"/>
    <w:rsid w:val="00337B35"/>
    <w:rsid w:val="00342547"/>
    <w:rsid w:val="003433C2"/>
    <w:rsid w:val="00343B8E"/>
    <w:rsid w:val="003454BB"/>
    <w:rsid w:val="00346AE6"/>
    <w:rsid w:val="0035308D"/>
    <w:rsid w:val="003530E6"/>
    <w:rsid w:val="00353702"/>
    <w:rsid w:val="003560ED"/>
    <w:rsid w:val="003569FE"/>
    <w:rsid w:val="003600B3"/>
    <w:rsid w:val="00360341"/>
    <w:rsid w:val="00360E69"/>
    <w:rsid w:val="00362079"/>
    <w:rsid w:val="003624AA"/>
    <w:rsid w:val="0036367F"/>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014"/>
    <w:rsid w:val="00394176"/>
    <w:rsid w:val="003A0B6F"/>
    <w:rsid w:val="003A1DCA"/>
    <w:rsid w:val="003A58B2"/>
    <w:rsid w:val="003A62C7"/>
    <w:rsid w:val="003A6942"/>
    <w:rsid w:val="003A6D5D"/>
    <w:rsid w:val="003A7AF7"/>
    <w:rsid w:val="003B0771"/>
    <w:rsid w:val="003B1CA9"/>
    <w:rsid w:val="003B1D71"/>
    <w:rsid w:val="003B2B16"/>
    <w:rsid w:val="003B2DC7"/>
    <w:rsid w:val="003B2F0E"/>
    <w:rsid w:val="003B63D8"/>
    <w:rsid w:val="003B65C9"/>
    <w:rsid w:val="003C2B7B"/>
    <w:rsid w:val="003C5C12"/>
    <w:rsid w:val="003C65E6"/>
    <w:rsid w:val="003C6781"/>
    <w:rsid w:val="003D038A"/>
    <w:rsid w:val="003D48DA"/>
    <w:rsid w:val="003D540A"/>
    <w:rsid w:val="003D6403"/>
    <w:rsid w:val="003D7447"/>
    <w:rsid w:val="003E109B"/>
    <w:rsid w:val="003E10C5"/>
    <w:rsid w:val="003E2774"/>
    <w:rsid w:val="003E3AA4"/>
    <w:rsid w:val="003E46C0"/>
    <w:rsid w:val="003E4F2F"/>
    <w:rsid w:val="003F0137"/>
    <w:rsid w:val="003F0B08"/>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4ECA"/>
    <w:rsid w:val="00417FD9"/>
    <w:rsid w:val="00420AF8"/>
    <w:rsid w:val="00421B61"/>
    <w:rsid w:val="00421C3C"/>
    <w:rsid w:val="004232D2"/>
    <w:rsid w:val="00424DB0"/>
    <w:rsid w:val="00424EDF"/>
    <w:rsid w:val="0042658D"/>
    <w:rsid w:val="00427F43"/>
    <w:rsid w:val="004300A4"/>
    <w:rsid w:val="00431A47"/>
    <w:rsid w:val="004340A9"/>
    <w:rsid w:val="004348C9"/>
    <w:rsid w:val="004357BA"/>
    <w:rsid w:val="00436A88"/>
    <w:rsid w:val="00440C37"/>
    <w:rsid w:val="004417F1"/>
    <w:rsid w:val="00442086"/>
    <w:rsid w:val="004420BE"/>
    <w:rsid w:val="00442197"/>
    <w:rsid w:val="0044376A"/>
    <w:rsid w:val="00443949"/>
    <w:rsid w:val="00445534"/>
    <w:rsid w:val="00446020"/>
    <w:rsid w:val="004465E7"/>
    <w:rsid w:val="0045072D"/>
    <w:rsid w:val="00451B3B"/>
    <w:rsid w:val="00452280"/>
    <w:rsid w:val="004556A2"/>
    <w:rsid w:val="004558C8"/>
    <w:rsid w:val="00456368"/>
    <w:rsid w:val="0045667E"/>
    <w:rsid w:val="00456803"/>
    <w:rsid w:val="0045716B"/>
    <w:rsid w:val="00460201"/>
    <w:rsid w:val="0046089E"/>
    <w:rsid w:val="004612E9"/>
    <w:rsid w:val="00463249"/>
    <w:rsid w:val="00463FD2"/>
    <w:rsid w:val="00466C8C"/>
    <w:rsid w:val="0047100A"/>
    <w:rsid w:val="004752C5"/>
    <w:rsid w:val="004753A3"/>
    <w:rsid w:val="004768CC"/>
    <w:rsid w:val="00481B60"/>
    <w:rsid w:val="00482025"/>
    <w:rsid w:val="00482B50"/>
    <w:rsid w:val="004831C9"/>
    <w:rsid w:val="00483449"/>
    <w:rsid w:val="00483C63"/>
    <w:rsid w:val="00485B55"/>
    <w:rsid w:val="0048703A"/>
    <w:rsid w:val="0049168D"/>
    <w:rsid w:val="0049203C"/>
    <w:rsid w:val="00493235"/>
    <w:rsid w:val="004941E5"/>
    <w:rsid w:val="004967AF"/>
    <w:rsid w:val="004A0CA1"/>
    <w:rsid w:val="004A20F3"/>
    <w:rsid w:val="004A58F9"/>
    <w:rsid w:val="004A6E42"/>
    <w:rsid w:val="004B0FF6"/>
    <w:rsid w:val="004B1849"/>
    <w:rsid w:val="004B4B00"/>
    <w:rsid w:val="004B5779"/>
    <w:rsid w:val="004B5A50"/>
    <w:rsid w:val="004B7136"/>
    <w:rsid w:val="004B741F"/>
    <w:rsid w:val="004C0F0E"/>
    <w:rsid w:val="004C2447"/>
    <w:rsid w:val="004C45D0"/>
    <w:rsid w:val="004C56B7"/>
    <w:rsid w:val="004C5949"/>
    <w:rsid w:val="004C6D41"/>
    <w:rsid w:val="004D1C90"/>
    <w:rsid w:val="004D30BE"/>
    <w:rsid w:val="004D328B"/>
    <w:rsid w:val="004D35CD"/>
    <w:rsid w:val="004D3E0C"/>
    <w:rsid w:val="004D4146"/>
    <w:rsid w:val="004D7BEB"/>
    <w:rsid w:val="004E0F73"/>
    <w:rsid w:val="004E2153"/>
    <w:rsid w:val="004E232B"/>
    <w:rsid w:val="004F02E1"/>
    <w:rsid w:val="004F1386"/>
    <w:rsid w:val="004F3408"/>
    <w:rsid w:val="004F37CF"/>
    <w:rsid w:val="004F45F5"/>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42AB"/>
    <w:rsid w:val="005359A7"/>
    <w:rsid w:val="00535DA6"/>
    <w:rsid w:val="00536E21"/>
    <w:rsid w:val="00537322"/>
    <w:rsid w:val="00540668"/>
    <w:rsid w:val="00540B18"/>
    <w:rsid w:val="00540C5D"/>
    <w:rsid w:val="00541E6B"/>
    <w:rsid w:val="00543113"/>
    <w:rsid w:val="00545CB0"/>
    <w:rsid w:val="00546C4C"/>
    <w:rsid w:val="005515E8"/>
    <w:rsid w:val="00552413"/>
    <w:rsid w:val="0055413D"/>
    <w:rsid w:val="00556BBA"/>
    <w:rsid w:val="0056364D"/>
    <w:rsid w:val="00564DEC"/>
    <w:rsid w:val="00565F18"/>
    <w:rsid w:val="005662AC"/>
    <w:rsid w:val="005747C4"/>
    <w:rsid w:val="005815CB"/>
    <w:rsid w:val="005829C6"/>
    <w:rsid w:val="00582A35"/>
    <w:rsid w:val="005853E6"/>
    <w:rsid w:val="005872DA"/>
    <w:rsid w:val="00587CD7"/>
    <w:rsid w:val="0059124A"/>
    <w:rsid w:val="00591464"/>
    <w:rsid w:val="00593FC3"/>
    <w:rsid w:val="0059485A"/>
    <w:rsid w:val="005A1017"/>
    <w:rsid w:val="005A10EA"/>
    <w:rsid w:val="005A1605"/>
    <w:rsid w:val="005A1A87"/>
    <w:rsid w:val="005A1C33"/>
    <w:rsid w:val="005A38B8"/>
    <w:rsid w:val="005A4C29"/>
    <w:rsid w:val="005A6734"/>
    <w:rsid w:val="005A7B14"/>
    <w:rsid w:val="005B0BF3"/>
    <w:rsid w:val="005B4F68"/>
    <w:rsid w:val="005B710D"/>
    <w:rsid w:val="005B7A21"/>
    <w:rsid w:val="005C28BF"/>
    <w:rsid w:val="005C4FE0"/>
    <w:rsid w:val="005C6E54"/>
    <w:rsid w:val="005C7E83"/>
    <w:rsid w:val="005D0466"/>
    <w:rsid w:val="005D047B"/>
    <w:rsid w:val="005D15B5"/>
    <w:rsid w:val="005D1D26"/>
    <w:rsid w:val="005D569A"/>
    <w:rsid w:val="005D5B30"/>
    <w:rsid w:val="005D752A"/>
    <w:rsid w:val="005E079F"/>
    <w:rsid w:val="005E11AB"/>
    <w:rsid w:val="005E438D"/>
    <w:rsid w:val="005E7444"/>
    <w:rsid w:val="005F35B9"/>
    <w:rsid w:val="005F466A"/>
    <w:rsid w:val="005F5D85"/>
    <w:rsid w:val="005F5F01"/>
    <w:rsid w:val="00600AE3"/>
    <w:rsid w:val="00602870"/>
    <w:rsid w:val="00603DAC"/>
    <w:rsid w:val="00606968"/>
    <w:rsid w:val="006079E6"/>
    <w:rsid w:val="00610036"/>
    <w:rsid w:val="006100A7"/>
    <w:rsid w:val="0061039B"/>
    <w:rsid w:val="00610662"/>
    <w:rsid w:val="006119FE"/>
    <w:rsid w:val="00612BF3"/>
    <w:rsid w:val="00613511"/>
    <w:rsid w:val="00615341"/>
    <w:rsid w:val="00615B30"/>
    <w:rsid w:val="00616838"/>
    <w:rsid w:val="00616D07"/>
    <w:rsid w:val="00616D6E"/>
    <w:rsid w:val="00617625"/>
    <w:rsid w:val="00617919"/>
    <w:rsid w:val="006209C3"/>
    <w:rsid w:val="00620AC3"/>
    <w:rsid w:val="00620B67"/>
    <w:rsid w:val="0062144A"/>
    <w:rsid w:val="00625C8C"/>
    <w:rsid w:val="0062665A"/>
    <w:rsid w:val="0062671D"/>
    <w:rsid w:val="0062698C"/>
    <w:rsid w:val="00630648"/>
    <w:rsid w:val="006309A0"/>
    <w:rsid w:val="00635DB0"/>
    <w:rsid w:val="006372F4"/>
    <w:rsid w:val="00637C8E"/>
    <w:rsid w:val="00640A11"/>
    <w:rsid w:val="006428BE"/>
    <w:rsid w:val="00645E3A"/>
    <w:rsid w:val="00650521"/>
    <w:rsid w:val="00651023"/>
    <w:rsid w:val="006524E7"/>
    <w:rsid w:val="006565C8"/>
    <w:rsid w:val="00660696"/>
    <w:rsid w:val="00660FA6"/>
    <w:rsid w:val="00661C40"/>
    <w:rsid w:val="00663CB3"/>
    <w:rsid w:val="00664184"/>
    <w:rsid w:val="0066468F"/>
    <w:rsid w:val="006652DD"/>
    <w:rsid w:val="0066592E"/>
    <w:rsid w:val="006669BF"/>
    <w:rsid w:val="00666BA2"/>
    <w:rsid w:val="00670496"/>
    <w:rsid w:val="006724B9"/>
    <w:rsid w:val="00672E0E"/>
    <w:rsid w:val="00672FB4"/>
    <w:rsid w:val="006747C5"/>
    <w:rsid w:val="00676463"/>
    <w:rsid w:val="00677F8B"/>
    <w:rsid w:val="00680CBB"/>
    <w:rsid w:val="00683309"/>
    <w:rsid w:val="006834AF"/>
    <w:rsid w:val="00683843"/>
    <w:rsid w:val="00683F3E"/>
    <w:rsid w:val="0068454F"/>
    <w:rsid w:val="0068492B"/>
    <w:rsid w:val="00685B6B"/>
    <w:rsid w:val="00690920"/>
    <w:rsid w:val="0069244E"/>
    <w:rsid w:val="00692E44"/>
    <w:rsid w:val="00693643"/>
    <w:rsid w:val="00694016"/>
    <w:rsid w:val="00695838"/>
    <w:rsid w:val="00695D94"/>
    <w:rsid w:val="006960DA"/>
    <w:rsid w:val="006A0F0B"/>
    <w:rsid w:val="006A1A37"/>
    <w:rsid w:val="006A1E9E"/>
    <w:rsid w:val="006A21FC"/>
    <w:rsid w:val="006A2F36"/>
    <w:rsid w:val="006A5163"/>
    <w:rsid w:val="006B0989"/>
    <w:rsid w:val="006B0E5E"/>
    <w:rsid w:val="006B2658"/>
    <w:rsid w:val="006B2F61"/>
    <w:rsid w:val="006B557E"/>
    <w:rsid w:val="006B6985"/>
    <w:rsid w:val="006B7B0A"/>
    <w:rsid w:val="006C070F"/>
    <w:rsid w:val="006C0A69"/>
    <w:rsid w:val="006C170E"/>
    <w:rsid w:val="006C38DC"/>
    <w:rsid w:val="006C45AA"/>
    <w:rsid w:val="006C4822"/>
    <w:rsid w:val="006D12BE"/>
    <w:rsid w:val="006D225C"/>
    <w:rsid w:val="006D3B6B"/>
    <w:rsid w:val="006D4C55"/>
    <w:rsid w:val="006D642E"/>
    <w:rsid w:val="006E0967"/>
    <w:rsid w:val="006E45DD"/>
    <w:rsid w:val="006E56A2"/>
    <w:rsid w:val="006E640F"/>
    <w:rsid w:val="006E7E9F"/>
    <w:rsid w:val="006F0B1A"/>
    <w:rsid w:val="006F1A2F"/>
    <w:rsid w:val="006F20FD"/>
    <w:rsid w:val="006F3115"/>
    <w:rsid w:val="006F3297"/>
    <w:rsid w:val="006F4D79"/>
    <w:rsid w:val="006F5F3F"/>
    <w:rsid w:val="00700617"/>
    <w:rsid w:val="00700CDF"/>
    <w:rsid w:val="00701097"/>
    <w:rsid w:val="00701EDC"/>
    <w:rsid w:val="00702977"/>
    <w:rsid w:val="00702F51"/>
    <w:rsid w:val="00703CD6"/>
    <w:rsid w:val="00704DA4"/>
    <w:rsid w:val="0070655B"/>
    <w:rsid w:val="00711090"/>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4241"/>
    <w:rsid w:val="007362A4"/>
    <w:rsid w:val="0073663A"/>
    <w:rsid w:val="00736DB4"/>
    <w:rsid w:val="0073710B"/>
    <w:rsid w:val="0074053D"/>
    <w:rsid w:val="007433F8"/>
    <w:rsid w:val="007501D0"/>
    <w:rsid w:val="007508DA"/>
    <w:rsid w:val="00751369"/>
    <w:rsid w:val="00751EF6"/>
    <w:rsid w:val="007543E9"/>
    <w:rsid w:val="00755550"/>
    <w:rsid w:val="00756A2E"/>
    <w:rsid w:val="007573C3"/>
    <w:rsid w:val="0076001A"/>
    <w:rsid w:val="00760A57"/>
    <w:rsid w:val="00760DA7"/>
    <w:rsid w:val="0076239B"/>
    <w:rsid w:val="00766185"/>
    <w:rsid w:val="00771167"/>
    <w:rsid w:val="007736DF"/>
    <w:rsid w:val="00774E8C"/>
    <w:rsid w:val="00775119"/>
    <w:rsid w:val="00775930"/>
    <w:rsid w:val="00775B66"/>
    <w:rsid w:val="0077641D"/>
    <w:rsid w:val="00780BBD"/>
    <w:rsid w:val="00785D7E"/>
    <w:rsid w:val="007914C8"/>
    <w:rsid w:val="00794C43"/>
    <w:rsid w:val="00796058"/>
    <w:rsid w:val="00796132"/>
    <w:rsid w:val="007961ED"/>
    <w:rsid w:val="0079674C"/>
    <w:rsid w:val="00797CFD"/>
    <w:rsid w:val="007A1F5B"/>
    <w:rsid w:val="007A4388"/>
    <w:rsid w:val="007A5C1E"/>
    <w:rsid w:val="007A5F41"/>
    <w:rsid w:val="007A669F"/>
    <w:rsid w:val="007B2660"/>
    <w:rsid w:val="007B29BB"/>
    <w:rsid w:val="007B2DFB"/>
    <w:rsid w:val="007B52B9"/>
    <w:rsid w:val="007B5D24"/>
    <w:rsid w:val="007B6F82"/>
    <w:rsid w:val="007C05F6"/>
    <w:rsid w:val="007C1B99"/>
    <w:rsid w:val="007C3721"/>
    <w:rsid w:val="007C4179"/>
    <w:rsid w:val="007C5DA4"/>
    <w:rsid w:val="007C7399"/>
    <w:rsid w:val="007D277B"/>
    <w:rsid w:val="007D331F"/>
    <w:rsid w:val="007D46F9"/>
    <w:rsid w:val="007D4C94"/>
    <w:rsid w:val="007D4DF4"/>
    <w:rsid w:val="007D4E10"/>
    <w:rsid w:val="007D7028"/>
    <w:rsid w:val="007E1165"/>
    <w:rsid w:val="007E2B56"/>
    <w:rsid w:val="007E2F44"/>
    <w:rsid w:val="007E3BCF"/>
    <w:rsid w:val="007E421A"/>
    <w:rsid w:val="007E4274"/>
    <w:rsid w:val="007E4CE9"/>
    <w:rsid w:val="007E5567"/>
    <w:rsid w:val="007E6681"/>
    <w:rsid w:val="007E6A10"/>
    <w:rsid w:val="007F17D0"/>
    <w:rsid w:val="007F197F"/>
    <w:rsid w:val="007F260B"/>
    <w:rsid w:val="007F378C"/>
    <w:rsid w:val="007F46A7"/>
    <w:rsid w:val="007F5DC1"/>
    <w:rsid w:val="007F6E4D"/>
    <w:rsid w:val="00800ADC"/>
    <w:rsid w:val="00803E18"/>
    <w:rsid w:val="00804688"/>
    <w:rsid w:val="00805DB5"/>
    <w:rsid w:val="00807643"/>
    <w:rsid w:val="008110FF"/>
    <w:rsid w:val="00814E3D"/>
    <w:rsid w:val="00815458"/>
    <w:rsid w:val="00815D87"/>
    <w:rsid w:val="008160E8"/>
    <w:rsid w:val="00816217"/>
    <w:rsid w:val="00816369"/>
    <w:rsid w:val="008208B7"/>
    <w:rsid w:val="00821567"/>
    <w:rsid w:val="00825138"/>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8ED"/>
    <w:rsid w:val="00852C5E"/>
    <w:rsid w:val="00852F5A"/>
    <w:rsid w:val="00853D20"/>
    <w:rsid w:val="00853E81"/>
    <w:rsid w:val="0085612F"/>
    <w:rsid w:val="00856BB8"/>
    <w:rsid w:val="008571E9"/>
    <w:rsid w:val="00861733"/>
    <w:rsid w:val="00861A2E"/>
    <w:rsid w:val="00862CEB"/>
    <w:rsid w:val="00863453"/>
    <w:rsid w:val="00863AA4"/>
    <w:rsid w:val="00863DDF"/>
    <w:rsid w:val="00866185"/>
    <w:rsid w:val="00866475"/>
    <w:rsid w:val="0087128B"/>
    <w:rsid w:val="0087151B"/>
    <w:rsid w:val="00872E1F"/>
    <w:rsid w:val="008731A2"/>
    <w:rsid w:val="0087370F"/>
    <w:rsid w:val="00873846"/>
    <w:rsid w:val="00876A7C"/>
    <w:rsid w:val="00876B11"/>
    <w:rsid w:val="00877266"/>
    <w:rsid w:val="008826AF"/>
    <w:rsid w:val="008829DC"/>
    <w:rsid w:val="00883F1D"/>
    <w:rsid w:val="008845BC"/>
    <w:rsid w:val="0088599B"/>
    <w:rsid w:val="00885DD6"/>
    <w:rsid w:val="00886C85"/>
    <w:rsid w:val="008903A6"/>
    <w:rsid w:val="008906AD"/>
    <w:rsid w:val="008907B4"/>
    <w:rsid w:val="00890B76"/>
    <w:rsid w:val="00890C18"/>
    <w:rsid w:val="00892348"/>
    <w:rsid w:val="00896A4E"/>
    <w:rsid w:val="00896F25"/>
    <w:rsid w:val="00896F9E"/>
    <w:rsid w:val="00897EA1"/>
    <w:rsid w:val="008A3464"/>
    <w:rsid w:val="008A5B08"/>
    <w:rsid w:val="008A6284"/>
    <w:rsid w:val="008A6434"/>
    <w:rsid w:val="008B03AC"/>
    <w:rsid w:val="008B073A"/>
    <w:rsid w:val="008B10BB"/>
    <w:rsid w:val="008B1700"/>
    <w:rsid w:val="008B205E"/>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28C7"/>
    <w:rsid w:val="008D3AA5"/>
    <w:rsid w:val="008D4752"/>
    <w:rsid w:val="008D4A96"/>
    <w:rsid w:val="008D765A"/>
    <w:rsid w:val="008D78E1"/>
    <w:rsid w:val="008D7BB5"/>
    <w:rsid w:val="008E15F4"/>
    <w:rsid w:val="008E336B"/>
    <w:rsid w:val="008E3437"/>
    <w:rsid w:val="008E3838"/>
    <w:rsid w:val="008E3D10"/>
    <w:rsid w:val="008E5087"/>
    <w:rsid w:val="008E5DE8"/>
    <w:rsid w:val="008E6C4E"/>
    <w:rsid w:val="008F01C4"/>
    <w:rsid w:val="008F1F22"/>
    <w:rsid w:val="008F471B"/>
    <w:rsid w:val="008F4DD4"/>
    <w:rsid w:val="008F6A51"/>
    <w:rsid w:val="008F6AC8"/>
    <w:rsid w:val="009026C3"/>
    <w:rsid w:val="00902A54"/>
    <w:rsid w:val="009033B5"/>
    <w:rsid w:val="00906592"/>
    <w:rsid w:val="009066F7"/>
    <w:rsid w:val="00907CB2"/>
    <w:rsid w:val="00907CDB"/>
    <w:rsid w:val="0091070F"/>
    <w:rsid w:val="00911180"/>
    <w:rsid w:val="009126FE"/>
    <w:rsid w:val="00912A46"/>
    <w:rsid w:val="009142F6"/>
    <w:rsid w:val="00915041"/>
    <w:rsid w:val="00915E94"/>
    <w:rsid w:val="009227B4"/>
    <w:rsid w:val="009231B9"/>
    <w:rsid w:val="00925A7D"/>
    <w:rsid w:val="00925BA7"/>
    <w:rsid w:val="00927D77"/>
    <w:rsid w:val="00930548"/>
    <w:rsid w:val="009309AB"/>
    <w:rsid w:val="00930B9A"/>
    <w:rsid w:val="00931A81"/>
    <w:rsid w:val="0093232A"/>
    <w:rsid w:val="00932830"/>
    <w:rsid w:val="00934693"/>
    <w:rsid w:val="009351D7"/>
    <w:rsid w:val="00936812"/>
    <w:rsid w:val="0093694A"/>
    <w:rsid w:val="00936E0C"/>
    <w:rsid w:val="00937EDD"/>
    <w:rsid w:val="009404EC"/>
    <w:rsid w:val="00941491"/>
    <w:rsid w:val="00941742"/>
    <w:rsid w:val="00941D51"/>
    <w:rsid w:val="00943D06"/>
    <w:rsid w:val="00946CA5"/>
    <w:rsid w:val="009472E0"/>
    <w:rsid w:val="00947D8C"/>
    <w:rsid w:val="009500E7"/>
    <w:rsid w:val="0095031F"/>
    <w:rsid w:val="00950EA2"/>
    <w:rsid w:val="00951B10"/>
    <w:rsid w:val="0095249F"/>
    <w:rsid w:val="0095254D"/>
    <w:rsid w:val="00952BB2"/>
    <w:rsid w:val="00954A27"/>
    <w:rsid w:val="00955368"/>
    <w:rsid w:val="00956CB4"/>
    <w:rsid w:val="00956EB7"/>
    <w:rsid w:val="009577A3"/>
    <w:rsid w:val="00957B58"/>
    <w:rsid w:val="00960AD0"/>
    <w:rsid w:val="00964667"/>
    <w:rsid w:val="009777C1"/>
    <w:rsid w:val="0098337C"/>
    <w:rsid w:val="0098383B"/>
    <w:rsid w:val="00987062"/>
    <w:rsid w:val="00990555"/>
    <w:rsid w:val="00990909"/>
    <w:rsid w:val="009916FE"/>
    <w:rsid w:val="009918A7"/>
    <w:rsid w:val="009918A9"/>
    <w:rsid w:val="00992FB8"/>
    <w:rsid w:val="00994366"/>
    <w:rsid w:val="009947F3"/>
    <w:rsid w:val="00994A79"/>
    <w:rsid w:val="00995170"/>
    <w:rsid w:val="0099645F"/>
    <w:rsid w:val="009974DA"/>
    <w:rsid w:val="009977DD"/>
    <w:rsid w:val="00997C0F"/>
    <w:rsid w:val="009A1494"/>
    <w:rsid w:val="009A3166"/>
    <w:rsid w:val="009A6CFC"/>
    <w:rsid w:val="009B0B47"/>
    <w:rsid w:val="009B0F48"/>
    <w:rsid w:val="009B1105"/>
    <w:rsid w:val="009B1141"/>
    <w:rsid w:val="009B3382"/>
    <w:rsid w:val="009B3478"/>
    <w:rsid w:val="009B4CFF"/>
    <w:rsid w:val="009B5946"/>
    <w:rsid w:val="009B717E"/>
    <w:rsid w:val="009B71AB"/>
    <w:rsid w:val="009C0BDE"/>
    <w:rsid w:val="009C4A36"/>
    <w:rsid w:val="009C5AEB"/>
    <w:rsid w:val="009D1283"/>
    <w:rsid w:val="009D22F8"/>
    <w:rsid w:val="009D5F5F"/>
    <w:rsid w:val="009D7433"/>
    <w:rsid w:val="009D7B40"/>
    <w:rsid w:val="009D7D94"/>
    <w:rsid w:val="009E0EB6"/>
    <w:rsid w:val="009E166A"/>
    <w:rsid w:val="009E3EA6"/>
    <w:rsid w:val="009E481E"/>
    <w:rsid w:val="009E4F6F"/>
    <w:rsid w:val="009E519A"/>
    <w:rsid w:val="009E5515"/>
    <w:rsid w:val="009E557A"/>
    <w:rsid w:val="009E765A"/>
    <w:rsid w:val="009F263A"/>
    <w:rsid w:val="009F4241"/>
    <w:rsid w:val="009F5183"/>
    <w:rsid w:val="009F52F2"/>
    <w:rsid w:val="009F72FD"/>
    <w:rsid w:val="00A0024C"/>
    <w:rsid w:val="00A014EA"/>
    <w:rsid w:val="00A02F9B"/>
    <w:rsid w:val="00A05399"/>
    <w:rsid w:val="00A0547A"/>
    <w:rsid w:val="00A06CF5"/>
    <w:rsid w:val="00A1054A"/>
    <w:rsid w:val="00A105F8"/>
    <w:rsid w:val="00A14CBE"/>
    <w:rsid w:val="00A15BB6"/>
    <w:rsid w:val="00A172DE"/>
    <w:rsid w:val="00A173AE"/>
    <w:rsid w:val="00A20A78"/>
    <w:rsid w:val="00A210D4"/>
    <w:rsid w:val="00A2129B"/>
    <w:rsid w:val="00A21ADC"/>
    <w:rsid w:val="00A25833"/>
    <w:rsid w:val="00A25C2F"/>
    <w:rsid w:val="00A25CEE"/>
    <w:rsid w:val="00A26D91"/>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3474"/>
    <w:rsid w:val="00A53900"/>
    <w:rsid w:val="00A54615"/>
    <w:rsid w:val="00A549FB"/>
    <w:rsid w:val="00A54B91"/>
    <w:rsid w:val="00A5645A"/>
    <w:rsid w:val="00A62BF1"/>
    <w:rsid w:val="00A62C64"/>
    <w:rsid w:val="00A6320D"/>
    <w:rsid w:val="00A6367D"/>
    <w:rsid w:val="00A65997"/>
    <w:rsid w:val="00A667E3"/>
    <w:rsid w:val="00A66854"/>
    <w:rsid w:val="00A6779F"/>
    <w:rsid w:val="00A7038D"/>
    <w:rsid w:val="00A704A9"/>
    <w:rsid w:val="00A70622"/>
    <w:rsid w:val="00A712DA"/>
    <w:rsid w:val="00A72647"/>
    <w:rsid w:val="00A730AA"/>
    <w:rsid w:val="00A808D7"/>
    <w:rsid w:val="00A811DA"/>
    <w:rsid w:val="00A8125B"/>
    <w:rsid w:val="00A8134F"/>
    <w:rsid w:val="00A818DA"/>
    <w:rsid w:val="00A82953"/>
    <w:rsid w:val="00A83834"/>
    <w:rsid w:val="00A83C7D"/>
    <w:rsid w:val="00A844AA"/>
    <w:rsid w:val="00A8672B"/>
    <w:rsid w:val="00A877C7"/>
    <w:rsid w:val="00A90D5A"/>
    <w:rsid w:val="00A9153D"/>
    <w:rsid w:val="00A931F0"/>
    <w:rsid w:val="00A95673"/>
    <w:rsid w:val="00A95921"/>
    <w:rsid w:val="00A95B62"/>
    <w:rsid w:val="00AA1334"/>
    <w:rsid w:val="00AA30CA"/>
    <w:rsid w:val="00AA4121"/>
    <w:rsid w:val="00AA59AD"/>
    <w:rsid w:val="00AA6E8E"/>
    <w:rsid w:val="00AA6FA0"/>
    <w:rsid w:val="00AB353E"/>
    <w:rsid w:val="00AB3AE1"/>
    <w:rsid w:val="00AB3E0E"/>
    <w:rsid w:val="00AB445E"/>
    <w:rsid w:val="00AB4A50"/>
    <w:rsid w:val="00AB6042"/>
    <w:rsid w:val="00AC14B9"/>
    <w:rsid w:val="00AC2BF0"/>
    <w:rsid w:val="00AC2F49"/>
    <w:rsid w:val="00AC3BA6"/>
    <w:rsid w:val="00AC44C1"/>
    <w:rsid w:val="00AC7A11"/>
    <w:rsid w:val="00AD07FE"/>
    <w:rsid w:val="00AD21B7"/>
    <w:rsid w:val="00AD3B0F"/>
    <w:rsid w:val="00AD3E93"/>
    <w:rsid w:val="00AD5878"/>
    <w:rsid w:val="00AD632D"/>
    <w:rsid w:val="00AD75B9"/>
    <w:rsid w:val="00AD7DC0"/>
    <w:rsid w:val="00AD7FF9"/>
    <w:rsid w:val="00AE3480"/>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1E7D"/>
    <w:rsid w:val="00B11F6F"/>
    <w:rsid w:val="00B1236E"/>
    <w:rsid w:val="00B14081"/>
    <w:rsid w:val="00B140DF"/>
    <w:rsid w:val="00B17ABB"/>
    <w:rsid w:val="00B20077"/>
    <w:rsid w:val="00B20B4D"/>
    <w:rsid w:val="00B21AB5"/>
    <w:rsid w:val="00B233CE"/>
    <w:rsid w:val="00B236F7"/>
    <w:rsid w:val="00B23E78"/>
    <w:rsid w:val="00B249F9"/>
    <w:rsid w:val="00B25B2C"/>
    <w:rsid w:val="00B26DDF"/>
    <w:rsid w:val="00B27533"/>
    <w:rsid w:val="00B30909"/>
    <w:rsid w:val="00B31116"/>
    <w:rsid w:val="00B31B84"/>
    <w:rsid w:val="00B32CCB"/>
    <w:rsid w:val="00B35B11"/>
    <w:rsid w:val="00B36A40"/>
    <w:rsid w:val="00B40308"/>
    <w:rsid w:val="00B4051A"/>
    <w:rsid w:val="00B40531"/>
    <w:rsid w:val="00B40D6E"/>
    <w:rsid w:val="00B416B5"/>
    <w:rsid w:val="00B42D9C"/>
    <w:rsid w:val="00B43BC5"/>
    <w:rsid w:val="00B46941"/>
    <w:rsid w:val="00B50676"/>
    <w:rsid w:val="00B51264"/>
    <w:rsid w:val="00B51A90"/>
    <w:rsid w:val="00B5336D"/>
    <w:rsid w:val="00B53937"/>
    <w:rsid w:val="00B5559F"/>
    <w:rsid w:val="00B56BCE"/>
    <w:rsid w:val="00B57CC6"/>
    <w:rsid w:val="00B6025A"/>
    <w:rsid w:val="00B6050B"/>
    <w:rsid w:val="00B630A8"/>
    <w:rsid w:val="00B6486A"/>
    <w:rsid w:val="00B66882"/>
    <w:rsid w:val="00B67343"/>
    <w:rsid w:val="00B67E15"/>
    <w:rsid w:val="00B719E1"/>
    <w:rsid w:val="00B73260"/>
    <w:rsid w:val="00B73393"/>
    <w:rsid w:val="00B73ECE"/>
    <w:rsid w:val="00B77E51"/>
    <w:rsid w:val="00B80018"/>
    <w:rsid w:val="00B817A6"/>
    <w:rsid w:val="00B8432A"/>
    <w:rsid w:val="00B84E3D"/>
    <w:rsid w:val="00B858FE"/>
    <w:rsid w:val="00B872D6"/>
    <w:rsid w:val="00B9042C"/>
    <w:rsid w:val="00B90565"/>
    <w:rsid w:val="00B9420D"/>
    <w:rsid w:val="00B95CEE"/>
    <w:rsid w:val="00B95FAB"/>
    <w:rsid w:val="00B96D33"/>
    <w:rsid w:val="00BA2B10"/>
    <w:rsid w:val="00BA30A3"/>
    <w:rsid w:val="00BA5D7B"/>
    <w:rsid w:val="00BB3062"/>
    <w:rsid w:val="00BB70AC"/>
    <w:rsid w:val="00BC283C"/>
    <w:rsid w:val="00BC2AAF"/>
    <w:rsid w:val="00BC50F7"/>
    <w:rsid w:val="00BC54A7"/>
    <w:rsid w:val="00BC58CB"/>
    <w:rsid w:val="00BC692D"/>
    <w:rsid w:val="00BC7C29"/>
    <w:rsid w:val="00BD2BEB"/>
    <w:rsid w:val="00BD465D"/>
    <w:rsid w:val="00BD47CC"/>
    <w:rsid w:val="00BD55AF"/>
    <w:rsid w:val="00BE009D"/>
    <w:rsid w:val="00BE03B1"/>
    <w:rsid w:val="00BE0BC3"/>
    <w:rsid w:val="00BE3F31"/>
    <w:rsid w:val="00BE69DF"/>
    <w:rsid w:val="00BF1E83"/>
    <w:rsid w:val="00BF29D9"/>
    <w:rsid w:val="00BF42DA"/>
    <w:rsid w:val="00C01DCD"/>
    <w:rsid w:val="00C02835"/>
    <w:rsid w:val="00C10016"/>
    <w:rsid w:val="00C1248A"/>
    <w:rsid w:val="00C131FF"/>
    <w:rsid w:val="00C13E48"/>
    <w:rsid w:val="00C20617"/>
    <w:rsid w:val="00C22CBF"/>
    <w:rsid w:val="00C26932"/>
    <w:rsid w:val="00C32058"/>
    <w:rsid w:val="00C32B61"/>
    <w:rsid w:val="00C33DB3"/>
    <w:rsid w:val="00C36E9A"/>
    <w:rsid w:val="00C3764E"/>
    <w:rsid w:val="00C40833"/>
    <w:rsid w:val="00C4269D"/>
    <w:rsid w:val="00C437C7"/>
    <w:rsid w:val="00C43D48"/>
    <w:rsid w:val="00C46E51"/>
    <w:rsid w:val="00C51846"/>
    <w:rsid w:val="00C5185A"/>
    <w:rsid w:val="00C53C66"/>
    <w:rsid w:val="00C53D86"/>
    <w:rsid w:val="00C567FF"/>
    <w:rsid w:val="00C5702D"/>
    <w:rsid w:val="00C57814"/>
    <w:rsid w:val="00C57A5F"/>
    <w:rsid w:val="00C6092A"/>
    <w:rsid w:val="00C60BD5"/>
    <w:rsid w:val="00C60F91"/>
    <w:rsid w:val="00C613F2"/>
    <w:rsid w:val="00C643D4"/>
    <w:rsid w:val="00C64B09"/>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296"/>
    <w:rsid w:val="00C864A9"/>
    <w:rsid w:val="00C87843"/>
    <w:rsid w:val="00C87A0E"/>
    <w:rsid w:val="00C87C4E"/>
    <w:rsid w:val="00C87F5B"/>
    <w:rsid w:val="00C903B4"/>
    <w:rsid w:val="00C912AD"/>
    <w:rsid w:val="00C9368B"/>
    <w:rsid w:val="00C95454"/>
    <w:rsid w:val="00C95716"/>
    <w:rsid w:val="00C95AE4"/>
    <w:rsid w:val="00C97827"/>
    <w:rsid w:val="00C97A03"/>
    <w:rsid w:val="00C97D79"/>
    <w:rsid w:val="00CA0357"/>
    <w:rsid w:val="00CA0CF5"/>
    <w:rsid w:val="00CA21C9"/>
    <w:rsid w:val="00CA3714"/>
    <w:rsid w:val="00CA3F71"/>
    <w:rsid w:val="00CA77FB"/>
    <w:rsid w:val="00CB1DAE"/>
    <w:rsid w:val="00CB2B32"/>
    <w:rsid w:val="00CB4A03"/>
    <w:rsid w:val="00CC16DD"/>
    <w:rsid w:val="00CC1BB0"/>
    <w:rsid w:val="00CC2822"/>
    <w:rsid w:val="00CC4DA8"/>
    <w:rsid w:val="00CC5A11"/>
    <w:rsid w:val="00CC7214"/>
    <w:rsid w:val="00CD0C80"/>
    <w:rsid w:val="00CD661D"/>
    <w:rsid w:val="00CE045A"/>
    <w:rsid w:val="00CE3174"/>
    <w:rsid w:val="00CE43BD"/>
    <w:rsid w:val="00CE503F"/>
    <w:rsid w:val="00CE51C5"/>
    <w:rsid w:val="00CE6A12"/>
    <w:rsid w:val="00CE72E3"/>
    <w:rsid w:val="00CF1122"/>
    <w:rsid w:val="00CF127D"/>
    <w:rsid w:val="00CF1338"/>
    <w:rsid w:val="00CF2C78"/>
    <w:rsid w:val="00CF561D"/>
    <w:rsid w:val="00D00070"/>
    <w:rsid w:val="00D00BD0"/>
    <w:rsid w:val="00D0289E"/>
    <w:rsid w:val="00D03754"/>
    <w:rsid w:val="00D04186"/>
    <w:rsid w:val="00D045AC"/>
    <w:rsid w:val="00D04F06"/>
    <w:rsid w:val="00D055A0"/>
    <w:rsid w:val="00D07BF0"/>
    <w:rsid w:val="00D11097"/>
    <w:rsid w:val="00D115D2"/>
    <w:rsid w:val="00D12A16"/>
    <w:rsid w:val="00D13544"/>
    <w:rsid w:val="00D13C8D"/>
    <w:rsid w:val="00D148A8"/>
    <w:rsid w:val="00D151B8"/>
    <w:rsid w:val="00D15630"/>
    <w:rsid w:val="00D1660D"/>
    <w:rsid w:val="00D17641"/>
    <w:rsid w:val="00D207E4"/>
    <w:rsid w:val="00D2298D"/>
    <w:rsid w:val="00D25FFD"/>
    <w:rsid w:val="00D276F1"/>
    <w:rsid w:val="00D3141E"/>
    <w:rsid w:val="00D33088"/>
    <w:rsid w:val="00D348B0"/>
    <w:rsid w:val="00D34A4F"/>
    <w:rsid w:val="00D366BD"/>
    <w:rsid w:val="00D36EB8"/>
    <w:rsid w:val="00D4041C"/>
    <w:rsid w:val="00D40A31"/>
    <w:rsid w:val="00D40ACA"/>
    <w:rsid w:val="00D441EB"/>
    <w:rsid w:val="00D44217"/>
    <w:rsid w:val="00D46750"/>
    <w:rsid w:val="00D46B7E"/>
    <w:rsid w:val="00D4753B"/>
    <w:rsid w:val="00D47738"/>
    <w:rsid w:val="00D50D0E"/>
    <w:rsid w:val="00D52659"/>
    <w:rsid w:val="00D54D11"/>
    <w:rsid w:val="00D602CD"/>
    <w:rsid w:val="00D603C6"/>
    <w:rsid w:val="00D60F32"/>
    <w:rsid w:val="00D62D3E"/>
    <w:rsid w:val="00D63547"/>
    <w:rsid w:val="00D63FA2"/>
    <w:rsid w:val="00D708F9"/>
    <w:rsid w:val="00D739FA"/>
    <w:rsid w:val="00D75546"/>
    <w:rsid w:val="00D75D46"/>
    <w:rsid w:val="00D75E42"/>
    <w:rsid w:val="00D7667A"/>
    <w:rsid w:val="00D77A6E"/>
    <w:rsid w:val="00D81152"/>
    <w:rsid w:val="00D81538"/>
    <w:rsid w:val="00D82045"/>
    <w:rsid w:val="00D82C22"/>
    <w:rsid w:val="00D836FF"/>
    <w:rsid w:val="00D840F4"/>
    <w:rsid w:val="00D84B29"/>
    <w:rsid w:val="00D85324"/>
    <w:rsid w:val="00D85ED8"/>
    <w:rsid w:val="00D87160"/>
    <w:rsid w:val="00D87B16"/>
    <w:rsid w:val="00D87C47"/>
    <w:rsid w:val="00D90E06"/>
    <w:rsid w:val="00D91DB6"/>
    <w:rsid w:val="00D92136"/>
    <w:rsid w:val="00D9485A"/>
    <w:rsid w:val="00D952A1"/>
    <w:rsid w:val="00D95FE3"/>
    <w:rsid w:val="00DA2781"/>
    <w:rsid w:val="00DA35B5"/>
    <w:rsid w:val="00DA3F48"/>
    <w:rsid w:val="00DA6196"/>
    <w:rsid w:val="00DB1223"/>
    <w:rsid w:val="00DB2038"/>
    <w:rsid w:val="00DB2956"/>
    <w:rsid w:val="00DB487F"/>
    <w:rsid w:val="00DB6247"/>
    <w:rsid w:val="00DB71A4"/>
    <w:rsid w:val="00DC063D"/>
    <w:rsid w:val="00DC1FC8"/>
    <w:rsid w:val="00DC2CAB"/>
    <w:rsid w:val="00DC3CC6"/>
    <w:rsid w:val="00DC604D"/>
    <w:rsid w:val="00DD0548"/>
    <w:rsid w:val="00DD0576"/>
    <w:rsid w:val="00DD09E5"/>
    <w:rsid w:val="00DD2205"/>
    <w:rsid w:val="00DD2F75"/>
    <w:rsid w:val="00DD4363"/>
    <w:rsid w:val="00DD74A7"/>
    <w:rsid w:val="00DD7657"/>
    <w:rsid w:val="00DE02E7"/>
    <w:rsid w:val="00DE20E2"/>
    <w:rsid w:val="00DE2CAD"/>
    <w:rsid w:val="00DE32DD"/>
    <w:rsid w:val="00DF38A2"/>
    <w:rsid w:val="00DF3BBD"/>
    <w:rsid w:val="00DF5083"/>
    <w:rsid w:val="00DF5087"/>
    <w:rsid w:val="00DF5669"/>
    <w:rsid w:val="00DF7F6D"/>
    <w:rsid w:val="00E012B8"/>
    <w:rsid w:val="00E01CF0"/>
    <w:rsid w:val="00E02713"/>
    <w:rsid w:val="00E02AF1"/>
    <w:rsid w:val="00E04C11"/>
    <w:rsid w:val="00E05762"/>
    <w:rsid w:val="00E0730C"/>
    <w:rsid w:val="00E12627"/>
    <w:rsid w:val="00E157A3"/>
    <w:rsid w:val="00E2369D"/>
    <w:rsid w:val="00E24146"/>
    <w:rsid w:val="00E25011"/>
    <w:rsid w:val="00E25A1B"/>
    <w:rsid w:val="00E261DA"/>
    <w:rsid w:val="00E26380"/>
    <w:rsid w:val="00E314F3"/>
    <w:rsid w:val="00E345E3"/>
    <w:rsid w:val="00E363E1"/>
    <w:rsid w:val="00E37438"/>
    <w:rsid w:val="00E40FE6"/>
    <w:rsid w:val="00E43474"/>
    <w:rsid w:val="00E44C6B"/>
    <w:rsid w:val="00E45BC2"/>
    <w:rsid w:val="00E471A5"/>
    <w:rsid w:val="00E54355"/>
    <w:rsid w:val="00E56151"/>
    <w:rsid w:val="00E562BB"/>
    <w:rsid w:val="00E56A47"/>
    <w:rsid w:val="00E574F2"/>
    <w:rsid w:val="00E63A86"/>
    <w:rsid w:val="00E6442F"/>
    <w:rsid w:val="00E6478C"/>
    <w:rsid w:val="00E66659"/>
    <w:rsid w:val="00E700CA"/>
    <w:rsid w:val="00E70B03"/>
    <w:rsid w:val="00E70EDE"/>
    <w:rsid w:val="00E73793"/>
    <w:rsid w:val="00E744B5"/>
    <w:rsid w:val="00E81D6E"/>
    <w:rsid w:val="00E82D11"/>
    <w:rsid w:val="00E82E27"/>
    <w:rsid w:val="00E8300F"/>
    <w:rsid w:val="00E83137"/>
    <w:rsid w:val="00E846FF"/>
    <w:rsid w:val="00E92D87"/>
    <w:rsid w:val="00E940ED"/>
    <w:rsid w:val="00E94855"/>
    <w:rsid w:val="00E9582E"/>
    <w:rsid w:val="00E95E2E"/>
    <w:rsid w:val="00E95EB9"/>
    <w:rsid w:val="00E97125"/>
    <w:rsid w:val="00E97615"/>
    <w:rsid w:val="00EA0E80"/>
    <w:rsid w:val="00EA1178"/>
    <w:rsid w:val="00EA1DE3"/>
    <w:rsid w:val="00EA2351"/>
    <w:rsid w:val="00EA2B73"/>
    <w:rsid w:val="00EA3AB8"/>
    <w:rsid w:val="00EA6D0E"/>
    <w:rsid w:val="00EB124A"/>
    <w:rsid w:val="00EB1630"/>
    <w:rsid w:val="00EB2B72"/>
    <w:rsid w:val="00EB5118"/>
    <w:rsid w:val="00EC0BFA"/>
    <w:rsid w:val="00EC103C"/>
    <w:rsid w:val="00EC2FF4"/>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711"/>
    <w:rsid w:val="00ED7C82"/>
    <w:rsid w:val="00EE0696"/>
    <w:rsid w:val="00EE4232"/>
    <w:rsid w:val="00EE4362"/>
    <w:rsid w:val="00EE56E6"/>
    <w:rsid w:val="00EE6422"/>
    <w:rsid w:val="00EE6EBE"/>
    <w:rsid w:val="00EE75D5"/>
    <w:rsid w:val="00EF0CF0"/>
    <w:rsid w:val="00EF1610"/>
    <w:rsid w:val="00EF2330"/>
    <w:rsid w:val="00EF3837"/>
    <w:rsid w:val="00EF3FC2"/>
    <w:rsid w:val="00EF5ACA"/>
    <w:rsid w:val="00EF619B"/>
    <w:rsid w:val="00EF64C2"/>
    <w:rsid w:val="00EF7C09"/>
    <w:rsid w:val="00F013CA"/>
    <w:rsid w:val="00F01B05"/>
    <w:rsid w:val="00F037E4"/>
    <w:rsid w:val="00F054DC"/>
    <w:rsid w:val="00F05555"/>
    <w:rsid w:val="00F059F8"/>
    <w:rsid w:val="00F05CA8"/>
    <w:rsid w:val="00F15815"/>
    <w:rsid w:val="00F15900"/>
    <w:rsid w:val="00F1713A"/>
    <w:rsid w:val="00F175B6"/>
    <w:rsid w:val="00F17A72"/>
    <w:rsid w:val="00F20375"/>
    <w:rsid w:val="00F208B1"/>
    <w:rsid w:val="00F2232D"/>
    <w:rsid w:val="00F24454"/>
    <w:rsid w:val="00F266CB"/>
    <w:rsid w:val="00F268D9"/>
    <w:rsid w:val="00F30F5D"/>
    <w:rsid w:val="00F34CBB"/>
    <w:rsid w:val="00F36AFD"/>
    <w:rsid w:val="00F3745E"/>
    <w:rsid w:val="00F37C8E"/>
    <w:rsid w:val="00F40066"/>
    <w:rsid w:val="00F443A3"/>
    <w:rsid w:val="00F44F7B"/>
    <w:rsid w:val="00F45AE3"/>
    <w:rsid w:val="00F47E90"/>
    <w:rsid w:val="00F47FEA"/>
    <w:rsid w:val="00F50A15"/>
    <w:rsid w:val="00F5399B"/>
    <w:rsid w:val="00F54EE5"/>
    <w:rsid w:val="00F57621"/>
    <w:rsid w:val="00F57C9D"/>
    <w:rsid w:val="00F57DCF"/>
    <w:rsid w:val="00F60243"/>
    <w:rsid w:val="00F607FB"/>
    <w:rsid w:val="00F60D0A"/>
    <w:rsid w:val="00F61379"/>
    <w:rsid w:val="00F651F0"/>
    <w:rsid w:val="00F66913"/>
    <w:rsid w:val="00F674CC"/>
    <w:rsid w:val="00F76660"/>
    <w:rsid w:val="00F76F49"/>
    <w:rsid w:val="00F77563"/>
    <w:rsid w:val="00F81B7A"/>
    <w:rsid w:val="00F830A8"/>
    <w:rsid w:val="00F84F6A"/>
    <w:rsid w:val="00F87108"/>
    <w:rsid w:val="00F90715"/>
    <w:rsid w:val="00F9097C"/>
    <w:rsid w:val="00F90B71"/>
    <w:rsid w:val="00F9114B"/>
    <w:rsid w:val="00F93111"/>
    <w:rsid w:val="00F9318B"/>
    <w:rsid w:val="00F93578"/>
    <w:rsid w:val="00F94AE0"/>
    <w:rsid w:val="00F95229"/>
    <w:rsid w:val="00F9534F"/>
    <w:rsid w:val="00F9586C"/>
    <w:rsid w:val="00F973F8"/>
    <w:rsid w:val="00F97695"/>
    <w:rsid w:val="00FA1026"/>
    <w:rsid w:val="00FA22B7"/>
    <w:rsid w:val="00FA2BAB"/>
    <w:rsid w:val="00FA2BED"/>
    <w:rsid w:val="00FA300C"/>
    <w:rsid w:val="00FA6A64"/>
    <w:rsid w:val="00FB21EC"/>
    <w:rsid w:val="00FB36B3"/>
    <w:rsid w:val="00FB504B"/>
    <w:rsid w:val="00FB6269"/>
    <w:rsid w:val="00FB7AA4"/>
    <w:rsid w:val="00FB7BE7"/>
    <w:rsid w:val="00FC0932"/>
    <w:rsid w:val="00FC0F79"/>
    <w:rsid w:val="00FC19DC"/>
    <w:rsid w:val="00FC3AED"/>
    <w:rsid w:val="00FC51DF"/>
    <w:rsid w:val="00FC5647"/>
    <w:rsid w:val="00FC6AD6"/>
    <w:rsid w:val="00FC7546"/>
    <w:rsid w:val="00FD036D"/>
    <w:rsid w:val="00FD1158"/>
    <w:rsid w:val="00FD1658"/>
    <w:rsid w:val="00FD1800"/>
    <w:rsid w:val="00FD20BE"/>
    <w:rsid w:val="00FD2710"/>
    <w:rsid w:val="00FD49DA"/>
    <w:rsid w:val="00FE0AEA"/>
    <w:rsid w:val="00FE1260"/>
    <w:rsid w:val="00FE1637"/>
    <w:rsid w:val="00FE1AFF"/>
    <w:rsid w:val="00FE2325"/>
    <w:rsid w:val="00FE37EF"/>
    <w:rsid w:val="00FE5627"/>
    <w:rsid w:val="00FE64B9"/>
    <w:rsid w:val="00FE7770"/>
    <w:rsid w:val="00FE79FF"/>
    <w:rsid w:val="00FE7A30"/>
    <w:rsid w:val="00FF2180"/>
    <w:rsid w:val="00FF2B63"/>
    <w:rsid w:val="00FF33A7"/>
    <w:rsid w:val="00FF3F92"/>
    <w:rsid w:val="00FF7420"/>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oNotEmbedSmartTags/>
  <w:decimalSymbol w:val="."/>
  <w:listSeparator w:val=","/>
  <w15:docId w15:val="{0B516420-1AAB-4ED0-9589-B72E3A6B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fr-FR" w:eastAsia="fr-FR" w:bidi="fr-FR"/>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fr-FR"/>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Caption">
    <w:name w:val="caption"/>
    <w:basedOn w:val="Normal"/>
    <w:next w:val="Normal"/>
    <w:qFormat/>
    <w:rsid w:val="00483C63"/>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 w:val="34"/>
      <w:szCs w:val="20"/>
    </w:rPr>
  </w:style>
  <w:style w:type="paragraph" w:styleId="BodyText2">
    <w:name w:val="Body Text 2"/>
    <w:basedOn w:val="Normal"/>
    <w:link w:val="BodyText2Char"/>
    <w:rsid w:val="00F81B7A"/>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Cs w:val="20"/>
    </w:rPr>
  </w:style>
  <w:style w:type="character" w:customStyle="1" w:styleId="BodyText2Char">
    <w:name w:val="Body Text 2 Char"/>
    <w:link w:val="BodyText2"/>
    <w:rsid w:val="00F81B7A"/>
    <w:rPr>
      <w:sz w:val="22"/>
    </w:rPr>
  </w:style>
  <w:style w:type="character" w:customStyle="1" w:styleId="FooterChar">
    <w:name w:val="Footer Char"/>
    <w:basedOn w:val="DefaultParagraphFont"/>
    <w:link w:val="Footer"/>
    <w:uiPriority w:val="99"/>
    <w:rsid w:val="00E83137"/>
    <w:rPr>
      <w:rFonts w:ascii="Calibri" w:eastAsia="Calibri" w:hAnsi="Calibri"/>
      <w:sz w:val="22"/>
      <w:szCs w:val="22"/>
      <w:lang w:eastAsia="fr-FR"/>
    </w:rPr>
  </w:style>
  <w:style w:type="paragraph" w:styleId="PlainText">
    <w:name w:val="Plain Text"/>
    <w:basedOn w:val="Normal"/>
    <w:link w:val="PlainTextChar"/>
    <w:uiPriority w:val="99"/>
    <w:unhideWhenUsed/>
    <w:rsid w:val="00FD2710"/>
    <w:rPr>
      <w:rFonts w:ascii="Consolas" w:eastAsia="Times New Roman" w:hAnsi="Consolas"/>
      <w:sz w:val="21"/>
      <w:szCs w:val="21"/>
    </w:rPr>
  </w:style>
  <w:style w:type="character" w:customStyle="1" w:styleId="PlainTextChar">
    <w:name w:val="Plain Text Char"/>
    <w:basedOn w:val="DefaultParagraphFont"/>
    <w:link w:val="PlainText"/>
    <w:uiPriority w:val="99"/>
    <w:rsid w:val="00FD2710"/>
    <w:rPr>
      <w:rFonts w:ascii="Consolas" w:hAnsi="Consolas"/>
      <w:sz w:val="21"/>
      <w:szCs w:val="21"/>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603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777DC-A25C-4F95-87AD-C2A22A5C6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17</TotalTime>
  <Pages>5</Pages>
  <Words>1508</Words>
  <Characters>8597</Characters>
  <Application>Microsoft Office Word</Application>
  <DocSecurity>0</DocSecurity>
  <Lines>71</Lines>
  <Paragraphs>20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10085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Liu, Lei</cp:lastModifiedBy>
  <cp:revision>5</cp:revision>
  <cp:lastPrinted>2015-06-23T07:59:00Z</cp:lastPrinted>
  <dcterms:created xsi:type="dcterms:W3CDTF">2018-12-20T07:40:00Z</dcterms:created>
  <dcterms:modified xsi:type="dcterms:W3CDTF">2019-01-08T09:31:00Z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