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13FB4" w14:textId="4E337F9B" w:rsidR="00FD2710" w:rsidRPr="00B00403" w:rsidRDefault="00FD2710" w:rsidP="00FD2710">
      <w:pPr>
        <w:pStyle w:val="PlainText"/>
        <w:rPr>
          <w:rFonts w:ascii="Courier New" w:hAnsi="Courier New" w:cs="Courier New"/>
          <w:sz w:val="20"/>
          <w:szCs w:val="20"/>
        </w:rPr>
      </w:pPr>
      <w:r>
        <w:rPr>
          <w:rFonts w:ascii="Courier New" w:hAnsi="Courier New"/>
          <w:sz w:val="20"/>
        </w:rPr>
        <w:t xml:space="preserve">1. ------IND- 2018 0649 FIN PL- ------ 20190107 --- --- PROJET </w:t>
      </w:r>
    </w:p>
    <w:p w14:paraId="7DBC30C0" w14:textId="77777777" w:rsidR="00FD2710" w:rsidRDefault="00FD2710" w:rsidP="006A1A37">
      <w:pPr>
        <w:pStyle w:val="LLMinisterionAsetus"/>
      </w:pPr>
    </w:p>
    <w:p w14:paraId="237A9389" w14:textId="77777777" w:rsidR="006A1A37" w:rsidRDefault="006A1A37" w:rsidP="006A1A37">
      <w:pPr>
        <w:pStyle w:val="LLMinisterionAsetus"/>
      </w:pPr>
      <w:r>
        <w:t>Rozporządzenie Ministerstwa Środowiska</w:t>
      </w:r>
    </w:p>
    <w:p w14:paraId="307AA5B1" w14:textId="46B28F29" w:rsidR="004A0CA1" w:rsidRPr="004A0CA1" w:rsidRDefault="00906592" w:rsidP="00466C8C">
      <w:pPr>
        <w:pStyle w:val="LLSaadoksenNimi"/>
        <w:tabs>
          <w:tab w:val="center" w:pos="4173"/>
          <w:tab w:val="left" w:pos="7651"/>
        </w:tabs>
        <w:jc w:val="left"/>
      </w:pPr>
      <w:r>
        <w:t>w sprawie zasadniczych wymagań technicznych dotyczących armatury przeznaczonej do wykorzystania w instalacjach wodociągowych w budynkach</w:t>
      </w:r>
    </w:p>
    <w:p w14:paraId="6C33569B" w14:textId="77777777" w:rsidR="004A0CA1" w:rsidRDefault="004A0CA1" w:rsidP="004A0CA1">
      <w:pPr>
        <w:pStyle w:val="LLNormaali"/>
      </w:pPr>
    </w:p>
    <w:p w14:paraId="088E7A50" w14:textId="40DA3E4C" w:rsidR="00B11F6F" w:rsidRDefault="00B11F6F" w:rsidP="00B11F6F">
      <w:pPr>
        <w:pStyle w:val="LLJohtolauseKappaleet"/>
      </w:pPr>
      <w:r>
        <w:t>Decyzją Ministerstwa Środowiska na podstawie § 117 lit. c) pkt 3 ustawy o użytkowaniu gruntów i budownictwie (132/1999) zmienionej ustawą 958/2012, rozporządza się, co następuje:</w:t>
      </w:r>
    </w:p>
    <w:p w14:paraId="0C03AFFB" w14:textId="77777777" w:rsidR="006A1A37" w:rsidRDefault="006A1A37" w:rsidP="00E83137">
      <w:pPr>
        <w:pStyle w:val="LLPykala"/>
        <w:keepNext/>
        <w:keepLines/>
        <w:spacing w:before="240" w:after="240"/>
      </w:pPr>
      <w:r>
        <w:t>§ 1</w:t>
      </w:r>
    </w:p>
    <w:p w14:paraId="0482DCEB" w14:textId="77777777" w:rsidR="006A1A37" w:rsidRDefault="006A1A37" w:rsidP="00E83137">
      <w:pPr>
        <w:pStyle w:val="LLPykalanOtsikko"/>
        <w:keepNext/>
        <w:keepLines/>
      </w:pPr>
      <w:r>
        <w:t>Zakres rozporządzenia</w:t>
      </w:r>
    </w:p>
    <w:p w14:paraId="2B61E7B5" w14:textId="52938D17" w:rsidR="00B11F6F" w:rsidRDefault="00B11F6F" w:rsidP="00E83137">
      <w:pPr>
        <w:pStyle w:val="LLVoimaantulokappale"/>
      </w:pPr>
      <w:r>
        <w:t xml:space="preserve">W rozporządzeniu określa się podstawowe wymagania dotyczące armatury przeznaczonej do doprowadzania wody pitnej i ciepłej wody użytkowej w budynkach i na terenie nieruchomości. </w:t>
      </w:r>
    </w:p>
    <w:p w14:paraId="160E83A8" w14:textId="77777777" w:rsidR="006A1A37" w:rsidRDefault="006A1A37" w:rsidP="00E83137">
      <w:pPr>
        <w:pStyle w:val="LLPykala"/>
        <w:keepNext/>
        <w:keepLines/>
        <w:spacing w:before="240" w:after="240"/>
      </w:pPr>
      <w:r>
        <w:t>§ 2</w:t>
      </w:r>
    </w:p>
    <w:p w14:paraId="45DD7376" w14:textId="77777777" w:rsidR="006A1A37" w:rsidRDefault="006A1A37" w:rsidP="00E83137">
      <w:pPr>
        <w:pStyle w:val="LLPykalanOtsikko"/>
        <w:keepNext/>
        <w:keepLines/>
      </w:pPr>
      <w:r>
        <w:t>Definicje</w:t>
      </w:r>
    </w:p>
    <w:p w14:paraId="5BA34EE1" w14:textId="74EB72CE" w:rsidR="00B11F6F" w:rsidRDefault="00D46750" w:rsidP="00E83137">
      <w:pPr>
        <w:pStyle w:val="LLNormaali"/>
        <w:ind w:firstLine="142"/>
        <w:jc w:val="both"/>
      </w:pPr>
      <w:r>
        <w:rPr>
          <w:i/>
        </w:rPr>
        <w:t>Armatura</w:t>
      </w:r>
      <w:r>
        <w:t xml:space="preserve"> oznacza różne typy kranów przeznaczonych do dostarczania wody. Do armatury może zaliczać się bateria mieszająca podłączona do rury doprowadzającej zimną wodę oraz rury doprowadzającej ciepłą wodę lub kurek czerpalny podłączony do rury doprowadzającej zimną wodę bądź rury doprowadzającej ciepłą wodę.</w:t>
      </w:r>
    </w:p>
    <w:p w14:paraId="1EEB3631" w14:textId="77777777" w:rsidR="006A1A37" w:rsidRDefault="006A1A37" w:rsidP="00E83137">
      <w:pPr>
        <w:pStyle w:val="LLPykala"/>
        <w:keepNext/>
        <w:keepLines/>
        <w:spacing w:before="240" w:after="240"/>
      </w:pPr>
      <w:r>
        <w:t>§ 3</w:t>
      </w:r>
    </w:p>
    <w:p w14:paraId="408ABFE8" w14:textId="77777777" w:rsidR="00B11F6F" w:rsidRDefault="00B11F6F" w:rsidP="00E83137">
      <w:pPr>
        <w:pStyle w:val="LLPykalanOtsikko"/>
        <w:keepNext/>
        <w:keepLines/>
      </w:pPr>
      <w:r>
        <w:t xml:space="preserve">Przydatność do celów doprowadzania wody pitnej </w:t>
      </w:r>
    </w:p>
    <w:p w14:paraId="25F0F369" w14:textId="71B353C9" w:rsidR="00941742" w:rsidRPr="00666BA2" w:rsidRDefault="00941742" w:rsidP="00666BA2">
      <w:pPr>
        <w:pStyle w:val="LLVoimaantulokappale"/>
      </w:pPr>
      <w:r>
        <w:t>Armatura nie może uwalniać do wody substancji niebezpiecznych dla zdrowia lub dla jakości wody. Materiały wchodzące w kontakt z wodą muszą być odpowiednie do celów doprowadzania wody pitnej.</w:t>
      </w:r>
    </w:p>
    <w:p w14:paraId="55439C41" w14:textId="7A3C306D" w:rsidR="00E02713" w:rsidRPr="00666BA2" w:rsidRDefault="00E02713" w:rsidP="00666BA2">
      <w:pPr>
        <w:pStyle w:val="LLVoimaantulokappale"/>
      </w:pPr>
      <w:r>
        <w:t>Stężenie ołowiu wymywanego do wody używanej w badaniu z materiału, z którego wykonana jest armatura, nie może przekraczać pięciu mikrogramów na litr w przypadku gdy materiał poddawany jest 26-tygodniowemu badaniu na wymywanie w warunkach podobnych do rzeczywistych warunków użytkowania. Kwasowość (wartość pH) wody użytej w badaniu musi wynosić 6,7–8,4, zasadowość 0,5–1,3 milimoli na litr, a nasycenie tlenem – ponad 70%. Przed pobraniem próbki wodę użytą w badaniu zostawia się do odstania na cztery godziny.</w:t>
      </w:r>
    </w:p>
    <w:p w14:paraId="6D077293" w14:textId="4DF132FB" w:rsidR="00E02713" w:rsidRPr="00666BA2" w:rsidRDefault="00E02713" w:rsidP="00666BA2">
      <w:pPr>
        <w:pStyle w:val="LLVoimaantulokappale"/>
      </w:pPr>
      <w:r>
        <w:t>Aby został zaspokojony alternatywny wymóg dotyczący produktu w zakresie maksymalnej zawartości ołowiu wymywanego z armatury do wody, zawartość ta nie może przekraczać pięciu mikrogramów w przypadku gdy badanie na wymywanie prowadzono w okresie 10 dni. Podczas badania zawartość kadmu rozpuszczonego w wodzie nie może przekraczać dwóch mikrogramów. Jako roztworu badawczego używa się wymiennej syntetycznej wody pitnej o kwasowości wynoszącej 7,0±0,1.</w:t>
      </w:r>
    </w:p>
    <w:p w14:paraId="5B44EED3" w14:textId="77777777" w:rsidR="006A1A37" w:rsidRDefault="006A1A37" w:rsidP="00E83137">
      <w:pPr>
        <w:pStyle w:val="LLPykala"/>
        <w:keepNext/>
        <w:keepLines/>
        <w:spacing w:before="240" w:after="240"/>
      </w:pPr>
      <w:r>
        <w:lastRenderedPageBreak/>
        <w:t xml:space="preserve">§ 4 </w:t>
      </w:r>
    </w:p>
    <w:p w14:paraId="7E8AF814" w14:textId="77777777" w:rsidR="003B65C9" w:rsidRPr="00240E69" w:rsidRDefault="003B65C9" w:rsidP="00E83137">
      <w:pPr>
        <w:pStyle w:val="LLPykalanOtsikko"/>
        <w:keepNext/>
        <w:keepLines/>
        <w:rPr>
          <w:i w:val="0"/>
        </w:rPr>
      </w:pPr>
      <w:r>
        <w:t xml:space="preserve">Odporność części metalowych na korozję </w:t>
      </w:r>
    </w:p>
    <w:p w14:paraId="6E31A07F" w14:textId="77777777" w:rsidR="00FA22B7" w:rsidRPr="00666BA2" w:rsidRDefault="0062671D" w:rsidP="00666BA2">
      <w:pPr>
        <w:pStyle w:val="LLVoimaantulokappale"/>
      </w:pPr>
      <w:r>
        <w:t>Części metalowe armatury wchodzące w kontakt z wodą wykonuje się z materiału odpornego na korozję. Elementy mosiężne podlegające ciśnieniu wody wykonuje się z mosiądzu odpornego na odcynkowanie.</w:t>
      </w:r>
    </w:p>
    <w:p w14:paraId="385372C6" w14:textId="0BF53479" w:rsidR="003454BB" w:rsidRPr="00666BA2" w:rsidRDefault="00CF1338" w:rsidP="00666BA2">
      <w:pPr>
        <w:pStyle w:val="LLVoimaantulokappale"/>
      </w:pPr>
      <w:r>
        <w:t>Maksymalna głębokość odcynkowania armatury nie może przekraczać 200 mikrometrów. Nie wymaga się wykazania stopnia odcynkowania w przypadku gdy zawartość cynku w składzie armatury nie przekracza 15%.</w:t>
      </w:r>
    </w:p>
    <w:p w14:paraId="5C7D5C28" w14:textId="78B31841" w:rsidR="00E744B5" w:rsidRPr="007C4179" w:rsidRDefault="00E744B5" w:rsidP="00E83137">
      <w:pPr>
        <w:pStyle w:val="LLPykala"/>
        <w:keepNext/>
        <w:keepLines/>
        <w:spacing w:before="240" w:after="240"/>
      </w:pPr>
      <w:r>
        <w:t>§ 5</w:t>
      </w:r>
    </w:p>
    <w:p w14:paraId="504554EE" w14:textId="678C1810" w:rsidR="00E744B5" w:rsidRDefault="00825138" w:rsidP="00E83137">
      <w:pPr>
        <w:pStyle w:val="LLPykalanOtsikko"/>
        <w:keepNext/>
        <w:keepLines/>
      </w:pPr>
      <w:r>
        <w:t>Powierzchnia zewnętrzna i użyteczność</w:t>
      </w:r>
    </w:p>
    <w:p w14:paraId="0ED8059B" w14:textId="048408AA" w:rsidR="00E744B5" w:rsidRPr="00087684" w:rsidRDefault="007362A4" w:rsidP="00666BA2">
      <w:pPr>
        <w:pStyle w:val="LLVoimaantulokappale"/>
      </w:pPr>
      <w:r>
        <w:t>Powierzchnia zewnętrzna armatury jest gładka i wolna od defektów, bez ostrych elementów wystających.</w:t>
      </w:r>
    </w:p>
    <w:p w14:paraId="105BC84E" w14:textId="799389D0" w:rsidR="00F81B7A" w:rsidRDefault="00F81B7A" w:rsidP="00666BA2">
      <w:pPr>
        <w:pStyle w:val="LLVoimaantulokappale"/>
      </w:pPr>
      <w:r>
        <w:t xml:space="preserve">Armatura jest łatwa w użyciu i można ją czyścić bez wykorzystania specjalnych materiałów. </w:t>
      </w:r>
    </w:p>
    <w:p w14:paraId="2C200645" w14:textId="15E3177F" w:rsidR="00672FB4" w:rsidRDefault="00AC7A11" w:rsidP="00666BA2">
      <w:pPr>
        <w:pStyle w:val="LLVoimaantulokappale"/>
      </w:pPr>
      <w:r>
        <w:t>Producent podaje temperaturę powierzchni regulatora armatury po upuszczaniu przez minutę wody bieżącej o temperaturze 65 stopni Celsjusza.</w:t>
      </w:r>
    </w:p>
    <w:p w14:paraId="639D45CD" w14:textId="77777777" w:rsidR="00C86296" w:rsidRPr="007C4179" w:rsidRDefault="00C86296" w:rsidP="00E83137">
      <w:pPr>
        <w:pStyle w:val="LLPykala"/>
        <w:keepNext/>
        <w:keepLines/>
        <w:spacing w:before="240" w:after="240"/>
      </w:pPr>
      <w:r>
        <w:t>§ 6</w:t>
      </w:r>
    </w:p>
    <w:p w14:paraId="238BC748" w14:textId="77777777" w:rsidR="00C86296" w:rsidRDefault="00C86296" w:rsidP="00E83137">
      <w:pPr>
        <w:pStyle w:val="LLPykalanOtsikko"/>
        <w:keepNext/>
        <w:keepLines/>
      </w:pPr>
      <w:r>
        <w:t xml:space="preserve">Elementy funkcjonalne </w:t>
      </w:r>
    </w:p>
    <w:p w14:paraId="02C06235" w14:textId="398F58E1" w:rsidR="00794C43" w:rsidRPr="00794C43" w:rsidRDefault="008829DC" w:rsidP="00666BA2">
      <w:pPr>
        <w:pStyle w:val="LLVoimaantulokappale"/>
      </w:pPr>
      <w:r>
        <w:t xml:space="preserve">Wodę zimną oznacza się na armaturze kolorem niebieskim, a ciepłą czerwonym. Regulację temperatury na głowicy termostatycznej może również wskazywać skala temperatury lub symbole. </w:t>
      </w:r>
    </w:p>
    <w:p w14:paraId="29844D7E" w14:textId="3FB4CB3C" w:rsidR="00E744B5" w:rsidRDefault="00A667E3" w:rsidP="00666BA2">
      <w:pPr>
        <w:pStyle w:val="LLVoimaantulokappale"/>
      </w:pPr>
      <w:r>
        <w:t>W przypadku gdy armatura obejmuje zawór pralki, wyraźnie widoczne są pozycje otwarta i zamknięta zaworu.</w:t>
      </w:r>
    </w:p>
    <w:p w14:paraId="61AE7029" w14:textId="77777777" w:rsidR="00D77A6E" w:rsidRPr="003A0B6F" w:rsidRDefault="00EC2FF4" w:rsidP="00E83137">
      <w:pPr>
        <w:pStyle w:val="LLPykala"/>
        <w:keepNext/>
        <w:keepLines/>
        <w:spacing w:before="240" w:after="240"/>
      </w:pPr>
      <w:r>
        <w:t>§ 7</w:t>
      </w:r>
    </w:p>
    <w:p w14:paraId="7C11BD7E" w14:textId="77777777" w:rsidR="003C6781" w:rsidRPr="003A0B6F" w:rsidRDefault="00AA6FA0" w:rsidP="00E83137">
      <w:pPr>
        <w:pStyle w:val="LLPykalanOtsikko"/>
        <w:keepNext/>
        <w:keepLines/>
      </w:pPr>
      <w:r>
        <w:t>Baterie elektroniczne</w:t>
      </w:r>
    </w:p>
    <w:p w14:paraId="4F9F7A7E" w14:textId="4B517486" w:rsidR="00312926" w:rsidRPr="00666BA2" w:rsidRDefault="00AA6FA0" w:rsidP="00666BA2">
      <w:pPr>
        <w:pStyle w:val="LLVoimaantulokappale"/>
      </w:pPr>
      <w:r>
        <w:t xml:space="preserve">Napięcie robocze baterii elektronicznej nie przekracza 42 V AC lub 72 V DC. Źródłem zasilania może być transformator, akumulator lub inne źródło zasilania podłączone do sieci elektroenergetycznej. </w:t>
      </w:r>
    </w:p>
    <w:p w14:paraId="342B0705" w14:textId="0233C5D8" w:rsidR="000D1CBA" w:rsidRPr="003A0B6F" w:rsidRDefault="000D1CBA" w:rsidP="00666BA2">
      <w:pPr>
        <w:pStyle w:val="LLVoimaantulokappale"/>
      </w:pPr>
      <w:r>
        <w:t>Stopień ochrony podaje się dla jednostki elektronicznej baterii elektronicznej. Stopień ochrony zlewu i baterii kuchennej wynosi co najmniej IP 44, a baterii prysznicowych IP 67.</w:t>
      </w:r>
    </w:p>
    <w:p w14:paraId="71B91D16" w14:textId="13965CA7" w:rsidR="00CE503F" w:rsidRPr="003A0B6F" w:rsidRDefault="003229D2" w:rsidP="00666BA2">
      <w:pPr>
        <w:pStyle w:val="LLVoimaantulokappale"/>
      </w:pPr>
      <w:r>
        <w:t xml:space="preserve">W przypadku przerwy w zasilaniu zamyka się dostawę wody w baterii podłączonej do sieci elektroenergetycznej. Dostawa wody w kranie zasilanym z akumulatora nie może być otwarta, jeżeli napięcie akumulatora spada poniżej progu napięcia roboczego. </w:t>
      </w:r>
    </w:p>
    <w:p w14:paraId="700C4579" w14:textId="77777777" w:rsidR="00E744B5" w:rsidRDefault="00EC2FF4" w:rsidP="00E83137">
      <w:pPr>
        <w:pStyle w:val="LLPykala"/>
        <w:keepNext/>
        <w:keepLines/>
        <w:spacing w:before="240" w:after="240"/>
      </w:pPr>
      <w:r>
        <w:t>§ 8</w:t>
      </w:r>
    </w:p>
    <w:p w14:paraId="21D22F44" w14:textId="77777777" w:rsidR="00E744B5" w:rsidRPr="00666BA2" w:rsidRDefault="00D90E06" w:rsidP="00E83137">
      <w:pPr>
        <w:pStyle w:val="LLPykalanOtsikko"/>
        <w:keepNext/>
        <w:keepLines/>
      </w:pPr>
      <w:r>
        <w:t>Konstrukcja i wymiary</w:t>
      </w:r>
    </w:p>
    <w:p w14:paraId="176C045E" w14:textId="17399250" w:rsidR="00FE7A30" w:rsidRPr="000213F6" w:rsidRDefault="00FE7A30" w:rsidP="00666BA2">
      <w:pPr>
        <w:pStyle w:val="LLVoimaantulokappale"/>
      </w:pPr>
      <w:r>
        <w:t xml:space="preserve">Konstrukcja i wymiary armatury umożliwiają jej montaż w miejscu przeznaczonym dla armatury, zgodnie z jej przeznaczeniem. Główne wymiary armatury odpowiadają wymiarom podanym w tabeli 1. W celu podłączenia do rury doprowadzającej wodę, elementy mocujące kurka lub przewody armatury podłącza się do przyłącza rury doprowadzającej wodę za pomocą elementów mocujących przeznaczonych dla kranów. </w:t>
      </w:r>
    </w:p>
    <w:p w14:paraId="7EBB1911" w14:textId="0FB3B011" w:rsidR="0099645F" w:rsidRDefault="00FE7A30" w:rsidP="00666BA2">
      <w:pPr>
        <w:pStyle w:val="LLVoimaantulokappale"/>
      </w:pPr>
      <w:r>
        <w:t>Armatura przeznaczona do montażu w ścianie wyposażona jest w zdejmowane wieczko umożliwiające kontrolę i naprawę kranu.</w:t>
      </w:r>
    </w:p>
    <w:p w14:paraId="61C9E6FB" w14:textId="796CBB68" w:rsidR="002D5731" w:rsidRDefault="002D5731" w:rsidP="00666BA2">
      <w:pPr>
        <w:pStyle w:val="LLVoimaantulokappale"/>
      </w:pPr>
      <w:r>
        <w:t>Podaje się kąt obrotu wylotu kranu w baterii łazienkowej. Wyciągany kran w baterii kuchennej wyposażony jest w automatyczny mechanizm wciągający.</w:t>
      </w:r>
    </w:p>
    <w:p w14:paraId="7AED1BC9" w14:textId="7B7635DE" w:rsidR="0099645F" w:rsidRDefault="0099645F" w:rsidP="0099645F">
      <w:pPr>
        <w:spacing w:line="220" w:lineRule="exact"/>
        <w:ind w:firstLine="170"/>
        <w:jc w:val="both"/>
        <w:rPr>
          <w:rFonts w:ascii="Times New Roman" w:hAnsi="Times New Roman"/>
        </w:rPr>
      </w:pPr>
    </w:p>
    <w:p w14:paraId="754FEC1F" w14:textId="2A3320FC"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lastRenderedPageBreak/>
        <w:t>Tabela 1. Główne wymiary armatury.</w:t>
      </w:r>
    </w:p>
    <w:p w14:paraId="23C58DBD"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29C4EECD" w14:textId="77777777" w:rsidTr="00E83137">
        <w:trPr>
          <w:cantSplit/>
        </w:trPr>
        <w:tc>
          <w:tcPr>
            <w:tcW w:w="5850" w:type="dxa"/>
            <w:tcBorders>
              <w:top w:val="single" w:sz="6" w:space="0" w:color="auto"/>
              <w:left w:val="single" w:sz="6" w:space="0" w:color="auto"/>
              <w:right w:val="single" w:sz="6" w:space="0" w:color="auto"/>
            </w:tcBorders>
          </w:tcPr>
          <w:p w14:paraId="16225614" w14:textId="0EEC0288"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Rodzaj armatury i fizyczna wielkość</w:t>
            </w:r>
          </w:p>
        </w:tc>
        <w:tc>
          <w:tcPr>
            <w:tcW w:w="1404" w:type="dxa"/>
            <w:tcBorders>
              <w:top w:val="single" w:sz="6" w:space="0" w:color="auto"/>
              <w:left w:val="single" w:sz="6" w:space="0" w:color="auto"/>
              <w:right w:val="single" w:sz="6" w:space="0" w:color="auto"/>
            </w:tcBorders>
          </w:tcPr>
          <w:p w14:paraId="3E4CF7A3" w14:textId="07FD2050"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Wymiar</w:t>
            </w:r>
          </w:p>
        </w:tc>
      </w:tr>
      <w:tr w:rsidR="0099645F" w:rsidRPr="00F33C23" w14:paraId="1A8EB1C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309E600" w14:textId="0F29DDED"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Bateria ścienna</w:t>
            </w:r>
          </w:p>
        </w:tc>
        <w:tc>
          <w:tcPr>
            <w:tcW w:w="1404" w:type="dxa"/>
            <w:tcBorders>
              <w:top w:val="single" w:sz="6" w:space="0" w:color="auto"/>
              <w:left w:val="single" w:sz="6" w:space="0" w:color="auto"/>
              <w:bottom w:val="single" w:sz="6" w:space="0" w:color="auto"/>
              <w:right w:val="single" w:sz="6" w:space="0" w:color="auto"/>
            </w:tcBorders>
          </w:tcPr>
          <w:p w14:paraId="2DC931F8" w14:textId="77777777" w:rsidR="0099645F" w:rsidRPr="00F33C23" w:rsidRDefault="0099645F" w:rsidP="00E83137">
            <w:pPr>
              <w:jc w:val="center"/>
              <w:rPr>
                <w:rFonts w:ascii="Times New Roman" w:hAnsi="Times New Roman"/>
                <w:color w:val="000000"/>
                <w:sz w:val="20"/>
                <w:szCs w:val="20"/>
              </w:rPr>
            </w:pPr>
          </w:p>
        </w:tc>
      </w:tr>
      <w:tr w:rsidR="0099645F" w:rsidRPr="00F33C23" w14:paraId="399DB05A"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F467F4C" w14:textId="31BBAD89"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Przyłącze wlotowe, odległość między osiami środkowymi</w:t>
            </w:r>
          </w:p>
        </w:tc>
        <w:tc>
          <w:tcPr>
            <w:tcW w:w="1404" w:type="dxa"/>
            <w:tcBorders>
              <w:top w:val="single" w:sz="6" w:space="0" w:color="auto"/>
              <w:left w:val="single" w:sz="6" w:space="0" w:color="auto"/>
              <w:bottom w:val="single" w:sz="6" w:space="0" w:color="auto"/>
              <w:right w:val="single" w:sz="6" w:space="0" w:color="auto"/>
            </w:tcBorders>
          </w:tcPr>
          <w:p w14:paraId="7E8E714E"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(150±1) mm</w:t>
            </w:r>
          </w:p>
        </w:tc>
      </w:tr>
      <w:tr w:rsidR="0099645F" w:rsidRPr="00F33C23" w14:paraId="0CE305A7"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1833FA3" w14:textId="0E5B592E"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rozmiar gwintu</w:t>
            </w:r>
          </w:p>
        </w:tc>
        <w:tc>
          <w:tcPr>
            <w:tcW w:w="1404" w:type="dxa"/>
            <w:tcBorders>
              <w:top w:val="single" w:sz="6" w:space="0" w:color="auto"/>
              <w:left w:val="single" w:sz="6" w:space="0" w:color="auto"/>
              <w:bottom w:val="single" w:sz="6" w:space="0" w:color="auto"/>
              <w:right w:val="single" w:sz="6" w:space="0" w:color="auto"/>
            </w:tcBorders>
          </w:tcPr>
          <w:p w14:paraId="532D535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14:paraId="17A772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C5C915C" w14:textId="6178ED56"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długość gwintu</w:t>
            </w:r>
          </w:p>
        </w:tc>
        <w:tc>
          <w:tcPr>
            <w:tcW w:w="1404" w:type="dxa"/>
            <w:tcBorders>
              <w:top w:val="single" w:sz="6" w:space="0" w:color="auto"/>
              <w:left w:val="single" w:sz="6" w:space="0" w:color="auto"/>
              <w:bottom w:val="single" w:sz="6" w:space="0" w:color="auto"/>
              <w:right w:val="single" w:sz="6" w:space="0" w:color="auto"/>
            </w:tcBorders>
          </w:tcPr>
          <w:p w14:paraId="06417162" w14:textId="4A95436A"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 9 mm</w:t>
            </w:r>
          </w:p>
        </w:tc>
      </w:tr>
      <w:tr w:rsidR="0099645F" w:rsidRPr="00F33C23" w14:paraId="69D1F3B2"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DF0BC07" w14:textId="59BA5FDE"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Odległość między środkiem wylotu kranu a płaszczyzną ściany</w:t>
            </w:r>
          </w:p>
        </w:tc>
        <w:tc>
          <w:tcPr>
            <w:tcW w:w="1404" w:type="dxa"/>
            <w:tcBorders>
              <w:top w:val="single" w:sz="6" w:space="0" w:color="auto"/>
              <w:left w:val="single" w:sz="6" w:space="0" w:color="auto"/>
              <w:bottom w:val="single" w:sz="6" w:space="0" w:color="auto"/>
              <w:right w:val="single" w:sz="6" w:space="0" w:color="auto"/>
            </w:tcBorders>
          </w:tcPr>
          <w:p w14:paraId="676A086C"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115 mm</w:t>
            </w:r>
          </w:p>
        </w:tc>
      </w:tr>
      <w:tr w:rsidR="0099645F" w:rsidRPr="00F33C23" w14:paraId="75B5C01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67ED30C" w14:textId="4394BE8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Rozmiar gwintu innego wylotu, głowicy prysznicowej itp.</w:t>
            </w:r>
          </w:p>
        </w:tc>
        <w:tc>
          <w:tcPr>
            <w:tcW w:w="1404" w:type="dxa"/>
            <w:tcBorders>
              <w:top w:val="single" w:sz="6" w:space="0" w:color="auto"/>
              <w:left w:val="single" w:sz="6" w:space="0" w:color="auto"/>
              <w:bottom w:val="single" w:sz="6" w:space="0" w:color="auto"/>
              <w:right w:val="single" w:sz="6" w:space="0" w:color="auto"/>
            </w:tcBorders>
          </w:tcPr>
          <w:p w14:paraId="3A7355F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14:paraId="4BEE083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963620" w14:textId="35EE7C23"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długość gwintu</w:t>
            </w:r>
          </w:p>
        </w:tc>
        <w:tc>
          <w:tcPr>
            <w:tcW w:w="1404" w:type="dxa"/>
            <w:tcBorders>
              <w:top w:val="single" w:sz="6" w:space="0" w:color="auto"/>
              <w:left w:val="single" w:sz="6" w:space="0" w:color="auto"/>
              <w:bottom w:val="single" w:sz="6" w:space="0" w:color="auto"/>
              <w:right w:val="single" w:sz="6" w:space="0" w:color="auto"/>
            </w:tcBorders>
          </w:tcPr>
          <w:p w14:paraId="15A73D79"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8 mm</w:t>
            </w:r>
          </w:p>
        </w:tc>
      </w:tr>
      <w:tr w:rsidR="0099645F" w:rsidRPr="00F33C23" w14:paraId="5A23F65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5BF490F" w14:textId="3C5D062C"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Bateria kranowa (umywalkowa, kuchenna)</w:t>
            </w:r>
          </w:p>
        </w:tc>
        <w:tc>
          <w:tcPr>
            <w:tcW w:w="1404" w:type="dxa"/>
            <w:tcBorders>
              <w:top w:val="single" w:sz="6" w:space="0" w:color="auto"/>
              <w:left w:val="single" w:sz="6" w:space="0" w:color="auto"/>
              <w:bottom w:val="single" w:sz="6" w:space="0" w:color="auto"/>
              <w:right w:val="single" w:sz="6" w:space="0" w:color="auto"/>
            </w:tcBorders>
          </w:tcPr>
          <w:p w14:paraId="166274B5" w14:textId="77777777" w:rsidR="0099645F" w:rsidRPr="00F33C23" w:rsidRDefault="0099645F" w:rsidP="00E83137">
            <w:pPr>
              <w:jc w:val="center"/>
              <w:rPr>
                <w:rFonts w:ascii="Times New Roman" w:hAnsi="Times New Roman"/>
                <w:color w:val="000000"/>
                <w:sz w:val="20"/>
                <w:szCs w:val="20"/>
              </w:rPr>
            </w:pPr>
          </w:p>
        </w:tc>
      </w:tr>
      <w:tr w:rsidR="0099645F" w:rsidRPr="00F33C23" w14:paraId="14146553"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0ADE5A9" w14:textId="57C29F5F"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Wysokość najniższego punktu wylotu kranu w stosunku do poziomu blatu</w:t>
            </w:r>
          </w:p>
        </w:tc>
        <w:tc>
          <w:tcPr>
            <w:tcW w:w="1404" w:type="dxa"/>
            <w:tcBorders>
              <w:top w:val="single" w:sz="6" w:space="0" w:color="auto"/>
              <w:left w:val="single" w:sz="6" w:space="0" w:color="auto"/>
              <w:bottom w:val="single" w:sz="6" w:space="0" w:color="auto"/>
              <w:right w:val="single" w:sz="6" w:space="0" w:color="auto"/>
            </w:tcBorders>
          </w:tcPr>
          <w:p w14:paraId="1A50428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25 mm</w:t>
            </w:r>
          </w:p>
        </w:tc>
      </w:tr>
      <w:tr w:rsidR="0099645F" w:rsidRPr="00F33C23" w14:paraId="62E41B4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D7FCA6F" w14:textId="4071320F"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Długość przewodu łączącego</w:t>
            </w:r>
          </w:p>
        </w:tc>
        <w:tc>
          <w:tcPr>
            <w:tcW w:w="1404" w:type="dxa"/>
            <w:tcBorders>
              <w:top w:val="single" w:sz="6" w:space="0" w:color="auto"/>
              <w:left w:val="single" w:sz="6" w:space="0" w:color="auto"/>
              <w:bottom w:val="single" w:sz="6" w:space="0" w:color="auto"/>
              <w:right w:val="single" w:sz="6" w:space="0" w:color="auto"/>
            </w:tcBorders>
          </w:tcPr>
          <w:p w14:paraId="5A8607BF"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350 mm</w:t>
            </w:r>
          </w:p>
        </w:tc>
      </w:tr>
      <w:tr w:rsidR="0099645F" w:rsidRPr="00F33C23" w14:paraId="138D1F30"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3F84EE8" w14:textId="18A1A2C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Miedziane przewody łączące, średnica zewnętrzna</w:t>
            </w:r>
          </w:p>
        </w:tc>
        <w:tc>
          <w:tcPr>
            <w:tcW w:w="1404" w:type="dxa"/>
            <w:tcBorders>
              <w:top w:val="single" w:sz="6" w:space="0" w:color="auto"/>
              <w:left w:val="single" w:sz="6" w:space="0" w:color="auto"/>
              <w:bottom w:val="single" w:sz="6" w:space="0" w:color="auto"/>
              <w:right w:val="single" w:sz="6" w:space="0" w:color="auto"/>
            </w:tcBorders>
          </w:tcPr>
          <w:p w14:paraId="47F816BD"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14:paraId="169FC17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7F235B4" w14:textId="29D292ED"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Giętkie przewody łączące, gwint przyłącza</w:t>
            </w:r>
          </w:p>
        </w:tc>
        <w:tc>
          <w:tcPr>
            <w:tcW w:w="1404" w:type="dxa"/>
            <w:tcBorders>
              <w:top w:val="single" w:sz="6" w:space="0" w:color="auto"/>
              <w:left w:val="single" w:sz="6" w:space="0" w:color="auto"/>
              <w:bottom w:val="single" w:sz="6" w:space="0" w:color="auto"/>
              <w:right w:val="single" w:sz="6" w:space="0" w:color="auto"/>
            </w:tcBorders>
          </w:tcPr>
          <w:p w14:paraId="1202F5E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14:paraId="4BC6232F" w14:textId="116CFEB6" w:rsidR="008528ED" w:rsidRDefault="00EC2FF4" w:rsidP="00E83137">
      <w:pPr>
        <w:pStyle w:val="LLPykala"/>
        <w:keepNext/>
        <w:keepLines/>
        <w:spacing w:before="240" w:after="240"/>
      </w:pPr>
      <w:r>
        <w:t>§ 9</w:t>
      </w:r>
    </w:p>
    <w:p w14:paraId="0B40AE33" w14:textId="00FD809C" w:rsidR="008528ED" w:rsidRPr="00BC54A7" w:rsidRDefault="008D28C7" w:rsidP="00E83137">
      <w:pPr>
        <w:pStyle w:val="LLPykalanOtsikko"/>
        <w:keepNext/>
        <w:keepLines/>
        <w:rPr>
          <w:i w:val="0"/>
          <w:color w:val="000000"/>
        </w:rPr>
      </w:pPr>
      <w:r>
        <w:rPr>
          <w:color w:val="000000"/>
        </w:rPr>
        <w:t>Standardowe natężenie przepływu</w:t>
      </w:r>
    </w:p>
    <w:p w14:paraId="4B679220" w14:textId="2392815D" w:rsidR="00E744B5" w:rsidRDefault="00483C63" w:rsidP="00666BA2">
      <w:pPr>
        <w:pStyle w:val="LLVoimaantulokappale"/>
      </w:pPr>
      <w:r>
        <w:t>Armatura zapewnia standardowe natężenie przepływu do celów wyszczególnionych w tabeli 2.</w:t>
      </w:r>
    </w:p>
    <w:p w14:paraId="009B34E4" w14:textId="77777777" w:rsidR="00E83137" w:rsidRDefault="00E83137" w:rsidP="00483C63">
      <w:pPr>
        <w:widowControl w:val="0"/>
        <w:ind w:right="56"/>
        <w:rPr>
          <w:rFonts w:ascii="Times New Roman" w:eastAsia="Times New Roman" w:hAnsi="Times New Roman"/>
          <w:snapToGrid w:val="0"/>
          <w:color w:val="000000"/>
          <w:sz w:val="20"/>
          <w:szCs w:val="20"/>
        </w:rPr>
      </w:pPr>
    </w:p>
    <w:p w14:paraId="025C04C7" w14:textId="3D73F43C"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Tabela 2. Standardowe natężenie przepływu odpowiednio do przeznaczenia armatury pod ciśnieniem 3,0+0,2/-0 bar.</w:t>
      </w:r>
    </w:p>
    <w:p w14:paraId="6CDB4979"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4B91C18E" w14:textId="77777777" w:rsidTr="00E83137">
        <w:trPr>
          <w:cantSplit/>
        </w:trPr>
        <w:tc>
          <w:tcPr>
            <w:tcW w:w="3752" w:type="dxa"/>
            <w:vMerge w:val="restart"/>
            <w:tcBorders>
              <w:top w:val="single" w:sz="6" w:space="0" w:color="auto"/>
              <w:left w:val="single" w:sz="6" w:space="0" w:color="auto"/>
              <w:right w:val="single" w:sz="6" w:space="0" w:color="auto"/>
            </w:tcBorders>
          </w:tcPr>
          <w:p w14:paraId="0C2987CA" w14:textId="57128A56"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Przeznaczenie armatury</w:t>
            </w:r>
          </w:p>
        </w:tc>
        <w:tc>
          <w:tcPr>
            <w:tcW w:w="2808" w:type="dxa"/>
            <w:gridSpan w:val="2"/>
            <w:tcBorders>
              <w:top w:val="single" w:sz="6" w:space="0" w:color="auto"/>
              <w:left w:val="single" w:sz="6" w:space="0" w:color="auto"/>
              <w:bottom w:val="single" w:sz="6" w:space="0" w:color="auto"/>
              <w:right w:val="single" w:sz="6" w:space="0" w:color="auto"/>
            </w:tcBorders>
          </w:tcPr>
          <w:p w14:paraId="304B15D8" w14:textId="270E544E"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Standardowe natężenie przepływu dm</w:t>
            </w:r>
            <w:r>
              <w:rPr>
                <w:rFonts w:ascii="Times New Roman" w:hAnsi="Times New Roman"/>
                <w:color w:val="000000"/>
                <w:sz w:val="20"/>
                <w:vertAlign w:val="superscript"/>
              </w:rPr>
              <w:t>3</w:t>
            </w:r>
            <w:r>
              <w:rPr>
                <w:rFonts w:ascii="Times New Roman" w:hAnsi="Times New Roman"/>
                <w:color w:val="000000"/>
                <w:sz w:val="20"/>
              </w:rPr>
              <w:t>/s</w:t>
            </w:r>
          </w:p>
        </w:tc>
      </w:tr>
      <w:tr w:rsidR="00483C63" w14:paraId="050AD14D" w14:textId="77777777" w:rsidTr="00E83137">
        <w:trPr>
          <w:cantSplit/>
        </w:trPr>
        <w:tc>
          <w:tcPr>
            <w:tcW w:w="3752" w:type="dxa"/>
            <w:vMerge/>
            <w:tcBorders>
              <w:left w:val="single" w:sz="6" w:space="0" w:color="auto"/>
              <w:bottom w:val="single" w:sz="6" w:space="0" w:color="auto"/>
              <w:right w:val="single" w:sz="6" w:space="0" w:color="auto"/>
            </w:tcBorders>
          </w:tcPr>
          <w:p w14:paraId="31BB465E"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8875F8F" w14:textId="0500BAFD"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Natężenie przepływu</w:t>
            </w:r>
          </w:p>
        </w:tc>
        <w:tc>
          <w:tcPr>
            <w:tcW w:w="1404" w:type="dxa"/>
            <w:tcBorders>
              <w:top w:val="single" w:sz="6" w:space="0" w:color="auto"/>
              <w:left w:val="single" w:sz="6" w:space="0" w:color="auto"/>
              <w:bottom w:val="single" w:sz="6" w:space="0" w:color="auto"/>
              <w:right w:val="single" w:sz="6" w:space="0" w:color="auto"/>
            </w:tcBorders>
          </w:tcPr>
          <w:p w14:paraId="7C69E1DD" w14:textId="77777777"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Wartości graniczne </w:t>
            </w:r>
          </w:p>
        </w:tc>
      </w:tr>
      <w:tr w:rsidR="00483C63" w14:paraId="007AB0D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B0C2DC0" w14:textId="7D51E0CD"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Bateria kuchenna</w:t>
            </w:r>
          </w:p>
        </w:tc>
        <w:tc>
          <w:tcPr>
            <w:tcW w:w="1404" w:type="dxa"/>
            <w:tcBorders>
              <w:top w:val="single" w:sz="6" w:space="0" w:color="auto"/>
              <w:left w:val="single" w:sz="6" w:space="0" w:color="auto"/>
              <w:bottom w:val="single" w:sz="6" w:space="0" w:color="auto"/>
              <w:right w:val="single" w:sz="6" w:space="0" w:color="auto"/>
            </w:tcBorders>
          </w:tcPr>
          <w:p w14:paraId="6D43C9C2"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5C9FFB5B" w14:textId="0E7A04DA"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14:paraId="169941DB"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DF1FB0" w14:textId="492A1753"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Zawór zmywarki</w:t>
            </w:r>
          </w:p>
        </w:tc>
        <w:tc>
          <w:tcPr>
            <w:tcW w:w="1404" w:type="dxa"/>
            <w:tcBorders>
              <w:top w:val="single" w:sz="6" w:space="0" w:color="auto"/>
              <w:left w:val="single" w:sz="6" w:space="0" w:color="auto"/>
              <w:bottom w:val="single" w:sz="6" w:space="0" w:color="auto"/>
              <w:right w:val="single" w:sz="6" w:space="0" w:color="auto"/>
            </w:tcBorders>
          </w:tcPr>
          <w:p w14:paraId="73CF9F3E"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F1D0016" w14:textId="7A18E3D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00FBD8C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10803DC3" w14:textId="6ECDB8E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Bateria umywalkowa i prysznic ręczny</w:t>
            </w:r>
          </w:p>
        </w:tc>
        <w:tc>
          <w:tcPr>
            <w:tcW w:w="1404" w:type="dxa"/>
            <w:tcBorders>
              <w:top w:val="single" w:sz="6" w:space="0" w:color="auto"/>
              <w:left w:val="single" w:sz="6" w:space="0" w:color="auto"/>
              <w:bottom w:val="single" w:sz="6" w:space="0" w:color="auto"/>
              <w:right w:val="single" w:sz="6" w:space="0" w:color="auto"/>
            </w:tcBorders>
          </w:tcPr>
          <w:p w14:paraId="22CE151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14:paraId="570BF67C" w14:textId="362BAAF5"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14:paraId="32D378E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8B8FD93" w14:textId="653C138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Bateria prysznicowa</w:t>
            </w:r>
          </w:p>
        </w:tc>
        <w:tc>
          <w:tcPr>
            <w:tcW w:w="1404" w:type="dxa"/>
            <w:tcBorders>
              <w:top w:val="single" w:sz="6" w:space="0" w:color="auto"/>
              <w:left w:val="single" w:sz="6" w:space="0" w:color="auto"/>
              <w:bottom w:val="single" w:sz="6" w:space="0" w:color="auto"/>
              <w:right w:val="single" w:sz="6" w:space="0" w:color="auto"/>
            </w:tcBorders>
          </w:tcPr>
          <w:p w14:paraId="4BE4C6B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22A86FBD" w14:textId="444A574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2004BD9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5D22E8D" w14:textId="4CC6A5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Bateria wannowa</w:t>
            </w:r>
          </w:p>
        </w:tc>
        <w:tc>
          <w:tcPr>
            <w:tcW w:w="1404" w:type="dxa"/>
            <w:tcBorders>
              <w:top w:val="single" w:sz="6" w:space="0" w:color="auto"/>
              <w:left w:val="single" w:sz="6" w:space="0" w:color="auto"/>
              <w:bottom w:val="single" w:sz="6" w:space="0" w:color="auto"/>
              <w:right w:val="single" w:sz="6" w:space="0" w:color="auto"/>
            </w:tcBorders>
          </w:tcPr>
          <w:p w14:paraId="1B50C1FF"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14:paraId="042F2756" w14:textId="6BC50076"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14:paraId="149EF87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0EA68A0" w14:textId="2579FC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Kurek czerpalny</w:t>
            </w:r>
          </w:p>
        </w:tc>
        <w:tc>
          <w:tcPr>
            <w:tcW w:w="1404" w:type="dxa"/>
            <w:tcBorders>
              <w:top w:val="single" w:sz="6" w:space="0" w:color="auto"/>
              <w:left w:val="single" w:sz="6" w:space="0" w:color="auto"/>
              <w:bottom w:val="single" w:sz="6" w:space="0" w:color="auto"/>
              <w:right w:val="single" w:sz="6" w:space="0" w:color="auto"/>
            </w:tcBorders>
          </w:tcPr>
          <w:p w14:paraId="6BBCBE5B"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42DF8931" w14:textId="44BB780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6A3678A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6F49CD3" w14:textId="53CDC15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Zawór ogrodowy DN 15</w:t>
            </w:r>
          </w:p>
        </w:tc>
        <w:tc>
          <w:tcPr>
            <w:tcW w:w="1404" w:type="dxa"/>
            <w:tcBorders>
              <w:top w:val="single" w:sz="6" w:space="0" w:color="auto"/>
              <w:left w:val="single" w:sz="6" w:space="0" w:color="auto"/>
              <w:bottom w:val="single" w:sz="6" w:space="0" w:color="auto"/>
              <w:right w:val="single" w:sz="6" w:space="0" w:color="auto"/>
            </w:tcBorders>
          </w:tcPr>
          <w:p w14:paraId="6131228B" w14:textId="76E25CF3"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35070ACF" w14:textId="3F70042B"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3BB4491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367AB43" w14:textId="177F0E02"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Zawór ogrodowy DN 20</w:t>
            </w:r>
          </w:p>
        </w:tc>
        <w:tc>
          <w:tcPr>
            <w:tcW w:w="1404" w:type="dxa"/>
            <w:tcBorders>
              <w:top w:val="single" w:sz="6" w:space="0" w:color="auto"/>
              <w:left w:val="single" w:sz="6" w:space="0" w:color="auto"/>
              <w:bottom w:val="single" w:sz="6" w:space="0" w:color="auto"/>
              <w:right w:val="single" w:sz="6" w:space="0" w:color="auto"/>
            </w:tcBorders>
          </w:tcPr>
          <w:p w14:paraId="3B21E189" w14:textId="1CFB95B9"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1DD62774" w14:textId="530B0652"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14:paraId="10EBD773"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1ADC026" w14:textId="00492FAF"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Zawór spłuczki pisuaru</w:t>
            </w:r>
          </w:p>
        </w:tc>
        <w:tc>
          <w:tcPr>
            <w:tcW w:w="1404" w:type="dxa"/>
            <w:tcBorders>
              <w:top w:val="single" w:sz="6" w:space="0" w:color="auto"/>
              <w:left w:val="single" w:sz="6" w:space="0" w:color="auto"/>
              <w:bottom w:val="single" w:sz="6" w:space="0" w:color="auto"/>
              <w:right w:val="single" w:sz="6" w:space="0" w:color="auto"/>
            </w:tcBorders>
          </w:tcPr>
          <w:p w14:paraId="71B13503"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364BB1AC" w14:textId="203D76BB"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min. 0,40</w:t>
            </w:r>
          </w:p>
        </w:tc>
      </w:tr>
    </w:tbl>
    <w:p w14:paraId="69D7CCB6" w14:textId="6FA696FD" w:rsidR="006A1A37" w:rsidRDefault="00EC2FF4" w:rsidP="00E83137">
      <w:pPr>
        <w:pStyle w:val="LLPykala"/>
        <w:keepNext/>
        <w:keepLines/>
        <w:spacing w:before="240" w:after="240"/>
      </w:pPr>
      <w:r>
        <w:t>§ 10</w:t>
      </w:r>
    </w:p>
    <w:p w14:paraId="16D54E2B" w14:textId="77777777" w:rsidR="003B65C9" w:rsidRDefault="009A6CFC" w:rsidP="00E83137">
      <w:pPr>
        <w:pStyle w:val="LLPykalanOtsikko"/>
        <w:keepNext/>
        <w:keepLines/>
      </w:pPr>
      <w:r>
        <w:t xml:space="preserve">Trwałość </w:t>
      </w:r>
    </w:p>
    <w:p w14:paraId="10247841" w14:textId="0D871B67" w:rsidR="0062671D" w:rsidRPr="00666BA2" w:rsidRDefault="009A6CFC" w:rsidP="00666BA2">
      <w:pPr>
        <w:pStyle w:val="LLVoimaantulokappale"/>
      </w:pPr>
      <w:r>
        <w:t>Armatura musi być odporna na oddziaływanie mechaniczne, chemiczne i cieplne występujące w instalacjach wodociągowych, zachowując funkcjonalność i higienę przez cały planowany okres eksploatacji.</w:t>
      </w:r>
    </w:p>
    <w:p w14:paraId="622604AB" w14:textId="7FAF9DAF" w:rsidR="003B65C9" w:rsidRPr="00666BA2" w:rsidRDefault="003B65C9" w:rsidP="00666BA2">
      <w:pPr>
        <w:pStyle w:val="LLVoimaantulokappale"/>
      </w:pPr>
      <w:r>
        <w:t>Armatura być odporna na warunki użytkowania wskazane w tabeli 3, zachowując szczelność i niezawodność.</w:t>
      </w:r>
    </w:p>
    <w:p w14:paraId="4B564362"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4763E516" w14:textId="34367B97"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lastRenderedPageBreak/>
        <w:t>Tabela 3. Warunki użytkowania armatury.</w:t>
      </w:r>
    </w:p>
    <w:p w14:paraId="5E5858B4"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11C02AFC"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7E4FD7D0" w14:textId="2E5C1442"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Instalacja wodna</w:t>
            </w:r>
          </w:p>
        </w:tc>
        <w:tc>
          <w:tcPr>
            <w:tcW w:w="4678" w:type="dxa"/>
            <w:gridSpan w:val="2"/>
            <w:tcBorders>
              <w:top w:val="single" w:sz="6" w:space="0" w:color="auto"/>
              <w:left w:val="single" w:sz="6" w:space="0" w:color="auto"/>
              <w:bottom w:val="single" w:sz="6" w:space="0" w:color="auto"/>
              <w:right w:val="single" w:sz="6" w:space="0" w:color="auto"/>
            </w:tcBorders>
          </w:tcPr>
          <w:p w14:paraId="58175261" w14:textId="77777777"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Warunek użytkowania</w:t>
            </w:r>
          </w:p>
        </w:tc>
      </w:tr>
      <w:tr w:rsidR="003058CA" w14:paraId="434499B2"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3DAD90"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D3820A4"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Wartość skrajna</w:t>
            </w:r>
          </w:p>
        </w:tc>
        <w:tc>
          <w:tcPr>
            <w:tcW w:w="2410" w:type="dxa"/>
            <w:tcBorders>
              <w:top w:val="single" w:sz="6" w:space="0" w:color="auto"/>
              <w:left w:val="single" w:sz="6" w:space="0" w:color="auto"/>
              <w:bottom w:val="single" w:sz="6" w:space="0" w:color="auto"/>
              <w:right w:val="single" w:sz="6" w:space="0" w:color="auto"/>
            </w:tcBorders>
          </w:tcPr>
          <w:p w14:paraId="0D48F751"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Normalne warunki użytkowania</w:t>
            </w:r>
          </w:p>
        </w:tc>
      </w:tr>
      <w:tr w:rsidR="004D7BEB" w14:paraId="3A89DA21" w14:textId="77777777" w:rsidTr="00E83137">
        <w:trPr>
          <w:cantSplit/>
        </w:trPr>
        <w:tc>
          <w:tcPr>
            <w:tcW w:w="747" w:type="dxa"/>
            <w:vMerge w:val="restart"/>
            <w:tcBorders>
              <w:top w:val="single" w:sz="6" w:space="0" w:color="auto"/>
              <w:left w:val="single" w:sz="6" w:space="0" w:color="auto"/>
              <w:right w:val="single" w:sz="6" w:space="0" w:color="auto"/>
            </w:tcBorders>
          </w:tcPr>
          <w:p w14:paraId="39C90F24" w14:textId="45A8D195"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Ciśnienie</w:t>
            </w:r>
          </w:p>
        </w:tc>
        <w:tc>
          <w:tcPr>
            <w:tcW w:w="2268" w:type="dxa"/>
            <w:tcBorders>
              <w:top w:val="single" w:sz="6" w:space="0" w:color="auto"/>
              <w:left w:val="single" w:sz="6" w:space="0" w:color="auto"/>
              <w:bottom w:val="single" w:sz="6" w:space="0" w:color="auto"/>
              <w:right w:val="single" w:sz="6" w:space="0" w:color="auto"/>
            </w:tcBorders>
          </w:tcPr>
          <w:p w14:paraId="7156AADF" w14:textId="787D07EF" w:rsidR="004D7BEB" w:rsidRDefault="00BD47CC" w:rsidP="00E83137">
            <w:pPr>
              <w:rPr>
                <w:rFonts w:ascii="Times New Roman" w:hAnsi="Times New Roman"/>
                <w:color w:val="000000"/>
                <w:sz w:val="20"/>
                <w:szCs w:val="20"/>
              </w:rPr>
            </w:pPr>
            <w:r>
              <w:rPr>
                <w:rFonts w:ascii="Times New Roman" w:hAnsi="Times New Roman"/>
                <w:color w:val="000000"/>
                <w:sz w:val="20"/>
              </w:rPr>
              <w:t>Ciśnienie przepływu, minimum</w:t>
            </w:r>
          </w:p>
        </w:tc>
        <w:tc>
          <w:tcPr>
            <w:tcW w:w="2268" w:type="dxa"/>
            <w:tcBorders>
              <w:top w:val="single" w:sz="6" w:space="0" w:color="auto"/>
              <w:left w:val="single" w:sz="6" w:space="0" w:color="auto"/>
              <w:bottom w:val="single" w:sz="6" w:space="0" w:color="auto"/>
              <w:right w:val="single" w:sz="6" w:space="0" w:color="auto"/>
            </w:tcBorders>
          </w:tcPr>
          <w:p w14:paraId="24E62234" w14:textId="5A22C15D"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14:paraId="2BBADBAA" w14:textId="29301FCE"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14:paraId="39487018" w14:textId="77777777" w:rsidTr="00E83137">
        <w:trPr>
          <w:cantSplit/>
        </w:trPr>
        <w:tc>
          <w:tcPr>
            <w:tcW w:w="747" w:type="dxa"/>
            <w:vMerge/>
            <w:tcBorders>
              <w:left w:val="single" w:sz="6" w:space="0" w:color="auto"/>
              <w:bottom w:val="single" w:sz="6" w:space="0" w:color="auto"/>
              <w:right w:val="single" w:sz="6" w:space="0" w:color="auto"/>
            </w:tcBorders>
          </w:tcPr>
          <w:p w14:paraId="558207DE"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7874AE5B" w14:textId="77777777" w:rsidR="004D7BEB" w:rsidRDefault="004D7BEB" w:rsidP="00E83137">
            <w:pPr>
              <w:rPr>
                <w:rFonts w:ascii="Times New Roman" w:hAnsi="Times New Roman"/>
                <w:color w:val="000000"/>
                <w:sz w:val="20"/>
                <w:szCs w:val="20"/>
              </w:rPr>
            </w:pPr>
            <w:r>
              <w:rPr>
                <w:rFonts w:ascii="Times New Roman" w:hAnsi="Times New Roman"/>
                <w:color w:val="000000"/>
                <w:sz w:val="20"/>
              </w:rPr>
              <w:t>Ciśnienie statyczne, maksimum</w:t>
            </w:r>
          </w:p>
        </w:tc>
        <w:tc>
          <w:tcPr>
            <w:tcW w:w="2268" w:type="dxa"/>
            <w:tcBorders>
              <w:top w:val="single" w:sz="6" w:space="0" w:color="auto"/>
              <w:left w:val="single" w:sz="6" w:space="0" w:color="auto"/>
              <w:bottom w:val="single" w:sz="6" w:space="0" w:color="auto"/>
              <w:right w:val="single" w:sz="6" w:space="0" w:color="auto"/>
            </w:tcBorders>
          </w:tcPr>
          <w:p w14:paraId="2F51C9AD" w14:textId="0260EF05"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14:paraId="6FB2CBFC" w14:textId="3640F468"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14:paraId="5D4972F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2B0111C7" w14:textId="6FA64E9D"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Temperatura wody, maksimum</w:t>
            </w:r>
          </w:p>
        </w:tc>
        <w:tc>
          <w:tcPr>
            <w:tcW w:w="2268" w:type="dxa"/>
            <w:tcBorders>
              <w:top w:val="single" w:sz="6" w:space="0" w:color="auto"/>
              <w:left w:val="single" w:sz="6" w:space="0" w:color="auto"/>
              <w:bottom w:val="single" w:sz="6" w:space="0" w:color="auto"/>
              <w:right w:val="single" w:sz="6" w:space="0" w:color="auto"/>
            </w:tcBorders>
          </w:tcPr>
          <w:p w14:paraId="6313B697" w14:textId="5BBE4B50"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14:paraId="06509AA5"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65°C</w:t>
            </w:r>
          </w:p>
        </w:tc>
      </w:tr>
      <w:tr w:rsidR="00BD47CC" w14:paraId="75816C58"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5CC9BC9" w14:textId="77777777"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Baterie elektroniczne: 75°C </w:t>
            </w:r>
          </w:p>
        </w:tc>
      </w:tr>
    </w:tbl>
    <w:p w14:paraId="526534F0" w14:textId="564A329B" w:rsidR="00DE02E7" w:rsidRDefault="00446020" w:rsidP="00E83137">
      <w:pPr>
        <w:pStyle w:val="LLPykala"/>
        <w:keepNext/>
        <w:keepLines/>
        <w:spacing w:before="240" w:after="240"/>
      </w:pPr>
      <w:r>
        <w:t>§ 11</w:t>
      </w:r>
    </w:p>
    <w:p w14:paraId="0FACB03C" w14:textId="77777777" w:rsidR="00DE02E7" w:rsidRDefault="00AB3AE1" w:rsidP="00E83137">
      <w:pPr>
        <w:pStyle w:val="LLPykalanOtsikko"/>
        <w:keepNext/>
        <w:keepLines/>
      </w:pPr>
      <w:r>
        <w:t xml:space="preserve">Klasy szumów </w:t>
      </w:r>
    </w:p>
    <w:p w14:paraId="6EF1A77D" w14:textId="11D2C726" w:rsidR="009916FE" w:rsidRDefault="00DE02E7" w:rsidP="00545CB0">
      <w:pPr>
        <w:pStyle w:val="LLNormaali"/>
        <w:ind w:firstLine="142"/>
        <w:jc w:val="both"/>
      </w:pPr>
      <w:r>
        <w:t xml:space="preserve">Podaje się klasę szumów armatury. Ustala się ją na podstawie szumu powodowanego przez przepływ wody w armaturze przy ciśnieniu 0,3 megapaskali, mierzonego w warunkach laboratoryjnych. Istnieją trzy klasy szumów, określane według poziomów szumu wskazanych w tabeli 4. </w:t>
      </w:r>
    </w:p>
    <w:p w14:paraId="47B3615E"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47AB2FD6" w14:textId="5E2EA663"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Tabela 4. Klasa szumów armatury.</w:t>
      </w:r>
    </w:p>
    <w:p w14:paraId="0D56F2AC"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7C0255AB" w14:textId="77777777" w:rsidTr="00E83137">
        <w:trPr>
          <w:cantSplit/>
        </w:trPr>
        <w:tc>
          <w:tcPr>
            <w:tcW w:w="1947" w:type="dxa"/>
            <w:tcBorders>
              <w:top w:val="single" w:sz="6" w:space="0" w:color="auto"/>
              <w:left w:val="single" w:sz="6" w:space="0" w:color="auto"/>
              <w:bottom w:val="single" w:sz="6" w:space="0" w:color="auto"/>
            </w:tcBorders>
          </w:tcPr>
          <w:p w14:paraId="5BA8605D"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Klasa 1</w:t>
            </w:r>
          </w:p>
        </w:tc>
        <w:tc>
          <w:tcPr>
            <w:tcW w:w="1947" w:type="dxa"/>
            <w:tcBorders>
              <w:top w:val="single" w:sz="6" w:space="0" w:color="auto"/>
              <w:left w:val="single" w:sz="6" w:space="0" w:color="auto"/>
              <w:bottom w:val="single" w:sz="6" w:space="0" w:color="auto"/>
              <w:right w:val="single" w:sz="6" w:space="0" w:color="auto"/>
            </w:tcBorders>
          </w:tcPr>
          <w:p w14:paraId="6585AC3F"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Klasa 2</w:t>
            </w:r>
          </w:p>
        </w:tc>
        <w:tc>
          <w:tcPr>
            <w:tcW w:w="1948" w:type="dxa"/>
            <w:tcBorders>
              <w:top w:val="single" w:sz="6" w:space="0" w:color="auto"/>
              <w:bottom w:val="single" w:sz="6" w:space="0" w:color="auto"/>
              <w:right w:val="single" w:sz="6" w:space="0" w:color="auto"/>
            </w:tcBorders>
          </w:tcPr>
          <w:p w14:paraId="542DCC45"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Klasa 3</w:t>
            </w:r>
          </w:p>
        </w:tc>
      </w:tr>
      <w:tr w:rsidR="009916FE" w:rsidRPr="009E5AD9" w14:paraId="11EF53A2" w14:textId="77777777" w:rsidTr="00E83137">
        <w:trPr>
          <w:cantSplit/>
        </w:trPr>
        <w:tc>
          <w:tcPr>
            <w:tcW w:w="1947" w:type="dxa"/>
            <w:tcBorders>
              <w:top w:val="dotted" w:sz="6" w:space="0" w:color="auto"/>
              <w:left w:val="single" w:sz="6" w:space="0" w:color="auto"/>
              <w:bottom w:val="single" w:sz="6" w:space="0" w:color="auto"/>
            </w:tcBorders>
          </w:tcPr>
          <w:p w14:paraId="009D82D3" w14:textId="520B83D6"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14:paraId="35B09C50" w14:textId="4F7024C5"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14:paraId="536983BA" w14:textId="4C51AAE3"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&gt; 30 dB(A)</w:t>
            </w:r>
          </w:p>
        </w:tc>
      </w:tr>
    </w:tbl>
    <w:p w14:paraId="67084E5E" w14:textId="77777777" w:rsidR="002A54A6" w:rsidRDefault="00915041" w:rsidP="00E83137">
      <w:pPr>
        <w:pStyle w:val="LLPykala"/>
        <w:keepNext/>
        <w:keepLines/>
        <w:spacing w:before="240" w:after="240"/>
      </w:pPr>
      <w:r>
        <w:t>§ 12</w:t>
      </w:r>
    </w:p>
    <w:p w14:paraId="44B3604A" w14:textId="77777777" w:rsidR="002A54A6" w:rsidRPr="00666BA2" w:rsidRDefault="002A54A6" w:rsidP="00E83137">
      <w:pPr>
        <w:pStyle w:val="LLPykalanOtsikko"/>
        <w:keepNext/>
        <w:keepLines/>
      </w:pPr>
      <w:r>
        <w:t xml:space="preserve">Zapobieganie przepływowi zwrotnemu </w:t>
      </w:r>
    </w:p>
    <w:p w14:paraId="4B557EAB" w14:textId="6A99EA93" w:rsidR="008D28C7" w:rsidRDefault="002A54A6" w:rsidP="00666BA2">
      <w:pPr>
        <w:pStyle w:val="LLVoimaantulokappale"/>
      </w:pPr>
      <w:r>
        <w:t>Armatura wyposażona jest w zabezpieczenia przed zasysaniem zwrotnym, zapobiegające przepływowi zwrotnemu. W głowicach termostatycznych przepływowi krzyżowemu wody zimnej i ciepłej zapobiega się za pomocą zaworów zwrotnych zainstalowanych na stałych przyłączach wlotowych głowicy. Armatura wyposażona jest co najmniej w zabezpieczenia przed zasysaniem zwrotnym wskazane w tabeli 5.</w:t>
      </w:r>
    </w:p>
    <w:p w14:paraId="29E93FE3" w14:textId="77777777" w:rsidR="008D28C7" w:rsidRDefault="008D28C7" w:rsidP="008D28C7">
      <w:pPr>
        <w:spacing w:line="220" w:lineRule="exact"/>
        <w:ind w:firstLine="170"/>
        <w:jc w:val="both"/>
        <w:rPr>
          <w:rFonts w:ascii="Times New Roman" w:eastAsia="Times New Roman" w:hAnsi="Times New Roman"/>
        </w:rPr>
      </w:pPr>
    </w:p>
    <w:p w14:paraId="7444B22A" w14:textId="5CE888CF"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Tabela 5. Zabezpieczenie armatury przed zasysaniem zwrotnym.</w:t>
      </w:r>
    </w:p>
    <w:p w14:paraId="0A73F923"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1C1290D8" w14:textId="77777777" w:rsidTr="00D83C91">
        <w:trPr>
          <w:cantSplit/>
        </w:trPr>
        <w:tc>
          <w:tcPr>
            <w:tcW w:w="2015" w:type="dxa"/>
            <w:tcBorders>
              <w:top w:val="single" w:sz="6" w:space="0" w:color="auto"/>
              <w:left w:val="single" w:sz="6" w:space="0" w:color="auto"/>
              <w:bottom w:val="single" w:sz="6" w:space="0" w:color="auto"/>
            </w:tcBorders>
          </w:tcPr>
          <w:p w14:paraId="1E295B34"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Badana jednostka</w:t>
            </w:r>
          </w:p>
        </w:tc>
        <w:tc>
          <w:tcPr>
            <w:tcW w:w="4678" w:type="dxa"/>
            <w:tcBorders>
              <w:top w:val="single" w:sz="6" w:space="0" w:color="auto"/>
              <w:bottom w:val="single" w:sz="6" w:space="0" w:color="auto"/>
              <w:right w:val="single" w:sz="6" w:space="0" w:color="auto"/>
            </w:tcBorders>
          </w:tcPr>
          <w:p w14:paraId="339CA92A"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Ochrona przed zasysaniem zwrotnym</w:t>
            </w:r>
          </w:p>
        </w:tc>
      </w:tr>
      <w:tr w:rsidR="008D28C7" w:rsidRPr="00CE2F4E" w14:paraId="05DCA857" w14:textId="77777777" w:rsidTr="00D83C91">
        <w:trPr>
          <w:cantSplit/>
        </w:trPr>
        <w:tc>
          <w:tcPr>
            <w:tcW w:w="2015" w:type="dxa"/>
            <w:tcBorders>
              <w:top w:val="single" w:sz="6" w:space="0" w:color="auto"/>
              <w:left w:val="single" w:sz="6" w:space="0" w:color="auto"/>
              <w:bottom w:val="single" w:sz="6" w:space="0" w:color="auto"/>
            </w:tcBorders>
          </w:tcPr>
          <w:p w14:paraId="0F4B671E" w14:textId="6964249D"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Kran</w:t>
            </w:r>
          </w:p>
        </w:tc>
        <w:tc>
          <w:tcPr>
            <w:tcW w:w="4678" w:type="dxa"/>
            <w:tcBorders>
              <w:top w:val="single" w:sz="6" w:space="0" w:color="auto"/>
              <w:bottom w:val="single" w:sz="6" w:space="0" w:color="auto"/>
              <w:right w:val="single" w:sz="6" w:space="0" w:color="auto"/>
            </w:tcBorders>
          </w:tcPr>
          <w:p w14:paraId="5ABFA9A9" w14:textId="77777777"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Odstęp ≥ 25 mm</w:t>
            </w:r>
          </w:p>
        </w:tc>
      </w:tr>
      <w:tr w:rsidR="008D28C7" w:rsidRPr="00CE2F4E" w14:paraId="6A1F6296" w14:textId="77777777" w:rsidTr="00D83C91">
        <w:trPr>
          <w:cantSplit/>
        </w:trPr>
        <w:tc>
          <w:tcPr>
            <w:tcW w:w="2015" w:type="dxa"/>
            <w:tcBorders>
              <w:top w:val="single" w:sz="6" w:space="0" w:color="auto"/>
              <w:left w:val="single" w:sz="6" w:space="0" w:color="auto"/>
              <w:bottom w:val="single" w:sz="6" w:space="0" w:color="auto"/>
            </w:tcBorders>
          </w:tcPr>
          <w:p w14:paraId="7D32D350" w14:textId="41DD98C4"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Prysznic ręczny</w:t>
            </w:r>
          </w:p>
        </w:tc>
        <w:tc>
          <w:tcPr>
            <w:tcW w:w="4678" w:type="dxa"/>
            <w:tcBorders>
              <w:top w:val="single" w:sz="6" w:space="0" w:color="auto"/>
              <w:bottom w:val="single" w:sz="6" w:space="0" w:color="auto"/>
              <w:right w:val="single" w:sz="6" w:space="0" w:color="auto"/>
            </w:tcBorders>
          </w:tcPr>
          <w:p w14:paraId="21E1AFBB" w14:textId="53A63551" w:rsidR="008D28C7" w:rsidRDefault="00E83137" w:rsidP="00D83C91">
            <w:pPr>
              <w:jc w:val="center"/>
              <w:rPr>
                <w:rFonts w:ascii="Times New Roman" w:hAnsi="Times New Roman"/>
                <w:color w:val="000000"/>
                <w:sz w:val="20"/>
                <w:szCs w:val="20"/>
              </w:rPr>
            </w:pPr>
            <w:r>
              <w:rPr>
                <w:rFonts w:ascii="Times New Roman" w:hAnsi="Times New Roman"/>
                <w:color w:val="000000"/>
                <w:sz w:val="20"/>
              </w:rPr>
              <w:t>Automatyczny mechanizm wciągający, zawór próżniowy, zawór zwrotny</w:t>
            </w:r>
          </w:p>
        </w:tc>
      </w:tr>
      <w:tr w:rsidR="008D28C7" w:rsidRPr="00CE2F4E" w14:paraId="13437DAC" w14:textId="77777777" w:rsidTr="00D83C91">
        <w:trPr>
          <w:cantSplit/>
        </w:trPr>
        <w:tc>
          <w:tcPr>
            <w:tcW w:w="2015" w:type="dxa"/>
            <w:tcBorders>
              <w:top w:val="single" w:sz="6" w:space="0" w:color="auto"/>
              <w:left w:val="single" w:sz="6" w:space="0" w:color="auto"/>
              <w:bottom w:val="single" w:sz="6" w:space="0" w:color="auto"/>
            </w:tcBorders>
          </w:tcPr>
          <w:p w14:paraId="51160389" w14:textId="6D3A6919"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Głowica termostatyczna</w:t>
            </w:r>
          </w:p>
        </w:tc>
        <w:tc>
          <w:tcPr>
            <w:tcW w:w="4678" w:type="dxa"/>
            <w:tcBorders>
              <w:top w:val="single" w:sz="6" w:space="0" w:color="auto"/>
              <w:bottom w:val="single" w:sz="6" w:space="0" w:color="auto"/>
              <w:right w:val="single" w:sz="6" w:space="0" w:color="auto"/>
            </w:tcBorders>
          </w:tcPr>
          <w:p w14:paraId="54927FF3" w14:textId="77777777" w:rsidR="008D28C7" w:rsidRDefault="008D28C7" w:rsidP="00D83C91">
            <w:pPr>
              <w:jc w:val="center"/>
              <w:rPr>
                <w:rFonts w:ascii="Times New Roman" w:hAnsi="Times New Roman"/>
                <w:color w:val="000000"/>
                <w:sz w:val="20"/>
                <w:szCs w:val="20"/>
              </w:rPr>
            </w:pPr>
            <w:r>
              <w:rPr>
                <w:rFonts w:ascii="Times New Roman" w:hAnsi="Times New Roman"/>
                <w:color w:val="000000"/>
                <w:sz w:val="20"/>
              </w:rPr>
              <w:t>Zawory zwrotne</w:t>
            </w:r>
          </w:p>
        </w:tc>
      </w:tr>
      <w:tr w:rsidR="008D28C7" w:rsidRPr="00CE2F4E" w14:paraId="2581FC39" w14:textId="77777777" w:rsidTr="00D83C91">
        <w:trPr>
          <w:cantSplit/>
        </w:trPr>
        <w:tc>
          <w:tcPr>
            <w:tcW w:w="2015" w:type="dxa"/>
            <w:tcBorders>
              <w:top w:val="single" w:sz="6" w:space="0" w:color="auto"/>
              <w:left w:val="single" w:sz="6" w:space="0" w:color="auto"/>
              <w:bottom w:val="single" w:sz="6" w:space="0" w:color="auto"/>
            </w:tcBorders>
          </w:tcPr>
          <w:p w14:paraId="1F38F4A5" w14:textId="74DED260"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Prysznic bidetowy</w:t>
            </w:r>
          </w:p>
        </w:tc>
        <w:tc>
          <w:tcPr>
            <w:tcW w:w="4678" w:type="dxa"/>
            <w:tcBorders>
              <w:top w:val="single" w:sz="6" w:space="0" w:color="auto"/>
              <w:bottom w:val="single" w:sz="6" w:space="0" w:color="auto"/>
              <w:right w:val="single" w:sz="6" w:space="0" w:color="auto"/>
            </w:tcBorders>
          </w:tcPr>
          <w:p w14:paraId="670E2A84" w14:textId="1969E746"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Zawory zwrotne</w:t>
            </w:r>
          </w:p>
        </w:tc>
      </w:tr>
    </w:tbl>
    <w:p w14:paraId="31E82843" w14:textId="77777777" w:rsidR="006A1A37" w:rsidRDefault="00915041" w:rsidP="00E83137">
      <w:pPr>
        <w:pStyle w:val="LLPykala"/>
        <w:keepNext/>
        <w:keepLines/>
        <w:spacing w:before="240" w:after="240"/>
      </w:pPr>
      <w:r>
        <w:t>§ 13</w:t>
      </w:r>
    </w:p>
    <w:p w14:paraId="325D4E0F" w14:textId="77777777" w:rsidR="003B65C9" w:rsidRDefault="003B65C9" w:rsidP="00666BA2">
      <w:pPr>
        <w:pStyle w:val="LLPykalanOtsikko"/>
        <w:keepNext/>
        <w:keepLines/>
      </w:pPr>
      <w:r>
        <w:t>Oznaczenie</w:t>
      </w:r>
    </w:p>
    <w:p w14:paraId="4088665F" w14:textId="144F61A1" w:rsidR="00863453" w:rsidRDefault="003B65C9" w:rsidP="00666BA2">
      <w:pPr>
        <w:pStyle w:val="LLVoimaantulokappale"/>
      </w:pPr>
      <w:r>
        <w:t>Oznaczenie armatury obejmuje co najmniej nazwę producenta.</w:t>
      </w:r>
      <w:bookmarkStart w:id="0" w:name="_GoBack"/>
      <w:bookmarkEnd w:id="0"/>
    </w:p>
    <w:p w14:paraId="4BCC2AF2" w14:textId="77777777" w:rsidR="006A1A37" w:rsidRDefault="003E109B" w:rsidP="00666BA2">
      <w:pPr>
        <w:pStyle w:val="LLVoimaantulokappale"/>
      </w:pPr>
      <w:r>
        <w:t>Przyłącza wlotowe armatury oznaczone są w sposób umożliwiający ich identyfikację. W głowicy termostatycznej przyłącze wlotowe wody zimnej oznaczone jest kolorem niebieskim, a przyłącze wlotowe wody ciepłej kolorem czerwonym.</w:t>
      </w:r>
    </w:p>
    <w:p w14:paraId="1DF9D347" w14:textId="52F71D56" w:rsidR="008110FF" w:rsidRPr="00666BA2" w:rsidRDefault="008110FF" w:rsidP="00666BA2">
      <w:pPr>
        <w:pStyle w:val="LLPykala"/>
        <w:keepNext/>
        <w:keepLines/>
        <w:spacing w:before="240" w:after="240"/>
      </w:pPr>
      <w:r>
        <w:lastRenderedPageBreak/>
        <w:t>§ 14</w:t>
      </w:r>
    </w:p>
    <w:p w14:paraId="142B1A85" w14:textId="6E1DBD31" w:rsidR="008110FF" w:rsidRPr="00666BA2" w:rsidRDefault="008110FF" w:rsidP="00E83137">
      <w:pPr>
        <w:pStyle w:val="LLPykalanOtsikko"/>
        <w:keepNext/>
        <w:keepLines/>
      </w:pPr>
      <w:r>
        <w:t>Empiryczne ustalenie właściwości technicznych</w:t>
      </w:r>
    </w:p>
    <w:p w14:paraId="54A51DFB" w14:textId="3757B927" w:rsidR="008110FF" w:rsidRPr="00666BA2" w:rsidRDefault="00F76F49" w:rsidP="00666BA2">
      <w:pPr>
        <w:pStyle w:val="LLVoimaantulokappale"/>
      </w:pPr>
      <w:r>
        <w:t>Producent określa właściwości techniczne za pomocą badań. Ustalenie empiryczne odbywa się w państwie należącym do Europejskiego Obszaru Gospodarczego lub w Turcji, z zastosowaniem powszechnie akceptowanej procedury. Sprawozdanie dotyczące metod zastosowanych w celu określenia właściwości technicznych i wyniki badań przedstawia się na wniosek wykonawców projektu budowlanego oraz organu nadzoru budowlanego i nadzoru rynku.</w:t>
      </w:r>
    </w:p>
    <w:p w14:paraId="7BEB3763" w14:textId="72DF0604" w:rsidR="006A1A37" w:rsidRDefault="00915041" w:rsidP="00E83137">
      <w:pPr>
        <w:pStyle w:val="LLPykala"/>
        <w:keepNext/>
        <w:keepLines/>
        <w:spacing w:before="240" w:after="240"/>
      </w:pPr>
      <w:r>
        <w:t>§ 15</w:t>
      </w:r>
    </w:p>
    <w:p w14:paraId="09B8D225" w14:textId="77777777" w:rsidR="006A1A37" w:rsidRDefault="006A1A37" w:rsidP="00E83137">
      <w:pPr>
        <w:pStyle w:val="LLPykalanOtsikko"/>
        <w:keepNext/>
        <w:keepLines/>
      </w:pPr>
      <w:r>
        <w:t>Wejście w życie</w:t>
      </w:r>
    </w:p>
    <w:p w14:paraId="12628E9D" w14:textId="3B66EB81" w:rsidR="006A1A37" w:rsidRDefault="006A1A37" w:rsidP="00666BA2">
      <w:pPr>
        <w:pStyle w:val="LLVoimaantulokappale"/>
      </w:pPr>
      <w:r>
        <w:t>Niniejsze rozporządzenie wchodzi w życie z dniem [dzień] [miesiąc] 20XX r.</w:t>
      </w:r>
    </w:p>
    <w:p w14:paraId="2C0171F2" w14:textId="6C2AD051" w:rsidR="00E700CA" w:rsidRDefault="00E700CA" w:rsidP="00666BA2">
      <w:pPr>
        <w:pStyle w:val="LLVoimaantulokappale"/>
      </w:pPr>
      <w:r>
        <w:t>Przepisy obowiązujące w chwili wejścia niniejszego rozporządzenia w życie mają zastosowanie do wszystkich realizowanych projektów.</w:t>
      </w:r>
    </w:p>
    <w:p w14:paraId="6A05E736" w14:textId="77777777" w:rsidR="006A1A37" w:rsidRDefault="006A1A37" w:rsidP="006A1A37">
      <w:pPr>
        <w:pStyle w:val="LLNormaali"/>
      </w:pPr>
    </w:p>
    <w:p w14:paraId="056A4F9B" w14:textId="77777777" w:rsidR="006A1A37" w:rsidRPr="00300472" w:rsidRDefault="006A1A37" w:rsidP="006A1A37">
      <w:pPr>
        <w:pStyle w:val="LLNormaali"/>
      </w:pPr>
    </w:p>
    <w:p w14:paraId="5A7C9398" w14:textId="2F2B38E3" w:rsidR="006A1A37" w:rsidRDefault="006A1A37" w:rsidP="006A1A37">
      <w:pPr>
        <w:pStyle w:val="LLPaivays"/>
      </w:pPr>
      <w:r>
        <w:t>Helsinki, [dzień] [miesiąc] 20XX r.</w:t>
      </w:r>
    </w:p>
    <w:p w14:paraId="78372773" w14:textId="77777777" w:rsidR="006A1A37" w:rsidRDefault="006A1A37" w:rsidP="006A1A37">
      <w:pPr>
        <w:pStyle w:val="LLNormaali"/>
      </w:pPr>
    </w:p>
    <w:p w14:paraId="76F162EE" w14:textId="77777777" w:rsidR="006A1A37" w:rsidRDefault="006A1A37" w:rsidP="006A1A37">
      <w:pPr>
        <w:pStyle w:val="LLNormaali"/>
      </w:pPr>
    </w:p>
    <w:p w14:paraId="256D43EA" w14:textId="7D0710CE" w:rsidR="006A1A37" w:rsidRDefault="001543CC" w:rsidP="00E83137">
      <w:pPr>
        <w:pStyle w:val="LLMinisterinAllekirjoitus"/>
        <w:keepNext/>
        <w:keepLines/>
      </w:pPr>
      <w:r>
        <w:t>Minister Środowiska, Energii i Mieszkalnictwa</w:t>
      </w:r>
    </w:p>
    <w:p w14:paraId="6BD340CC" w14:textId="77777777" w:rsidR="006A1A37" w:rsidRDefault="006A1A37" w:rsidP="00E83137">
      <w:pPr>
        <w:pStyle w:val="LLNormaali"/>
        <w:keepNext/>
        <w:keepLines/>
      </w:pPr>
    </w:p>
    <w:p w14:paraId="2269B551" w14:textId="77777777" w:rsidR="006A1A37" w:rsidRDefault="006A1A37" w:rsidP="00E83137">
      <w:pPr>
        <w:pStyle w:val="LLNormaali"/>
        <w:keepNext/>
        <w:keepLines/>
      </w:pPr>
    </w:p>
    <w:p w14:paraId="4C5DAAC8" w14:textId="597F4B26" w:rsidR="002D0561" w:rsidRPr="002D0561" w:rsidRDefault="006A1A37" w:rsidP="00E83137">
      <w:pPr>
        <w:pStyle w:val="LLEsittelijanVarmennus"/>
        <w:jc w:val="center"/>
      </w:pPr>
      <w:r>
        <w:t>Starszy inżynier</w:t>
      </w:r>
    </w:p>
    <w:sectPr w:rsidR="002D0561" w:rsidRPr="002D0561" w:rsidSect="00C85EB5">
      <w:footerReference w:type="even" r:id="rId8"/>
      <w:footerReference w:type="default" r:id="rId9"/>
      <w:headerReference w:type="first" r:id="rId10"/>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E2B79" w14:textId="77777777" w:rsidR="003600B3" w:rsidRDefault="003600B3">
      <w:r>
        <w:separator/>
      </w:r>
    </w:p>
  </w:endnote>
  <w:endnote w:type="continuationSeparator" w:id="0">
    <w:p w14:paraId="3046DF80" w14:textId="77777777" w:rsidR="003600B3" w:rsidRDefault="0036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D1D" w14:textId="77777777"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6FC470"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D76F42B" w14:textId="77777777" w:rsidR="00E83137" w:rsidRDefault="00E83137" w:rsidP="00E83137">
        <w:pPr>
          <w:pStyle w:val="Footer"/>
        </w:pPr>
        <w:r>
          <w:fldChar w:fldCharType="begin"/>
        </w:r>
        <w:r>
          <w:instrText xml:space="preserve"> PAGE   \* MERGEFORMAT </w:instrText>
        </w:r>
        <w:r>
          <w:fldChar w:fldCharType="separate"/>
        </w:r>
        <w:r w:rsidR="00A91BF4">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E6C1F" w14:textId="77777777" w:rsidR="003600B3" w:rsidRDefault="003600B3">
      <w:r>
        <w:separator/>
      </w:r>
    </w:p>
  </w:footnote>
  <w:footnote w:type="continuationSeparator" w:id="0">
    <w:p w14:paraId="2CB8AFA5" w14:textId="77777777" w:rsidR="003600B3" w:rsidRDefault="0036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4AC7F" w14:textId="7BA44F3C" w:rsidR="00915041" w:rsidRPr="00E83137" w:rsidRDefault="00E83137" w:rsidP="00E83137">
    <w:pPr>
      <w:pStyle w:val="Header"/>
      <w:jc w:val="right"/>
      <w:rPr>
        <w:rFonts w:ascii="Times New Roman" w:hAnsi="Times New Roman"/>
        <w:i/>
      </w:rPr>
    </w:pPr>
    <w:r>
      <w:rPr>
        <w:rFonts w:ascii="Times New Roman" w:hAnsi="Times New Roman"/>
        <w:i/>
      </w:rPr>
      <w:t>Projekt z dnia 11 grudnia 2018 r.</w:t>
    </w:r>
  </w:p>
  <w:p w14:paraId="6980BD36" w14:textId="77777777" w:rsidR="00E83137" w:rsidRPr="00E83137" w:rsidRDefault="00E83137" w:rsidP="00E83137">
    <w:pPr>
      <w:pStyle w:val="Header"/>
      <w:jc w:val="right"/>
      <w:rPr>
        <w:rFonts w:ascii="Times New Roman" w:hAnsi="Times New Roman"/>
        <w:i/>
      </w:rPr>
    </w:pPr>
  </w:p>
  <w:p w14:paraId="0AE7A9B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activeWritingStyle w:appName="MSWord" w:lang="fi-FI"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1BF4"/>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FCC15B7"/>
  <w15:docId w15:val="{24AF167A-7354-4433-A19E-8723103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pl-PL"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pl-PL"/>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en-GB"/>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pl-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749AF-F6DC-4CB9-B9CC-80B699E6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14</TotalTime>
  <Pages>5</Pages>
  <Words>1184</Words>
  <Characters>7551</Characters>
  <Application>Microsoft Office Word</Application>
  <DocSecurity>0</DocSecurity>
  <Lines>62</Lines>
  <Paragraphs>17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Liu, Lei</cp:lastModifiedBy>
  <cp:revision>4</cp:revision>
  <cp:lastPrinted>2015-06-23T07:59:00Z</cp:lastPrinted>
  <dcterms:created xsi:type="dcterms:W3CDTF">2018-12-20T07:40:00Z</dcterms:created>
  <dcterms:modified xsi:type="dcterms:W3CDTF">2019-01-08T10:00:00Z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