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1BAC1FFA" w:rsidR="005949F7" w:rsidRPr="008B77A4" w:rsidRDefault="005949F7" w:rsidP="005949F7">
      <w:pPr>
        <w:pStyle w:val="LLMinisterionAsetus"/>
        <w:rPr>
          <w:b w:val="0"/>
          <w:bCs/>
        </w:rPr>
      </w:pPr>
      <w:r w:rsidRPr="008B77A4">
        <w:rPr>
          <w:rFonts w:ascii="Courier New" w:hAnsi="Courier New"/>
          <w:b w:val="0"/>
          <w:bCs/>
          <w:sz w:val="20"/>
          <w:szCs w:val="20"/>
        </w:rPr>
        <w:t>1. ---</w:t>
      </w:r>
      <w:r w:rsidR="008B77A4">
        <w:rPr>
          <w:rFonts w:ascii="Courier New" w:hAnsi="Courier New"/>
          <w:b w:val="0"/>
          <w:bCs/>
          <w:sz w:val="20"/>
          <w:szCs w:val="20"/>
        </w:rPr>
        <w:t>-</w:t>
      </w:r>
      <w:r w:rsidRPr="008B77A4">
        <w:rPr>
          <w:rFonts w:ascii="Courier New" w:hAnsi="Courier New"/>
          <w:b w:val="0"/>
          <w:bCs/>
          <w:sz w:val="20"/>
          <w:szCs w:val="20"/>
        </w:rPr>
        <w:t xml:space="preserve">--IND- 2018 0649 FIN EL- ------ </w:t>
      </w:r>
      <w:r w:rsidRPr="008B77A4">
        <w:rPr>
          <w:rFonts w:ascii="Segoe UI" w:hAnsi="Segoe UI"/>
          <w:b w:val="0"/>
          <w:bCs/>
          <w:color w:val="000000"/>
          <w:sz w:val="20"/>
          <w:szCs w:val="20"/>
        </w:rPr>
        <w:t>20200804</w:t>
      </w:r>
      <w:r w:rsidRPr="008B77A4">
        <w:rPr>
          <w:b w:val="0"/>
          <w:bCs/>
          <w:sz w:val="20"/>
          <w:szCs w:val="20"/>
        </w:rPr>
        <w:t xml:space="preserve"> </w:t>
      </w:r>
      <w:r w:rsidRPr="008B77A4">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Διάταγμα του Υπουργείου Περιβάλλοντος</w:t>
      </w:r>
    </w:p>
    <w:p w14:paraId="307AA5B1" w14:textId="46B28F29" w:rsidR="004A0CA1" w:rsidRPr="004A0CA1" w:rsidRDefault="00906592" w:rsidP="00466C8C">
      <w:pPr>
        <w:pStyle w:val="LLSaadoksenNimi"/>
        <w:tabs>
          <w:tab w:val="center" w:pos="4173"/>
          <w:tab w:val="left" w:pos="7651"/>
        </w:tabs>
        <w:jc w:val="left"/>
      </w:pPr>
      <w:r>
        <w:t>σχετικά με τις βασικές τεχνικές απαιτήσεις για υδραυλικά εξαρτήματα που προορίζονται για εγκαταστάσεις παροχής νερού στο εσωτερικό κτιρίων</w:t>
      </w:r>
    </w:p>
    <w:p w14:paraId="6C33569B" w14:textId="77777777" w:rsidR="004A0CA1" w:rsidRDefault="004A0CA1" w:rsidP="004A0CA1">
      <w:pPr>
        <w:pStyle w:val="LLNormaali"/>
      </w:pPr>
    </w:p>
    <w:p w14:paraId="088E7A50" w14:textId="40DA3E4C" w:rsidR="00B11F6F" w:rsidRDefault="00B11F6F" w:rsidP="00B11F6F">
      <w:pPr>
        <w:pStyle w:val="LLJohtolauseKappaleet"/>
      </w:pPr>
      <w:r>
        <w:t>Με απόφαση του Υπουργείου Περιβάλλοντος, δια του παρόντος ορίζονται ακόλουθα δυνάμει του άρθρου 117γ παράγραφος 3 του νόμου περί χρήσης της γης και δόμησης (132/1999), όπως τροποποιήθηκε με τον νόμο 958/2012:</w:t>
      </w:r>
    </w:p>
    <w:p w14:paraId="0C03AFFB" w14:textId="77777777" w:rsidR="006A1A37" w:rsidRDefault="006A1A37" w:rsidP="00E83137">
      <w:pPr>
        <w:pStyle w:val="LLPykala"/>
        <w:keepNext/>
        <w:keepLines/>
        <w:spacing w:before="240" w:after="240"/>
      </w:pPr>
      <w:r>
        <w:t>Άρθρο 1</w:t>
      </w:r>
    </w:p>
    <w:p w14:paraId="0482DCEB" w14:textId="49872F35" w:rsidR="006A1A37" w:rsidRDefault="006A1A37" w:rsidP="00E83137">
      <w:pPr>
        <w:pStyle w:val="LLPykalanOtsikko"/>
        <w:keepNext/>
        <w:keepLines/>
      </w:pPr>
      <w:r>
        <w:t>Πεδίο εφαρμογής</w:t>
      </w:r>
    </w:p>
    <w:p w14:paraId="2B61E7B5" w14:textId="52938D17" w:rsidR="00B11F6F" w:rsidRDefault="00B11F6F" w:rsidP="00E83137">
      <w:pPr>
        <w:pStyle w:val="LLVoimaantulokappale"/>
      </w:pPr>
      <w:r>
        <w:t xml:space="preserve">Το διάταγμα εφαρμόζει τις βασικές τεχνικές απαιτήσεις για υδραυλικά εξαρτήματα που προορίζονται για τη μεταφορά πόσιμου νερού και ζεστού νερού οικιακής χρήσης σε κτίρια και ακίνητα. </w:t>
      </w:r>
    </w:p>
    <w:p w14:paraId="160E83A8" w14:textId="77777777" w:rsidR="006A1A37" w:rsidRDefault="006A1A37" w:rsidP="00E83137">
      <w:pPr>
        <w:pStyle w:val="LLPykala"/>
        <w:keepNext/>
        <w:keepLines/>
        <w:spacing w:before="240" w:after="240"/>
      </w:pPr>
      <w:r>
        <w:t>Άρθρο 2</w:t>
      </w:r>
    </w:p>
    <w:p w14:paraId="45DD7376" w14:textId="77777777" w:rsidR="006A1A37" w:rsidRDefault="006A1A37" w:rsidP="00E83137">
      <w:pPr>
        <w:pStyle w:val="LLPykalanOtsikko"/>
        <w:keepNext/>
        <w:keepLines/>
      </w:pPr>
      <w:r>
        <w:t>Ορισμοί</w:t>
      </w:r>
    </w:p>
    <w:p w14:paraId="5BA34EE1" w14:textId="74EB72CE" w:rsidR="00B11F6F" w:rsidRDefault="00D46750" w:rsidP="00E83137">
      <w:pPr>
        <w:pStyle w:val="LLNormaali"/>
        <w:ind w:firstLine="142"/>
        <w:jc w:val="both"/>
      </w:pPr>
      <w:r>
        <w:t xml:space="preserve">Ως </w:t>
      </w:r>
      <w:r>
        <w:rPr>
          <w:i/>
        </w:rPr>
        <w:t>υδραυλικά εξαρτήματα</w:t>
      </w:r>
      <w:r>
        <w:t xml:space="preserve"> νοούνται διάφοροι τύποι κρουνών που προορίζονται για την παροχή νερού. Στα υδραυλικά εξαρτήματα μπορούν να περιλαμβάνονται αναμεικτική μπαταρία η οποία συνδέεται με τον σωλήνα κρύου νερού και τον σωλήνα ζεστού νερού ή κάνουλα η οποία συνδέεται με τον σωλήνα κρύου νερού ή τον σωλήνα ζεστού νερού.</w:t>
      </w:r>
    </w:p>
    <w:p w14:paraId="1EEB3631" w14:textId="77777777" w:rsidR="006A1A37" w:rsidRDefault="006A1A37" w:rsidP="00E83137">
      <w:pPr>
        <w:pStyle w:val="LLPykala"/>
        <w:keepNext/>
        <w:keepLines/>
        <w:spacing w:before="240" w:after="240"/>
      </w:pPr>
      <w:r>
        <w:t>Άρθρο 3</w:t>
      </w:r>
    </w:p>
    <w:p w14:paraId="408ABFE8" w14:textId="77777777" w:rsidR="00B11F6F" w:rsidRDefault="00B11F6F" w:rsidP="00E83137">
      <w:pPr>
        <w:pStyle w:val="LLPykalanOtsikko"/>
        <w:keepNext/>
        <w:keepLines/>
      </w:pPr>
      <w:r>
        <w:t xml:space="preserve">Καταλληλότητα για τη μεταφορά πόσιμου νερού </w:t>
      </w:r>
    </w:p>
    <w:p w14:paraId="25F0F369" w14:textId="71B353C9" w:rsidR="00941742" w:rsidRPr="00666BA2" w:rsidRDefault="00941742" w:rsidP="00666BA2">
      <w:pPr>
        <w:pStyle w:val="LLVoimaantulokappale"/>
      </w:pPr>
      <w:r>
        <w:t>Τα υδραυλικά εξαρτήματα δεν εκλύουν στο νερό ουσίες που είναι επικίνδυνες για την υγεία ή για την ποιότητα του νερού. Τα υλικά που έρχονται σε επαφή με το νερό είναι κατάλληλα για τη διανομή πόσιμου νερού.</w:t>
      </w:r>
    </w:p>
    <w:p w14:paraId="55439C41" w14:textId="7A3C306D" w:rsidR="00E02713" w:rsidRPr="00666BA2" w:rsidRDefault="00E02713" w:rsidP="00666BA2">
      <w:pPr>
        <w:pStyle w:val="LLVoimaantulokappale"/>
      </w:pPr>
      <w:r>
        <w:t>Η συγκέντρωση μολύβδου που διηθείται από το υλικό κατασκευής των υδραυλικών εξαρτημάτων στο νερό δοκιμής δεν υπερβαίνει τα 5 μικρογραμμάρια ανά λίτρο όταν το υλικό υποβάλλεται σε δοκιμασία διήθησης διάρκειας 26 εβδομάδων υπό συνθήκες παρόμοιες με τις πραγματικές συνθήκες λειτουργίας. Η οξύτητα (τιμή pH) του νερού δοκιμής είναι μεταξύ 6,7 και 8,4, η τιμή αλκαλικότητας μεταξύ 0,5 και 1,3 χιλιοστομομορίων ανά λίτρο και η τιμή κορεσμού οξυγόνου πάνω από 70 %. Θα πρέπει να περάσουν 4 ώρες πριν συλλεχθεί ένα δείγμα νερού από το νερό της δοκιμής.</w:t>
      </w:r>
    </w:p>
    <w:p w14:paraId="6D077293" w14:textId="02A943FE" w:rsidR="00E02713" w:rsidRPr="008B77A4" w:rsidRDefault="00E02713" w:rsidP="00666BA2">
      <w:pPr>
        <w:pStyle w:val="LLVoimaantulokappale"/>
        <w:rPr>
          <w:rFonts w:eastAsia="SimSun" w:hint="eastAsia"/>
          <w:lang w:eastAsia="zh-CN"/>
        </w:rPr>
      </w:pPr>
      <w:r>
        <w:t>Η εναλλακτική απαίτηση σχετικά με το προϊόν όσον αφορά τη μέγιστη επιτρεπόμενη περιεκτικότητα σε μόλυβδο που διηθείται στο νερό από τα υδραυλικά εξαρτήματα δεν υπερβαίνει τα 5 μικρογραμμάρια όταν η διήθηση έχει υποβληθεί σε δοκιμή για περίοδο δέκα ημερών. Κατά τη δοκιμή, το κάδμιο που εκλύεται στο νερό δεν υπερβαίνει τα 2 μικρογραμμάρια. Ως διάλυμα δοκιμής χρησιμοποιείται αναπληρώσιμο συνθετικό πόσιμο νερό με τιμή οξύτητας (τιμή pH) 7,0 ± 0,1.</w:t>
      </w:r>
      <w:bookmarkStart w:id="0" w:name="_GoBack"/>
      <w:bookmarkEnd w:id="0"/>
    </w:p>
    <w:p w14:paraId="5B44EED3" w14:textId="77777777" w:rsidR="006A1A37" w:rsidRDefault="006A1A37" w:rsidP="00E83137">
      <w:pPr>
        <w:pStyle w:val="LLPykala"/>
        <w:keepNext/>
        <w:keepLines/>
        <w:spacing w:before="240" w:after="240"/>
      </w:pPr>
      <w:r>
        <w:lastRenderedPageBreak/>
        <w:t xml:space="preserve">Άρθρο 4 </w:t>
      </w:r>
    </w:p>
    <w:p w14:paraId="7E8AF814" w14:textId="77777777" w:rsidR="003B65C9" w:rsidRPr="00240E69" w:rsidRDefault="003B65C9" w:rsidP="00E83137">
      <w:pPr>
        <w:pStyle w:val="LLPykalanOtsikko"/>
        <w:keepNext/>
        <w:keepLines/>
        <w:rPr>
          <w:i w:val="0"/>
        </w:rPr>
      </w:pPr>
      <w:r>
        <w:t xml:space="preserve">Δοκιμές αντοχής των μεταλλικών μερών στη διάβρωση </w:t>
      </w:r>
    </w:p>
    <w:p w14:paraId="6E31A07F" w14:textId="77777777" w:rsidR="00FA22B7" w:rsidRPr="00666BA2" w:rsidRDefault="0062671D" w:rsidP="00666BA2">
      <w:pPr>
        <w:pStyle w:val="LLVoimaantulokappale"/>
      </w:pPr>
      <w:r>
        <w:t>Τα μεταλλικά μέρη των υδραυλικών εξαρτημάτων που έρχονται σε επαφή με το νερό είναι κατασκευασμένα από ανθεκτικό στη διάβρωση υλικό. Τα μέρη που είναι κατασκευασμένα από ορείχαλκο και υπόκεινται στην πίεση του νερού είναι κατασκευασμένα από ανθεκτικό στην αποψευδαργυροποίηση ορείχαλκο.</w:t>
      </w:r>
    </w:p>
    <w:p w14:paraId="385372C6" w14:textId="0BF53479" w:rsidR="003454BB" w:rsidRPr="00666BA2" w:rsidRDefault="00CF1338" w:rsidP="00666BA2">
      <w:pPr>
        <w:pStyle w:val="LLVoimaantulokappale"/>
      </w:pPr>
      <w:r>
        <w:t>Η μέγιστη τιμή του βάθους αποψευδαργυροποίησης του υδραυλικού εξαρτήματος δεν υπερβαίνει τα 200 μικρόμετρα. Δεν απαιτείται έλεγχος της αποψευδαργυροποίησης εάν η περιεκτικότητα του εξαρτήματος ύδρευσης σε ψευδάργυρο δεν υπερβαίνει το 15 %.</w:t>
      </w:r>
    </w:p>
    <w:p w14:paraId="5C7D5C28" w14:textId="78B31841" w:rsidR="00E744B5" w:rsidRPr="007C4179" w:rsidRDefault="00E744B5" w:rsidP="00E83137">
      <w:pPr>
        <w:pStyle w:val="LLPykala"/>
        <w:keepNext/>
        <w:keepLines/>
        <w:spacing w:before="240" w:after="240"/>
      </w:pPr>
      <w:r>
        <w:t>Άρθρο 5</w:t>
      </w:r>
    </w:p>
    <w:p w14:paraId="504554EE" w14:textId="678C1810" w:rsidR="00E744B5" w:rsidRDefault="00825138" w:rsidP="00E83137">
      <w:pPr>
        <w:pStyle w:val="LLPykalanOtsikko"/>
        <w:keepNext/>
        <w:keepLines/>
      </w:pPr>
      <w:r>
        <w:t>Εξωτερική επιφάνεια και δυνατότητα χρήσης</w:t>
      </w:r>
    </w:p>
    <w:p w14:paraId="0ED8059B" w14:textId="048408AA" w:rsidR="00E744B5" w:rsidRPr="00087684" w:rsidRDefault="007362A4" w:rsidP="00666BA2">
      <w:pPr>
        <w:pStyle w:val="LLVoimaantulokappale"/>
      </w:pPr>
      <w:r>
        <w:t>Η εξωτερική επιφάνεια των υδραυλικών εξαρτημάτων πρέπει να είναι ομαλή και λεία, χωρίς αιχμηρές προεξοχές.</w:t>
      </w:r>
    </w:p>
    <w:p w14:paraId="105BC84E" w14:textId="799389D0" w:rsidR="00F81B7A" w:rsidRDefault="00F81B7A" w:rsidP="00666BA2">
      <w:pPr>
        <w:pStyle w:val="LLVoimaantulokappale"/>
      </w:pPr>
      <w:r>
        <w:t xml:space="preserve">Τα υδραυλικά εξαρτήματα πρέπει να είναι εύχρηστα και να μην απαιτούνται ειδικά προϊόντα για τον καθαρισμό τους. </w:t>
      </w:r>
    </w:p>
    <w:p w14:paraId="2C200645" w14:textId="15E3177F" w:rsidR="00672FB4" w:rsidRDefault="00AC7A11" w:rsidP="00666BA2">
      <w:pPr>
        <w:pStyle w:val="LLVoimaantulokappale"/>
      </w:pPr>
      <w:r>
        <w:t>Ο κατασκευαστής αναφέρει τη θερμοκρασία επιφάνειας του διακόπτη του υδραυλικού εξαρτήματος μετά τη ροή νερού για ένα λεπτό με θερμοκρασία τρεχούμενου νερού 65 βαθμών Κελσίου.</w:t>
      </w:r>
    </w:p>
    <w:p w14:paraId="639D45CD" w14:textId="77777777" w:rsidR="00C86296" w:rsidRPr="007C4179" w:rsidRDefault="00C86296" w:rsidP="00E83137">
      <w:pPr>
        <w:pStyle w:val="LLPykala"/>
        <w:keepNext/>
        <w:keepLines/>
        <w:spacing w:before="240" w:after="240"/>
      </w:pPr>
      <w:r>
        <w:t>Άρθρο 6</w:t>
      </w:r>
    </w:p>
    <w:p w14:paraId="238BC748" w14:textId="77777777" w:rsidR="00C86296" w:rsidRDefault="00C86296" w:rsidP="00E83137">
      <w:pPr>
        <w:pStyle w:val="LLPykalanOtsikko"/>
        <w:keepNext/>
        <w:keepLines/>
      </w:pPr>
      <w:r>
        <w:t xml:space="preserve">Λειτουργικά χαρακτηριστικά </w:t>
      </w:r>
    </w:p>
    <w:p w14:paraId="02C06235" w14:textId="398F58E1" w:rsidR="00794C43" w:rsidRPr="00794C43" w:rsidRDefault="008829DC" w:rsidP="00666BA2">
      <w:pPr>
        <w:pStyle w:val="LLVoimaantulokappale"/>
      </w:pPr>
      <w:r>
        <w:t xml:space="preserve">Στα υδραυλικά εξαρτήματα, το κρύο νερό επισημαίνεται με μπλε δείκτη και το ζεστό νερό με κόκκινο δείκτη. Μπορεί επίσης να παρέχεται ένδειξη για τη ρύθμιση της θερμοκρασίας στη θερμοστατική βρύση με κλίμακα θερμοκρασίας ή σύμβολα. </w:t>
      </w:r>
    </w:p>
    <w:p w14:paraId="29844D7E" w14:textId="3FB4CB3C" w:rsidR="00E744B5" w:rsidRDefault="00A667E3" w:rsidP="00666BA2">
      <w:pPr>
        <w:pStyle w:val="LLVoimaantulokappale"/>
      </w:pPr>
      <w:r>
        <w:t>Εάν στα υδραυλικά εξαρτήματα περιλαμβάνεται βαλβίδα πλυντηρίου, πρέπει να είναι ευδιάκριτες η ανοικτή και η κλειστή θέση της βαλβίδας.</w:t>
      </w:r>
    </w:p>
    <w:p w14:paraId="61AE7029" w14:textId="77777777" w:rsidR="00D77A6E" w:rsidRPr="003A0B6F" w:rsidRDefault="00EC2FF4" w:rsidP="00E83137">
      <w:pPr>
        <w:pStyle w:val="LLPykala"/>
        <w:keepNext/>
        <w:keepLines/>
        <w:spacing w:before="240" w:after="240"/>
      </w:pPr>
      <w:r>
        <w:t>Άρθρο 7</w:t>
      </w:r>
    </w:p>
    <w:p w14:paraId="7C11BD7E" w14:textId="77777777" w:rsidR="003C6781" w:rsidRPr="003A0B6F" w:rsidRDefault="00AA6FA0" w:rsidP="00E83137">
      <w:pPr>
        <w:pStyle w:val="LLPykalanOtsikko"/>
        <w:keepNext/>
        <w:keepLines/>
      </w:pPr>
      <w:r>
        <w:t>Ηλεκτρονικές βρύσες</w:t>
      </w:r>
    </w:p>
    <w:p w14:paraId="4F9F7A7E" w14:textId="4B517486" w:rsidR="00312926" w:rsidRPr="00666BA2" w:rsidRDefault="00AA6FA0" w:rsidP="00666BA2">
      <w:pPr>
        <w:pStyle w:val="LLVoimaantulokappale"/>
      </w:pPr>
      <w:r>
        <w:t xml:space="preserve">Η τάση λειτουργίας της ηλεκτρονικής βρύσης δεν υπερβαίνει τα 42 V AC ή τα 72 V DC. Η πηγή ισχύος μπορεί να είναι μετασχηματιστής, μπαταρία ή άλλη πηγή ενέργειας συνδεδεμένη με το σύστημα ηλεκτρικής ενέργειας. </w:t>
      </w:r>
    </w:p>
    <w:p w14:paraId="342B0705" w14:textId="0233C5D8" w:rsidR="000D1CBA" w:rsidRPr="003A0B6F" w:rsidRDefault="000D1CBA" w:rsidP="00666BA2">
      <w:pPr>
        <w:pStyle w:val="LLVoimaantulokappale"/>
      </w:pPr>
      <w:r>
        <w:t>Αναγράφεται ο βαθμός προστασίας για την ηλεκτρονική μονάδα της ηλεκτρονικής βρύσης. Ο βαθμός προστασίας για τις βρύσες νιπτήρα και κουζίνας είναι τουλάχιστον IP 44 και για τις βρύσες μπάνιου IP 67.</w:t>
      </w:r>
    </w:p>
    <w:p w14:paraId="71B91D16" w14:textId="13965CA7" w:rsidR="00CE503F" w:rsidRPr="003A0B6F" w:rsidRDefault="003229D2" w:rsidP="00666BA2">
      <w:pPr>
        <w:pStyle w:val="LLVoimaantulokappale"/>
      </w:pPr>
      <w:r>
        <w:t xml:space="preserve">Η παροχή νερού σε κεντρικά βρύσες που χειρίζονται με το χέρι πρέπει να είναι κλειστή σε περίπτωση διακοπής ρεύματος. Η παροχή νερού σε βρύσες που λειτουργούν με ηλεκτρική μπαταρία δεν πρέπει να ανοίγει εάν η τάση της μπαταρίας είναι κάτω από το όριο λειτουργίας. </w:t>
      </w:r>
    </w:p>
    <w:p w14:paraId="700C4579" w14:textId="77777777" w:rsidR="00E744B5" w:rsidRDefault="00EC2FF4" w:rsidP="00E83137">
      <w:pPr>
        <w:pStyle w:val="LLPykala"/>
        <w:keepNext/>
        <w:keepLines/>
        <w:spacing w:before="240" w:after="240"/>
      </w:pPr>
      <w:r>
        <w:t>Άρθρο 8</w:t>
      </w:r>
    </w:p>
    <w:p w14:paraId="21D22F44" w14:textId="77777777" w:rsidR="00E744B5" w:rsidRPr="00666BA2" w:rsidRDefault="00D90E06" w:rsidP="00E83137">
      <w:pPr>
        <w:pStyle w:val="LLPykalanOtsikko"/>
        <w:keepNext/>
        <w:keepLines/>
      </w:pPr>
      <w:r>
        <w:t>Δομή και διαστάσεις</w:t>
      </w:r>
    </w:p>
    <w:p w14:paraId="176C045E" w14:textId="17399250" w:rsidR="00FE7A30" w:rsidRPr="000213F6" w:rsidRDefault="00FE7A30" w:rsidP="00666BA2">
      <w:pPr>
        <w:pStyle w:val="LLVoimaantulokappale"/>
      </w:pPr>
      <w:r>
        <w:t xml:space="preserve">Η δομή και οι διαστάσεις των υδραυλικών εξαρτημάτων είναι τέτοιες ώστε τα εξαρτήματα να μπορούν να τοποθετηθούν στον χώρο που έχει σχεδιαστεί για αυτά βάσει της χρήσης για την οποία προορίζονται. Οι βασικές διαστάσεις των υδραυλικών εξαρτημάτων συμμορφώνονται με τις διαστάσεις που περιλαμβάνονται στον πίνακα 1. Για τη σύνδεση με τον σωλήνα νερού, οι σύνδεσμοι ή οι σωλήνες των υδραυλικών εξαρτημάτων συνδέονται με το άκρο σύνδεσης του σωλήνα νερού με τα εξαρτήματα σύνδεσης που προορίζονται για τις βρύσες. </w:t>
      </w:r>
    </w:p>
    <w:p w14:paraId="7EBB1911" w14:textId="0FB3B011" w:rsidR="0099645F" w:rsidRDefault="00FE7A30" w:rsidP="00666BA2">
      <w:pPr>
        <w:pStyle w:val="LLVoimaantulokappale"/>
      </w:pPr>
      <w:r>
        <w:lastRenderedPageBreak/>
        <w:t>Τα υδραυλικά εξαρτήματα που προορίζονται να τοποθετηθούν μέσα σε τοίχο διαθέτουν αποσπώμενο στοιχείο πρόσοψης ώστε να είναι δυνατός ο έλεγχος και η επισκευή της βρύσης.</w:t>
      </w:r>
    </w:p>
    <w:p w14:paraId="61C9E6FB" w14:textId="796CBB68" w:rsidR="002D5731" w:rsidRDefault="002D5731" w:rsidP="00666BA2">
      <w:pPr>
        <w:pStyle w:val="LLVoimaantulokappale"/>
      </w:pPr>
      <w:r>
        <w:t>Αναγράφεται η γωνία περιστροφής του στομίου της βρύσης νιπτήρα. Το στόμιο εξόδου σε βρύση κουζίνας διαθέτει αυτόματη επαναφορά ροής.</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Πίνακας 1. Βασικές διαστάσεις του υδραυλικού εξαρτήματος.</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Είδος υδραυλικού εξαρτήματος και μεγέθη</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Διαστάσεις</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Εντοιχισμένη βρύση</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Σύνδεσμοι εισόδου, απόσταση μεταξύ των κεντρικών αξόνων</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μέγεθος σπειρώματος</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μήκος σπειρώματος</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Απόσταση μεταξύ του κέντρου του σημείου εξόδου του στομίου και του επιπέδου του τοίχου</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Άλλο σημείο εξόδου, κεφαλή ντους, κ.λπ. μέγεθος σπειρώματος</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μήκος σπειρώματος</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Βρύση νεροχύτη (βρύση νιπτήρα, βρύση κουζίνας)</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Ύψος του κατώτερου σημείου του σημείου εξόδου του στομίου από το επίπεδο του πάγκου</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Μήκος του σωλήνα σύνδεσης</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Χάλκινοι σωλήνες σύνδεσης, εξωτερική διάμετρος</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Εύκαμπτοι σωλήνες σύνδεσης, σπείρωμα σύνδεσης</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Άρθρο 9</w:t>
      </w:r>
    </w:p>
    <w:p w14:paraId="0B40AE33" w14:textId="00FD809C" w:rsidR="008528ED" w:rsidRPr="00BC54A7" w:rsidRDefault="008D28C7" w:rsidP="00E83137">
      <w:pPr>
        <w:pStyle w:val="LLPykalanOtsikko"/>
        <w:keepNext/>
        <w:keepLines/>
        <w:rPr>
          <w:i w:val="0"/>
          <w:color w:val="000000"/>
        </w:rPr>
      </w:pPr>
      <w:r>
        <w:rPr>
          <w:color w:val="000000"/>
        </w:rPr>
        <w:t>Τυποποιημένη παροχή</w:t>
      </w:r>
    </w:p>
    <w:p w14:paraId="4B679220" w14:textId="2392815D" w:rsidR="00E744B5" w:rsidRDefault="00483C63" w:rsidP="00666BA2">
      <w:pPr>
        <w:pStyle w:val="LLVoimaantulokappale"/>
      </w:pPr>
      <w:r>
        <w:t>Τα υδραυλικά εξαρτήματα έχουν τυποποιημένες παροχές για τη χρήση για την οποία προορίζονται, όπως παρουσιάζονται στον πίνακα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Πίνακας 2. Τυποποιημένες παροχές υδραυλικών εξαρτημάτων σύμφωνα με τη χρήση για την οποία προορίζονται υπό πίεση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Χρήση για την οποία προορίζεται το υδραυλικό εξάρτημα</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Τυποποιημένη παροχή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Τυποποιημένη παροχή</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Οριακές τιμές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Βρύση κουζίνας</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Βαλβίδα πλυντηρίου πιάτων</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Βρύση νιπτήρα και τηλέφωνο ντους</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Βρύση ντους</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Βρύση μπάνιου</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Σφαιρική βαλβίδα</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Βαλβίδα ποτίσματος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Βαλβίδα ποτίσματος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Άρθρο 10</w:t>
      </w:r>
    </w:p>
    <w:p w14:paraId="16D54E2B" w14:textId="77777777" w:rsidR="003B65C9" w:rsidRDefault="009A6CFC" w:rsidP="00E83137">
      <w:pPr>
        <w:pStyle w:val="LLPykalanOtsikko"/>
        <w:keepNext/>
        <w:keepLines/>
      </w:pPr>
      <w:r>
        <w:t xml:space="preserve">Αντοχή </w:t>
      </w:r>
    </w:p>
    <w:p w14:paraId="10247841" w14:textId="0D871B67" w:rsidR="0062671D" w:rsidRPr="00666BA2" w:rsidRDefault="009A6CFC" w:rsidP="00666BA2">
      <w:pPr>
        <w:pStyle w:val="LLVoimaantulokappale"/>
      </w:pPr>
      <w:r>
        <w:t>Τα υδραυλικά εξαρτήματα αντέχουν τις μηχανικές, χημικές και θερμικές καταπονήσεις που ασκούνται στις εγκαταστάσεις παροχής νερού έτσι ώστε τα υδραυλικά εξαρτήματα να παραμένουν λειτουργικά και να πληρούν τους όρους υγιεινής κατά τη διάρκεια της προβλεπόμενης διάρκειας ζωής τους.</w:t>
      </w:r>
    </w:p>
    <w:p w14:paraId="622604AB" w14:textId="7FAF9DAF" w:rsidR="003B65C9" w:rsidRPr="00666BA2" w:rsidRDefault="003B65C9" w:rsidP="00666BA2">
      <w:pPr>
        <w:pStyle w:val="LLVoimaantulokappale"/>
      </w:pPr>
      <w:r>
        <w:lastRenderedPageBreak/>
        <w:t>Εξασφαλίζεται η αντοχή των υδραυλικών εξαρτημάτων στις συνθήκες λειτουργίας που παρουσιάζονται στον πίνακα 3, καθώς και η στεγανότητα και η αξιοπιστία τους.</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Πίνακας 3. Συνθήκες λειτουργίας του υδραυλικού εξαρτήματος.</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Σύστημα παροχής νερού</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Συνθήκες λειτουργίας</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Ακραία τιμή</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Κανονικές συνθήκες λειτουργίας</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Πίεση</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Ελάχιστη πίεση ροής</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Μέγιστη στατική πίεση</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Μέγιστη θερμοκρασία νερού</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Ηλεκτρονικές βρύσες: 75°C </w:t>
            </w:r>
          </w:p>
        </w:tc>
      </w:tr>
    </w:tbl>
    <w:p w14:paraId="526534F0" w14:textId="564A329B" w:rsidR="00DE02E7" w:rsidRDefault="00446020" w:rsidP="00E83137">
      <w:pPr>
        <w:pStyle w:val="LLPykala"/>
        <w:keepNext/>
        <w:keepLines/>
        <w:spacing w:before="240" w:after="240"/>
      </w:pPr>
      <w:r>
        <w:t>Άρθρο 11</w:t>
      </w:r>
    </w:p>
    <w:p w14:paraId="0FACB03C" w14:textId="77777777" w:rsidR="00DE02E7" w:rsidRDefault="00AB3AE1" w:rsidP="00E83137">
      <w:pPr>
        <w:pStyle w:val="LLPykalanOtsikko"/>
        <w:keepNext/>
        <w:keepLines/>
      </w:pPr>
      <w:r>
        <w:t xml:space="preserve">Κατηγορίες επιπέδου θορύβου </w:t>
      </w:r>
    </w:p>
    <w:p w14:paraId="6EF1A77D" w14:textId="11D2C726" w:rsidR="009916FE" w:rsidRDefault="00DE02E7" w:rsidP="00545CB0">
      <w:pPr>
        <w:pStyle w:val="LLNormaali"/>
        <w:ind w:firstLine="142"/>
        <w:jc w:val="both"/>
      </w:pPr>
      <w:r>
        <w:t xml:space="preserve">Αναγράφεται η κατηγορία επιπέδου θορύβου των υδραυλικών εξαρτημάτων. Αυτή προσδιορίζεται με βάση τον θόρυβο που προκαλείται από τη ροή του νερού στα υδραυλικά εξαρτήματα σε πίεση νερού 0,3 Megapascal μετρούμενη υπό εργαστηριακές συνθήκες. Υπάρχουν τρεις κατηγορίες επιπέδου θορύβου, οι οποίες προσδιορίζονται με βάση τα επίπεδα θορύβου που παρουσιάζονται στον πίνακα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Πίνακας 4. Κατηγορία επιπέδου θορύβου των υδραυλικών εξαρτημάτων.</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Κατηγορία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Κατηγορία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Κατηγορία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Άρθρο 12</w:t>
      </w:r>
    </w:p>
    <w:p w14:paraId="44B3604A" w14:textId="77777777" w:rsidR="002A54A6" w:rsidRPr="00666BA2" w:rsidRDefault="002A54A6" w:rsidP="00E83137">
      <w:pPr>
        <w:pStyle w:val="LLPykalanOtsikko"/>
        <w:keepNext/>
        <w:keepLines/>
      </w:pPr>
      <w:r>
        <w:t xml:space="preserve">Προστασία από αντίστροφη ροή </w:t>
      </w:r>
    </w:p>
    <w:p w14:paraId="4B557EAB" w14:textId="6A99EA93" w:rsidR="008D28C7" w:rsidRDefault="002A54A6" w:rsidP="00666BA2">
      <w:pPr>
        <w:pStyle w:val="LLVoimaantulokappale"/>
      </w:pPr>
      <w:r>
        <w:t>Τα υδραυλικά εξαρτήματα διαθέτουν προστασία αναρρόφησης σιφωνιού για την πρόληψη της αντίστροφης ροής. Σε θερμοστατικές βρύσες, η σταυρωτή ροή ζεστού και κρύου νερού αποτρέπεται από τις βαλβίδες ελέγχου στις σταθερές συνδέσεις της βρύσης. Τα υδραυλικά εξαρτήματα διαθέτουν τουλάχιστον την προστασία αναρρόφησης σιφωνιού που παρουσιάζεται στον πίνακα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Πίνακας 5. Προστασία αναρρόφησης σιφωνιού υδραυλικού εξαρτήματος.</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Μονάδα υπό δοκιμή</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Προστασία αναρρόφησης σιφωνιού</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Στόμιο</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Κενό αέρα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Τηλέφωνο ντους</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Αυτόματος εκτροπέας, βαλβίδα εκτόνωσης, βαλβίδα ελέγχου</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Θερμοστατική βρύση</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Βαλβίδες ελέγχου</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Τηλέφωνο ντους για μπιντέ</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Βαλβίδες ελέγχου</w:t>
            </w:r>
          </w:p>
        </w:tc>
      </w:tr>
    </w:tbl>
    <w:p w14:paraId="31E82843" w14:textId="77777777" w:rsidR="006A1A37" w:rsidRDefault="00915041" w:rsidP="00E83137">
      <w:pPr>
        <w:pStyle w:val="LLPykala"/>
        <w:keepNext/>
        <w:keepLines/>
        <w:spacing w:before="240" w:after="240"/>
      </w:pPr>
      <w:r>
        <w:t>Άρθρο 13</w:t>
      </w:r>
    </w:p>
    <w:p w14:paraId="325D4E0F" w14:textId="77777777" w:rsidR="003B65C9" w:rsidRDefault="003B65C9" w:rsidP="00666BA2">
      <w:pPr>
        <w:pStyle w:val="LLPykalanOtsikko"/>
        <w:keepNext/>
        <w:keepLines/>
      </w:pPr>
      <w:r>
        <w:t>Επισήμανση</w:t>
      </w:r>
    </w:p>
    <w:p w14:paraId="4088665F" w14:textId="3EB3EFDD" w:rsidR="00863453" w:rsidRDefault="003B65C9" w:rsidP="00666BA2">
      <w:pPr>
        <w:pStyle w:val="LLVoimaantulokappale"/>
      </w:pPr>
      <w:r>
        <w:t>Τα υδραυλικά εξαρτήματα επισημαίνονται κατά τρόπο ώστε να αναγράφεται τουλάχιστον ο κατασκευαστής.</w:t>
      </w:r>
    </w:p>
    <w:p w14:paraId="4BCC2AF2" w14:textId="77777777" w:rsidR="006A1A37" w:rsidRDefault="003E109B" w:rsidP="00666BA2">
      <w:pPr>
        <w:pStyle w:val="LLVoimaantulokappale"/>
      </w:pPr>
      <w:r>
        <w:lastRenderedPageBreak/>
        <w:t>Οι συνδέσεις εισόδου των υδραυλικών εξαρτημάτων επισημαίνονται ώστε να είναι δυνατός ο προσδιορισμός τους. Σε θερμοστατική βρύση, η σύνδεση εισόδου κρύου νερού επισημαίνεται με μπλε χρώμα και η σύνδεση εισόδου ζεστού νερού με κόκκινο χρώμα.</w:t>
      </w:r>
    </w:p>
    <w:p w14:paraId="1DF9D347" w14:textId="52F71D56" w:rsidR="008110FF" w:rsidRPr="00666BA2" w:rsidRDefault="008110FF" w:rsidP="00666BA2">
      <w:pPr>
        <w:pStyle w:val="LLPykala"/>
        <w:keepNext/>
        <w:keepLines/>
        <w:spacing w:before="240" w:after="240"/>
      </w:pPr>
      <w:r>
        <w:t>Άρθρο 14</w:t>
      </w:r>
    </w:p>
    <w:p w14:paraId="142B1A85" w14:textId="6E1DBD31" w:rsidR="008110FF" w:rsidRPr="00666BA2" w:rsidRDefault="008110FF" w:rsidP="00E83137">
      <w:pPr>
        <w:pStyle w:val="LLPykalanOtsikko"/>
        <w:keepNext/>
        <w:keepLines/>
      </w:pPr>
      <w:r>
        <w:t>Εμπειρικός προσδιορισμός τεχνικών χαρακτηριστικών</w:t>
      </w:r>
    </w:p>
    <w:p w14:paraId="54A51DFB" w14:textId="3757B927" w:rsidR="008110FF" w:rsidRPr="00666BA2" w:rsidRDefault="00F76F49" w:rsidP="00666BA2">
      <w:pPr>
        <w:pStyle w:val="LLVoimaantulokappale"/>
      </w:pPr>
      <w:r>
        <w:t>Ο κατασκευαστής προσδιορίζει τα τεχνικά χαρακτηριστικά με δοκιμές. Ο εμπειρικός προσδιορισμός διενεργείται στις χώρες μέλη του Ευρωπαϊκού Οικονομικού Χώρου ή στην Τουρκία με χρήση γενικώς αποδεκτής διαδικασίας. Κατόπιν αιτήματος, η έκθεση σχετικά με τις μεθόδους που χρησιμοποιούνται για τον προσδιορισμό των τεχνικών χαρακτηριστικών και τα αποτελέσματα των δοκιμών υποβάλλονται στον εργολάβο και στην αρχή εποπτείας των κατασκευών και της αγοράς.</w:t>
      </w:r>
    </w:p>
    <w:p w14:paraId="7BEB3763" w14:textId="72DF0604" w:rsidR="006A1A37" w:rsidRDefault="00915041" w:rsidP="00E83137">
      <w:pPr>
        <w:pStyle w:val="LLPykala"/>
        <w:keepNext/>
        <w:keepLines/>
        <w:spacing w:before="240" w:after="240"/>
      </w:pPr>
      <w:r>
        <w:t>Άρθρο 15</w:t>
      </w:r>
    </w:p>
    <w:p w14:paraId="09B8D225" w14:textId="77777777" w:rsidR="006A1A37" w:rsidRDefault="006A1A37" w:rsidP="00E83137">
      <w:pPr>
        <w:pStyle w:val="LLPykalanOtsikko"/>
        <w:keepNext/>
        <w:keepLines/>
      </w:pPr>
      <w:r>
        <w:t>Έναρξη ισχύος</w:t>
      </w:r>
    </w:p>
    <w:p w14:paraId="12628E9D" w14:textId="2BC3B67F" w:rsidR="006A1A37" w:rsidRDefault="006A1A37" w:rsidP="00666BA2">
      <w:pPr>
        <w:pStyle w:val="LLVoimaantulokappale"/>
      </w:pPr>
      <w:r>
        <w:t>Το παρόν διάταγμα τίθεται σε ισχύ την 1η Ιανουαρίου 2020.</w:t>
      </w:r>
    </w:p>
    <w:p w14:paraId="2C0171F2" w14:textId="6C2AD051" w:rsidR="00E700CA" w:rsidRDefault="00E700CA" w:rsidP="00666BA2">
      <w:pPr>
        <w:pStyle w:val="LLVoimaantulokappale"/>
      </w:pPr>
      <w:r>
        <w:t>Οι διατάξεις που είναι σε ισχύ κατά τον χρόνο έναρξης ισχύος του παρόντος διατάγματος εφαρμόζονται σε οποιοδήποτε εν εξελίξει έργο.</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Ελσίνκι, 11 Απριλίου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Υπουργός Περιβάλλοντος, Ενέργειας και Στέγασης Kimmo Tiilikainen</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Ανώτερη μηχανικός Kaisa Kauko</w:t>
      </w:r>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A076E" w14:textId="77777777" w:rsidR="008500D0" w:rsidRDefault="008500D0">
      <w:r>
        <w:separator/>
      </w:r>
    </w:p>
  </w:endnote>
  <w:endnote w:type="continuationSeparator" w:id="0">
    <w:p w14:paraId="3B7DCD02" w14:textId="77777777" w:rsidR="008500D0" w:rsidRDefault="0085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8B77A4">
        <w:pPr>
          <w:pStyle w:val="Footer"/>
          <w:jc w:val="center"/>
        </w:pPr>
        <w:r>
          <w:fldChar w:fldCharType="begin"/>
        </w:r>
        <w:r>
          <w:instrText xml:space="preserve"> PAGE   \* MERGEFORMAT </w:instrText>
        </w:r>
        <w:r>
          <w:fldChar w:fldCharType="separate"/>
        </w:r>
        <w:r w:rsidR="008B77A4">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rPr>
    </w:pPr>
    <w:r>
      <w:rPr>
        <w:rFonts w:ascii="Times New Roman" w:hAnsi="Times New Roman"/>
        <w:sz w:val="16"/>
        <w:szCs w:val="16"/>
      </w:rPr>
      <w:t>Οδηγία (ΕΕ) 2015/1535 του Ευρωπαϊκού Κοινοβουλίου και του Συμβουλίου (32015L1535). ΕΕ L 241 της 17.9.2015, σ.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97062" w14:textId="77777777" w:rsidR="008500D0" w:rsidRDefault="008500D0">
      <w:r>
        <w:separator/>
      </w:r>
    </w:p>
  </w:footnote>
  <w:footnote w:type="continuationSeparator" w:id="0">
    <w:p w14:paraId="08B7CBED" w14:textId="77777777" w:rsidR="008500D0" w:rsidRDefault="00850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0D0"/>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7A4"/>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l-GR"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l-GR"/>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el-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7B3A-0778-4B71-9C36-AFA2E98A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TotalTime>
  <Pages>1</Pages>
  <Words>1472</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2020-07-28T07:26:00Z</dcterms:created>
  <dcterms:modified xsi:type="dcterms:W3CDTF">2020-08-04T08:43:00Z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