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75E6401B" w:rsidR="00FD2710" w:rsidRPr="00B00403" w:rsidRDefault="00FD2710" w:rsidP="0015238B">
      <w:pPr>
        <w:pStyle w:val="PlainText"/>
        <w:jc w:val="center"/>
        <w:rPr>
          <w:rFonts w:ascii="Courier New" w:hAnsi="Courier New" w:cs="Courier New"/>
          <w:sz w:val="20"/>
          <w:szCs w:val="20"/>
        </w:rPr>
      </w:pPr>
      <w:r>
        <w:rPr>
          <w:rFonts w:ascii="Courier New" w:hAnsi="Courier New"/>
          <w:sz w:val="20"/>
        </w:rPr>
        <w:t xml:space="preserve">1. ------IND- 2018 0649 FIN PT- ------ </w:t>
      </w:r>
      <w:r w:rsidR="00D51777">
        <w:rPr>
          <w:rFonts w:ascii="Segoe UI" w:hAnsi="Segoe UI"/>
          <w:color w:val="000000"/>
          <w:sz w:val="20"/>
          <w:szCs w:val="20"/>
        </w:rPr>
        <w:t>20200804</w:t>
      </w:r>
      <w:r w:rsidR="00D51777">
        <w:rPr>
          <w:sz w:val="20"/>
          <w:szCs w:val="20"/>
        </w:rPr>
        <w:t xml:space="preserve"> </w:t>
      </w:r>
      <w:r w:rsidR="00D51777">
        <w:rPr>
          <w:rFonts w:ascii="Courier New" w:hAnsi="Courier New"/>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Decreto do Ministério do Ambiente</w:t>
      </w:r>
    </w:p>
    <w:p w14:paraId="307AA5B1" w14:textId="46B28F29" w:rsidR="004A0CA1" w:rsidRPr="004A0CA1" w:rsidRDefault="00906592" w:rsidP="0015238B">
      <w:pPr>
        <w:pStyle w:val="LLSaadoksenNimi"/>
      </w:pPr>
      <w:r>
        <w:t>relativo aos requisitos técnicos essenciais aplicáveis aos acessórios hidráulicos para instalações de abastecimento de água no interior dos edifícios</w:t>
      </w:r>
    </w:p>
    <w:p w14:paraId="6C33569B" w14:textId="77777777" w:rsidR="004A0CA1" w:rsidRDefault="004A0CA1" w:rsidP="004A0CA1">
      <w:pPr>
        <w:pStyle w:val="LLNormaali"/>
      </w:pPr>
    </w:p>
    <w:p w14:paraId="088E7A50" w14:textId="40DA3E4C" w:rsidR="00B11F6F" w:rsidRDefault="00B11F6F" w:rsidP="00B11F6F">
      <w:pPr>
        <w:pStyle w:val="LLJohtolauseKappaleet"/>
      </w:pPr>
      <w:r>
        <w:t>Por decisão do Ministério do Ambiente e em conformidade com o artigo 117.º-C, n.º 3, da Lei relativa à utilização do solo e à construção (132/1999), com a redação que lhe foi dada pela Lei n.º 958/2012, pelo presente, estabelece-se o seguinte:</w:t>
      </w:r>
    </w:p>
    <w:p w14:paraId="0C03AFFB" w14:textId="77777777" w:rsidR="006A1A37" w:rsidRDefault="006A1A37" w:rsidP="00E83137">
      <w:pPr>
        <w:pStyle w:val="LLPykala"/>
        <w:keepNext/>
        <w:keepLines/>
        <w:spacing w:before="240" w:after="240"/>
      </w:pPr>
      <w:r>
        <w:t>Artigo 1.º</w:t>
      </w:r>
      <w:bookmarkStart w:id="0" w:name="_GoBack"/>
      <w:bookmarkEnd w:id="0"/>
    </w:p>
    <w:p w14:paraId="0482DCEB" w14:textId="1D363F33" w:rsidR="006A1A37" w:rsidRDefault="006A1A37" w:rsidP="00E83137">
      <w:pPr>
        <w:pStyle w:val="LLPykalanOtsikko"/>
        <w:keepNext/>
        <w:keepLines/>
      </w:pPr>
      <w:r>
        <w:t>Âmbito de aplicação</w:t>
      </w:r>
    </w:p>
    <w:p w14:paraId="2B61E7B5" w14:textId="52938D17" w:rsidR="00B11F6F" w:rsidRDefault="00B11F6F" w:rsidP="00E83137">
      <w:pPr>
        <w:pStyle w:val="LLVoimaantulokappale"/>
      </w:pPr>
      <w:r>
        <w:t xml:space="preserve">O presente decreto é aplicável aos requisitos técnicos essenciais para acessórios hidráulicos para a distribuição de água potável e água quente sanitária, situados em edifícios e propriedades. </w:t>
      </w:r>
    </w:p>
    <w:p w14:paraId="160E83A8" w14:textId="77777777" w:rsidR="006A1A37" w:rsidRDefault="006A1A37" w:rsidP="00E83137">
      <w:pPr>
        <w:pStyle w:val="LLPykala"/>
        <w:keepNext/>
        <w:keepLines/>
        <w:spacing w:before="240" w:after="240"/>
      </w:pPr>
      <w:r>
        <w:t>Artigo 2.º</w:t>
      </w:r>
    </w:p>
    <w:p w14:paraId="45DD7376" w14:textId="77777777" w:rsidR="006A1A37" w:rsidRDefault="006A1A37" w:rsidP="00E83137">
      <w:pPr>
        <w:pStyle w:val="LLPykalanOtsikko"/>
        <w:keepNext/>
        <w:keepLines/>
      </w:pPr>
      <w:r>
        <w:t>Definições</w:t>
      </w:r>
    </w:p>
    <w:p w14:paraId="5BA34EE1" w14:textId="74EB72CE" w:rsidR="00B11F6F" w:rsidRDefault="00D46750" w:rsidP="00E83137">
      <w:pPr>
        <w:pStyle w:val="LLNormaali"/>
        <w:ind w:firstLine="142"/>
        <w:jc w:val="both"/>
      </w:pPr>
      <w:r>
        <w:t xml:space="preserve">Por </w:t>
      </w:r>
      <w:r>
        <w:rPr>
          <w:i/>
        </w:rPr>
        <w:t>acessórios hidráulicos</w:t>
      </w:r>
      <w:r>
        <w:t xml:space="preserve"> entende-se os diferentes tipos de torneiras destinadas ao abastecimento de água. Os acessórios hidráulicos podem incluir uma torneira misturadora ligada à conduta de água fria e à conduta de água quente ou uma torneira de bico curvo ligada à conduta de água fria ou à conduta de água quente.</w:t>
      </w:r>
    </w:p>
    <w:p w14:paraId="1EEB3631" w14:textId="77777777" w:rsidR="006A1A37" w:rsidRDefault="006A1A37" w:rsidP="00E83137">
      <w:pPr>
        <w:pStyle w:val="LLPykala"/>
        <w:keepNext/>
        <w:keepLines/>
        <w:spacing w:before="240" w:after="240"/>
      </w:pPr>
      <w:r>
        <w:t>Artigo 3.º</w:t>
      </w:r>
    </w:p>
    <w:p w14:paraId="408ABFE8" w14:textId="77777777" w:rsidR="00B11F6F" w:rsidRDefault="00B11F6F" w:rsidP="00E83137">
      <w:pPr>
        <w:pStyle w:val="LLPykalanOtsikko"/>
        <w:keepNext/>
        <w:keepLines/>
      </w:pPr>
      <w:r>
        <w:t xml:space="preserve">Adequabilidade para distribuição de água potável </w:t>
      </w:r>
    </w:p>
    <w:p w14:paraId="25F0F369" w14:textId="71B353C9" w:rsidR="00941742" w:rsidRPr="00666BA2" w:rsidRDefault="00941742" w:rsidP="00666BA2">
      <w:pPr>
        <w:pStyle w:val="LLVoimaantulokappale"/>
      </w:pPr>
      <w:r>
        <w:t>Os acessórios hidráulicos não podem libertar para a água substâncias perigosas para a saúde ou para a qualidade da água. Os materiais que entrem em contacto com a água devem ser adequados à distribuição de água potável.</w:t>
      </w:r>
    </w:p>
    <w:p w14:paraId="55439C41" w14:textId="7A3C306D" w:rsidR="00E02713" w:rsidRPr="00666BA2" w:rsidRDefault="00E02713" w:rsidP="00666BA2">
      <w:pPr>
        <w:pStyle w:val="LLVoimaantulokappale"/>
      </w:pPr>
      <w:r>
        <w:t>A concentração de chumbo lixiviada a partir do material de construção dos acessórios hidráulicos para a água de ensaio não pode exceder cinco microgramas por litro, sempre que o material seja testado num ensaio de lixiviação de 26 semanas sob condições equivalentes às condições efetivas de funcionamento. A acidez (nível de pH) da água de ensaio deve estar compreendida entre 6.7 e 8.4, o valor de alcalinidade entre 0,5 e 1,3 milimoles por litro e o valor de saturação de oxigénio deve ser superior a 70 por cento. A água de ensaio deve ser deixada a repousar quatro horas antes da recolha de uma amostra de água.</w:t>
      </w:r>
    </w:p>
    <w:p w14:paraId="6D077293" w14:textId="3BF2057F" w:rsidR="00E02713" w:rsidRPr="00666BA2" w:rsidRDefault="00E02713" w:rsidP="00666BA2">
      <w:pPr>
        <w:pStyle w:val="LLVoimaantulokappale"/>
      </w:pPr>
      <w:r>
        <w:t>O requisito alternativo aplicável ao produto no que concerne ao teor máximo admissível de chumbo lixiviado a partir dos acessórios hidráulicos para a água não pode exceder cinco microgramas, sempre que a lixiviação tenha sido submetida a ensaio ao longo de um período de dez dias. Durante o ensaio, o cádmio dissolvido na água não pode exceder dois microgramas. A solução de ensaio deve consistir em água potável sintética substituível, com um valor de acidez</w:t>
      </w:r>
      <w:r w:rsidR="00D51777">
        <w:t xml:space="preserve"> (valor de pH)</w:t>
      </w:r>
      <w:r>
        <w:t xml:space="preserve"> de 7.0±0.1.</w:t>
      </w:r>
    </w:p>
    <w:p w14:paraId="5B44EED3" w14:textId="77777777" w:rsidR="006A1A37" w:rsidRDefault="006A1A37" w:rsidP="00E83137">
      <w:pPr>
        <w:pStyle w:val="LLPykala"/>
        <w:keepNext/>
        <w:keepLines/>
        <w:spacing w:before="240" w:after="240"/>
      </w:pPr>
      <w:r>
        <w:lastRenderedPageBreak/>
        <w:t xml:space="preserve">Artigo 4.º </w:t>
      </w:r>
    </w:p>
    <w:p w14:paraId="7E8AF814" w14:textId="77777777" w:rsidR="003B65C9" w:rsidRPr="00240E69" w:rsidRDefault="003B65C9" w:rsidP="00E83137">
      <w:pPr>
        <w:pStyle w:val="LLPykalanOtsikko"/>
        <w:keepNext/>
        <w:keepLines/>
        <w:rPr>
          <w:i w:val="0"/>
        </w:rPr>
      </w:pPr>
      <w:r>
        <w:t xml:space="preserve">Resistência à corrosão das partes metálicas </w:t>
      </w:r>
    </w:p>
    <w:p w14:paraId="6E31A07F" w14:textId="77777777" w:rsidR="00FA22B7" w:rsidRPr="00666BA2" w:rsidRDefault="0062671D" w:rsidP="00666BA2">
      <w:pPr>
        <w:pStyle w:val="LLVoimaantulokappale"/>
      </w:pPr>
      <w:r>
        <w:t>As partes metálicas dos acessórios hidráulicos que se encontram em contacto com a água devem ser feitas de materiais resistentes à corrosão. As partes de latão do corpo sujeitas à pressão de água devem ser feitas de latão resistente à dezincificação.</w:t>
      </w:r>
    </w:p>
    <w:p w14:paraId="385372C6" w14:textId="0BF53479" w:rsidR="003454BB" w:rsidRPr="00666BA2" w:rsidRDefault="00CF1338" w:rsidP="00666BA2">
      <w:pPr>
        <w:pStyle w:val="LLVoimaantulokappale"/>
      </w:pPr>
      <w:r>
        <w:t>O valor máximo para a profundidade de dezincificação dos acessórios hidráulicos não pode exceder 200 micrómetros. Não é necessária a demonstração da dezincificação, se o teor de zinco na composição do acessório hidráulico não exceder 15 por cento.</w:t>
      </w:r>
    </w:p>
    <w:p w14:paraId="5C7D5C28" w14:textId="78B31841" w:rsidR="00E744B5" w:rsidRPr="007C4179" w:rsidRDefault="00E744B5" w:rsidP="00E83137">
      <w:pPr>
        <w:pStyle w:val="LLPykala"/>
        <w:keepNext/>
        <w:keepLines/>
        <w:spacing w:before="240" w:after="240"/>
      </w:pPr>
      <w:r>
        <w:t>Artigo 5.º</w:t>
      </w:r>
    </w:p>
    <w:p w14:paraId="504554EE" w14:textId="678C1810" w:rsidR="00E744B5" w:rsidRDefault="00825138" w:rsidP="00E83137">
      <w:pPr>
        <w:pStyle w:val="LLPykalanOtsikko"/>
        <w:keepNext/>
        <w:keepLines/>
      </w:pPr>
      <w:r>
        <w:t>Superfície externa e usabilidade</w:t>
      </w:r>
    </w:p>
    <w:p w14:paraId="0ED8059B" w14:textId="048408AA" w:rsidR="00E744B5" w:rsidRPr="00087684" w:rsidRDefault="007362A4" w:rsidP="00666BA2">
      <w:pPr>
        <w:pStyle w:val="LLVoimaantulokappale"/>
      </w:pPr>
      <w:r>
        <w:t>A superfície externa dos acessórios hidráulicos deve ser lisa e isenta de falhas, não devendo existir saliências acentuadas.</w:t>
      </w:r>
    </w:p>
    <w:p w14:paraId="105BC84E" w14:textId="799389D0" w:rsidR="00F81B7A" w:rsidRDefault="00F81B7A" w:rsidP="00666BA2">
      <w:pPr>
        <w:pStyle w:val="LLVoimaantulokappale"/>
      </w:pPr>
      <w:r>
        <w:t xml:space="preserve">Os acessórios hidráulicos devem ser fáceis de utilizar e deve ser possível limpá-los sem recurso a qualquer material especial. </w:t>
      </w:r>
    </w:p>
    <w:p w14:paraId="2C200645" w14:textId="15E3177F" w:rsidR="00672FB4" w:rsidRDefault="00AC7A11" w:rsidP="00666BA2">
      <w:pPr>
        <w:pStyle w:val="LLVoimaantulokappale"/>
      </w:pPr>
      <w:r>
        <w:t>O fabricante deve comunicar a temperatura da superfície do atuador do acessório hidráulico após uma descarga de água de um minuto, com a água corrente a uma temperatura de 65 graus centígrados.</w:t>
      </w:r>
    </w:p>
    <w:p w14:paraId="639D45CD" w14:textId="77777777" w:rsidR="00C86296" w:rsidRPr="007C4179" w:rsidRDefault="00C86296" w:rsidP="00E83137">
      <w:pPr>
        <w:pStyle w:val="LLPykala"/>
        <w:keepNext/>
        <w:keepLines/>
        <w:spacing w:before="240" w:after="240"/>
      </w:pPr>
      <w:r>
        <w:t>Artigo 6.º</w:t>
      </w:r>
    </w:p>
    <w:p w14:paraId="238BC748" w14:textId="77777777" w:rsidR="00C86296" w:rsidRDefault="00C86296" w:rsidP="00E83137">
      <w:pPr>
        <w:pStyle w:val="LLPykalanOtsikko"/>
        <w:keepNext/>
        <w:keepLines/>
      </w:pPr>
      <w:r>
        <w:t xml:space="preserve">Características funcionais </w:t>
      </w:r>
    </w:p>
    <w:p w14:paraId="02C06235" w14:textId="398F58E1" w:rsidR="00794C43" w:rsidRPr="00794C43" w:rsidRDefault="008829DC" w:rsidP="00666BA2">
      <w:pPr>
        <w:pStyle w:val="LLVoimaantulokappale"/>
      </w:pPr>
      <w:r>
        <w:t xml:space="preserve">Os acessórios hidráulicos devem ter um indicador azul para a água fria e um indicador vermelho para a água quente. No caso de torneiras termostáticas, o modo de regulação da temperatura pode igualmente ser indicado com símbolos ou uma escala de temperatura. </w:t>
      </w:r>
    </w:p>
    <w:p w14:paraId="29844D7E" w14:textId="3FB4CB3C" w:rsidR="00E744B5" w:rsidRDefault="00A667E3" w:rsidP="00666BA2">
      <w:pPr>
        <w:pStyle w:val="LLVoimaantulokappale"/>
      </w:pPr>
      <w:r>
        <w:t>Caso os acessórios hidráulicos incluam uma válvula de máquina de lavar roupa, as posições «aberta» e «fechada» da referida válvula devem ser claramente visíveis.</w:t>
      </w:r>
    </w:p>
    <w:p w14:paraId="61AE7029" w14:textId="77777777" w:rsidR="00D77A6E" w:rsidRPr="003A0B6F" w:rsidRDefault="00EC2FF4" w:rsidP="00E83137">
      <w:pPr>
        <w:pStyle w:val="LLPykala"/>
        <w:keepNext/>
        <w:keepLines/>
        <w:spacing w:before="240" w:after="240"/>
      </w:pPr>
      <w:r>
        <w:t>Artigo 7.º</w:t>
      </w:r>
    </w:p>
    <w:p w14:paraId="7C11BD7E" w14:textId="77777777" w:rsidR="003C6781" w:rsidRPr="003A0B6F" w:rsidRDefault="00AA6FA0" w:rsidP="00E83137">
      <w:pPr>
        <w:pStyle w:val="LLPykalanOtsikko"/>
        <w:keepNext/>
        <w:keepLines/>
      </w:pPr>
      <w:r>
        <w:t>Torneiras eletrónicas</w:t>
      </w:r>
    </w:p>
    <w:p w14:paraId="4F9F7A7E" w14:textId="4B517486" w:rsidR="00312926" w:rsidRPr="00666BA2" w:rsidRDefault="00AA6FA0" w:rsidP="00666BA2">
      <w:pPr>
        <w:pStyle w:val="LLVoimaantulokappale"/>
      </w:pPr>
      <w:r>
        <w:t xml:space="preserve">A tensão de funcionamento da torneira eletrónica não pode exceder 42 V CA ou 72 V CC. A fonte de alimentação pode ser um transformador, uma bateria ou outra fonte de alimentação ligada ao sistema de energia elétrica. </w:t>
      </w:r>
    </w:p>
    <w:p w14:paraId="342B0705" w14:textId="0233C5D8" w:rsidR="000D1CBA" w:rsidRPr="003A0B6F" w:rsidRDefault="000D1CBA" w:rsidP="00666BA2">
      <w:pPr>
        <w:pStyle w:val="LLVoimaantulokappale"/>
      </w:pPr>
      <w:r>
        <w:t>A unidade eletrónica da torneira eletrónica deve ostentar o grau de proteção. O grau de proteção das torneiras de lavatório e de lava-loiça deve ser de, pelo menos, IP 44 e das torneiras de duche de, pelo menos, IP 67.</w:t>
      </w:r>
    </w:p>
    <w:p w14:paraId="71B91D16" w14:textId="13965CA7" w:rsidR="00CE503F" w:rsidRPr="003A0B6F" w:rsidRDefault="003229D2" w:rsidP="00666BA2">
      <w:pPr>
        <w:pStyle w:val="LLVoimaantulokappale"/>
      </w:pPr>
      <w:r>
        <w:t xml:space="preserve">No caso de uma falha de energia, o abastecimento de água das torneiras com alimentação da rede deve ser interrompido. No caso de quebras de tensão de baterias abaixo do valor mínimo de funcionamento, o abastecimento de água de torneiras alimentadas a bateria não pode ser iniciado. </w:t>
      </w:r>
    </w:p>
    <w:p w14:paraId="700C4579" w14:textId="77777777" w:rsidR="00E744B5" w:rsidRDefault="00EC2FF4" w:rsidP="00E83137">
      <w:pPr>
        <w:pStyle w:val="LLPykala"/>
        <w:keepNext/>
        <w:keepLines/>
        <w:spacing w:before="240" w:after="240"/>
      </w:pPr>
      <w:r>
        <w:t>Artigo 8.º</w:t>
      </w:r>
    </w:p>
    <w:p w14:paraId="21D22F44" w14:textId="77777777" w:rsidR="00E744B5" w:rsidRPr="00666BA2" w:rsidRDefault="00D90E06" w:rsidP="00E83137">
      <w:pPr>
        <w:pStyle w:val="LLPykalanOtsikko"/>
        <w:keepNext/>
        <w:keepLines/>
      </w:pPr>
      <w:r>
        <w:t>Estrutura e dimensões</w:t>
      </w:r>
    </w:p>
    <w:p w14:paraId="176C045E" w14:textId="17399250" w:rsidR="00FE7A30" w:rsidRPr="000213F6" w:rsidRDefault="00FE7A30" w:rsidP="00666BA2">
      <w:pPr>
        <w:pStyle w:val="LLVoimaantulokappale"/>
      </w:pPr>
      <w:r>
        <w:t xml:space="preserve">A estrutura e as dimensões dos acessórios hidráulicos devem permitir a respetiva montagem no espaço concebido para os mesmos, em conformidade com a utilização prevista. As dimensões principais dos acessórios hidráulicos devem cumprir os valores que constam do quadro 1. Para a ligação à conduta de água, os tubos ou as peças de ligação de torneira nos acessórios hidráulicos devem estar ligados ao tubo de ligação da conduta de água mediante os elementos de ligação destinados às torneiras. </w:t>
      </w:r>
    </w:p>
    <w:p w14:paraId="7EBB1911" w14:textId="0FB3B011" w:rsidR="0099645F" w:rsidRDefault="00FE7A30" w:rsidP="00666BA2">
      <w:pPr>
        <w:pStyle w:val="LLVoimaantulokappale"/>
      </w:pPr>
      <w:r>
        <w:lastRenderedPageBreak/>
        <w:t>Os acessórios hidráulicos a instalar no interior de uma parede devem dispor de um componente exterior amovível por forma a permitir a inspeção e reparação da torneira.</w:t>
      </w:r>
    </w:p>
    <w:p w14:paraId="61C9E6FB" w14:textId="796CBB68" w:rsidR="002D5731" w:rsidRDefault="002D5731" w:rsidP="00666BA2">
      <w:pPr>
        <w:pStyle w:val="LLVoimaantulokappale"/>
      </w:pPr>
      <w:r>
        <w:t>Deve indicar-se o ângulo de rotação do bico da torneira do lavatório. Um bico da torneira com extensão de um lava-loiça deve ter um mecanismo de reposição automática do dispositivo de desvio.</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Quadro 1. Dimensões principais dos acessórios hidráulicos</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Tipo de acessórios hidráulicos e quantidade física</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Dimensão</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Torneira de parede</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Ligações de entrada, distância entre eixos centrais</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Dimensão da parte roscada</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Comprimento da parte roscada</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Distância entre o centro do orifício de saída do bico da torneira e o nível da parede</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Outro orifício de saída, duche, etc., dimensão da parte roscada</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Comprimento da parte roscada</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Torneira (de lavatório, de lava-loiça)</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Altura do ponto mais baixo do orifício de saída do bico da torneira a partir do nível da mesa</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Comprimento do tubo de ligação</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Tubos de ligação de cobre, diâmetro externo</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Tubos de ligação flexíveis, parte roscada de ligação</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Artigo 9.º</w:t>
      </w:r>
    </w:p>
    <w:p w14:paraId="0B40AE33" w14:textId="00FD809C" w:rsidR="008528ED" w:rsidRPr="00BC54A7" w:rsidRDefault="008D28C7" w:rsidP="00E83137">
      <w:pPr>
        <w:pStyle w:val="LLPykalanOtsikko"/>
        <w:keepNext/>
        <w:keepLines/>
        <w:rPr>
          <w:i w:val="0"/>
          <w:color w:val="000000"/>
        </w:rPr>
      </w:pPr>
      <w:r>
        <w:rPr>
          <w:color w:val="000000"/>
        </w:rPr>
        <w:t>Caudal normalizado</w:t>
      </w:r>
    </w:p>
    <w:p w14:paraId="4B679220" w14:textId="2392815D" w:rsidR="00E744B5" w:rsidRDefault="00483C63" w:rsidP="00666BA2">
      <w:pPr>
        <w:pStyle w:val="LLVoimaantulokappale"/>
      </w:pPr>
      <w:r>
        <w:t>Os acessórios hidráulicos devem apresentar caudais normalizados para a utilização prevista, conforme indicado no quadro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Quadro 2. Caudais normalizados, em conformidade com a utilização prevista de acessórios hidráulicos sob uma pressão de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Utilização prevista do acessório hidráulico</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Caudal normalizado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Caudal</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Valores-limite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Torneira de lava-loiça</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Válvula para máquina de lavar loiça</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Torneira de lavatório e cabeça de chuveiro</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Torneira de duche</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Torneira de banheira</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Torneira de bico curvo</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jardim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jardim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bl>
    <w:p w14:paraId="69D7CCB6" w14:textId="6FA696FD" w:rsidR="006A1A37" w:rsidRDefault="00EC2FF4" w:rsidP="00E83137">
      <w:pPr>
        <w:pStyle w:val="LLPykala"/>
        <w:keepNext/>
        <w:keepLines/>
        <w:spacing w:before="240" w:after="240"/>
      </w:pPr>
      <w:r>
        <w:t>Artigo 10.º</w:t>
      </w:r>
    </w:p>
    <w:p w14:paraId="16D54E2B" w14:textId="77777777" w:rsidR="003B65C9" w:rsidRDefault="009A6CFC" w:rsidP="00E83137">
      <w:pPr>
        <w:pStyle w:val="LLPykalanOtsikko"/>
        <w:keepNext/>
        <w:keepLines/>
      </w:pPr>
      <w:r>
        <w:t xml:space="preserve">Fadiga </w:t>
      </w:r>
    </w:p>
    <w:p w14:paraId="10247841" w14:textId="0D871B67" w:rsidR="0062671D" w:rsidRPr="00666BA2" w:rsidRDefault="009A6CFC" w:rsidP="00666BA2">
      <w:pPr>
        <w:pStyle w:val="LLVoimaantulokappale"/>
      </w:pPr>
      <w:r>
        <w:t>Os acessórios hidráulicos devem ser capazes de suportar as tensões térmicas, mecânicas e químicas das instalações de abastecimento de água, a fim de garantir que os acessórios hidráulicos permanecem funcionais e higiénicos durante a sua vida útil prevista.</w:t>
      </w:r>
    </w:p>
    <w:p w14:paraId="622604AB" w14:textId="7FAF9DAF" w:rsidR="003B65C9" w:rsidRPr="00666BA2" w:rsidRDefault="003B65C9" w:rsidP="00666BA2">
      <w:pPr>
        <w:pStyle w:val="LLVoimaantulokappale"/>
      </w:pPr>
      <w:r>
        <w:t>Os acessórios hidráulicos devem ser capazes de suportar as condições de funcionamento indicadas no quadro 3, permanecendo estanques e fiáveis.</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Quadro 3. Condições de funcionamento dos acessórios hidráulicos</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Sistema de distribuição de água</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Condição de funcionamento</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Valor extremo</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Condições normais de funcionamento</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Pressão</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Pressão de caudal, mínima</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Pressão estática, máxima</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da água, máxima</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Torneiras eletrónicas: 75°C </w:t>
            </w:r>
          </w:p>
        </w:tc>
      </w:tr>
    </w:tbl>
    <w:p w14:paraId="526534F0" w14:textId="564A329B" w:rsidR="00DE02E7" w:rsidRDefault="00446020" w:rsidP="00E83137">
      <w:pPr>
        <w:pStyle w:val="LLPykala"/>
        <w:keepNext/>
        <w:keepLines/>
        <w:spacing w:before="240" w:after="240"/>
      </w:pPr>
      <w:r>
        <w:t>Artigo 11.º</w:t>
      </w:r>
    </w:p>
    <w:p w14:paraId="0FACB03C" w14:textId="77777777" w:rsidR="00DE02E7" w:rsidRDefault="00AB3AE1" w:rsidP="00E83137">
      <w:pPr>
        <w:pStyle w:val="LLPykalanOtsikko"/>
        <w:keepNext/>
        <w:keepLines/>
      </w:pPr>
      <w:r>
        <w:t xml:space="preserve">Grupos dos níveis de ruído </w:t>
      </w:r>
    </w:p>
    <w:p w14:paraId="6EF1A77D" w14:textId="11D2C726" w:rsidR="009916FE" w:rsidRDefault="00DE02E7" w:rsidP="00545CB0">
      <w:pPr>
        <w:pStyle w:val="LLNormaali"/>
        <w:ind w:firstLine="142"/>
        <w:jc w:val="both"/>
      </w:pPr>
      <w:r>
        <w:t xml:space="preserve">Deve indicar-se grupo do nível de ruído dos acessórios hidráulicos. O que precede deve ser determinado a partir do ruído causado pelo caudal da água nos acessórios hidráulicos com uma pressão da água de 0,3 megapascais, medidos em condições laboratoriais. Existem três grupos de níveis de ruído e os mesmos devem ser determinados com base nos níveis de ruído indicados no quadro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Quadro 4. Grupo do nível de ruído dos acessórios hidráulicos</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Artigo 12.º</w:t>
      </w:r>
    </w:p>
    <w:p w14:paraId="44B3604A" w14:textId="77777777" w:rsidR="002A54A6" w:rsidRPr="00666BA2" w:rsidRDefault="002A54A6" w:rsidP="00E83137">
      <w:pPr>
        <w:pStyle w:val="LLPykalanOtsikko"/>
        <w:keepNext/>
        <w:keepLines/>
      </w:pPr>
      <w:r>
        <w:t xml:space="preserve">Prevenção antirretorno </w:t>
      </w:r>
    </w:p>
    <w:p w14:paraId="4B557EAB" w14:textId="6A99EA93" w:rsidR="008D28C7" w:rsidRDefault="002A54A6" w:rsidP="00666BA2">
      <w:pPr>
        <w:pStyle w:val="LLVoimaantulokappale"/>
      </w:pPr>
      <w:r>
        <w:t>Os acessórios hidráulicos devem conter uma proteção contra sifonagem inversa por forma a prevenir o retorno. No caso de torneiras termostáticas, as válvulas de controlo instaladas nas ligações de entrada fixas da torneira devem prevenir o cruzamento de caudal de água quente e fria. Os acessórios hidráulicos devem apresentar, pelo menos, a proteção contra sifonagem inversa indicada no quadro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Quadro 5. Proteção contra sifonagem inversa dos acessórios hidráulicos</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Unidade a submeter a ensaio</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Proteção contra sifonagem inversa</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Bico de torneira</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Caixa de ar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Cabeça de chuveiro</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Sistema de desvio automático, válvula de vácuo, válvula de controlo</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Torneira termostática</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Válvulas de controlo</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Chuveiro higiénico</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Válvulas de controlo</w:t>
            </w:r>
          </w:p>
        </w:tc>
      </w:tr>
    </w:tbl>
    <w:p w14:paraId="31E82843" w14:textId="77777777" w:rsidR="006A1A37" w:rsidRDefault="00915041" w:rsidP="00E83137">
      <w:pPr>
        <w:pStyle w:val="LLPykala"/>
        <w:keepNext/>
        <w:keepLines/>
        <w:spacing w:before="240" w:after="240"/>
      </w:pPr>
      <w:r>
        <w:t>Artigo 13.º</w:t>
      </w:r>
    </w:p>
    <w:p w14:paraId="325D4E0F" w14:textId="77777777" w:rsidR="003B65C9" w:rsidRDefault="003B65C9" w:rsidP="00666BA2">
      <w:pPr>
        <w:pStyle w:val="LLPykalanOtsikko"/>
        <w:keepNext/>
        <w:keepLines/>
      </w:pPr>
      <w:r>
        <w:t>Marcação</w:t>
      </w:r>
    </w:p>
    <w:p w14:paraId="4088665F" w14:textId="1E1DF7F2" w:rsidR="00863453" w:rsidRDefault="003B65C9" w:rsidP="00666BA2">
      <w:pPr>
        <w:pStyle w:val="LLVoimaantulokappale"/>
      </w:pPr>
      <w:r>
        <w:t xml:space="preserve">Os acessórios hidráulicos devem ostentar uma marcação que indique, pelo menos, </w:t>
      </w:r>
      <w:r w:rsidR="00A64763">
        <w:t>a identificação do fabricante.</w:t>
      </w:r>
    </w:p>
    <w:p w14:paraId="4BCC2AF2" w14:textId="77777777" w:rsidR="006A1A37" w:rsidRDefault="003E109B" w:rsidP="00666BA2">
      <w:pPr>
        <w:pStyle w:val="LLVoimaantulokappale"/>
      </w:pPr>
      <w:r>
        <w:t xml:space="preserve">As ligações de entrada dos acessórios hidráulicos devem ostentar uma marcação de tal forma que permita a sua identificação. No caso de torneiras termostáticas, as ligações de </w:t>
      </w:r>
      <w:r>
        <w:lastRenderedPageBreak/>
        <w:t>entrada de água fria devem ostentar uma marcação de cor azul e as ligações de entrada de água quente devem ostentar uma marcação de cor vermelha.</w:t>
      </w:r>
    </w:p>
    <w:p w14:paraId="1DF9D347" w14:textId="52F71D56" w:rsidR="008110FF" w:rsidRPr="00666BA2" w:rsidRDefault="008110FF" w:rsidP="00666BA2">
      <w:pPr>
        <w:pStyle w:val="LLPykala"/>
        <w:keepNext/>
        <w:keepLines/>
        <w:spacing w:before="240" w:after="240"/>
      </w:pPr>
      <w:r>
        <w:t>Artigo 14.º</w:t>
      </w:r>
    </w:p>
    <w:p w14:paraId="142B1A85" w14:textId="6E1DBD31" w:rsidR="008110FF" w:rsidRPr="00666BA2" w:rsidRDefault="008110FF" w:rsidP="00E83137">
      <w:pPr>
        <w:pStyle w:val="LLPykalanOtsikko"/>
        <w:keepNext/>
        <w:keepLines/>
      </w:pPr>
      <w:r>
        <w:t>Determinação empírica das características técnicas</w:t>
      </w:r>
    </w:p>
    <w:p w14:paraId="54A51DFB" w14:textId="3757B927" w:rsidR="008110FF" w:rsidRPr="00666BA2" w:rsidRDefault="00F76F49" w:rsidP="00666BA2">
      <w:pPr>
        <w:pStyle w:val="LLVoimaantulokappale"/>
      </w:pPr>
      <w:r>
        <w:t>O fabricante deve determinar as características técnicas através de ensaios. A determinação empírica realizada num Estado-Membro do Espaço Económico Europeu ou na Turquia deve recorrer a um procedimento geralmente aceite. Sempre que solicitado, devem ser apresentados aos responsáveis por um projeto de construção e à autoridade de fiscalização do mercado e da construção o relatório sobre os métodos utilizados para a determinação das características técnicas, bem como os resultados dos ensaios.</w:t>
      </w:r>
    </w:p>
    <w:p w14:paraId="7BEB3763" w14:textId="72DF0604" w:rsidR="006A1A37" w:rsidRDefault="00915041" w:rsidP="00E83137">
      <w:pPr>
        <w:pStyle w:val="LLPykala"/>
        <w:keepNext/>
        <w:keepLines/>
        <w:spacing w:before="240" w:after="240"/>
      </w:pPr>
      <w:r>
        <w:t>Artigo 15.º</w:t>
      </w:r>
    </w:p>
    <w:p w14:paraId="09B8D225" w14:textId="77777777" w:rsidR="006A1A37" w:rsidRDefault="006A1A37" w:rsidP="00E83137">
      <w:pPr>
        <w:pStyle w:val="LLPykalanOtsikko"/>
        <w:keepNext/>
        <w:keepLines/>
      </w:pPr>
      <w:r>
        <w:t>Entrada em vigor</w:t>
      </w:r>
    </w:p>
    <w:p w14:paraId="12628E9D" w14:textId="452356E0" w:rsidR="006A1A37" w:rsidRDefault="006A1A37" w:rsidP="00666BA2">
      <w:pPr>
        <w:pStyle w:val="LLVoimaantulokappale"/>
      </w:pPr>
      <w:r>
        <w:t xml:space="preserve">O presente decreto entra em vigor em </w:t>
      </w:r>
      <w:r w:rsidR="00DF6DC3">
        <w:t>1 de janeiro de 2020</w:t>
      </w:r>
      <w:r>
        <w:t>.</w:t>
      </w:r>
    </w:p>
    <w:p w14:paraId="2C0171F2" w14:textId="6C2AD051" w:rsidR="00E700CA" w:rsidRDefault="00E700CA" w:rsidP="00666BA2">
      <w:pPr>
        <w:pStyle w:val="LLVoimaantulokappale"/>
      </w:pPr>
      <w:r>
        <w:t>As disposições vigentes à data de entrada em vigor do presente decreto são aplicáveis a quaisquer projetos pendentes.</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6A1E7CFC" w:rsidR="006A1A37" w:rsidRDefault="006A1A37" w:rsidP="006A1A37">
      <w:pPr>
        <w:pStyle w:val="LLPaivays"/>
      </w:pPr>
      <w:r>
        <w:t xml:space="preserve">Helsínquia, </w:t>
      </w:r>
      <w:r w:rsidR="00DF6DC3">
        <w:t>11 de abril de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4B39F285" w:rsidR="006A1A37" w:rsidRDefault="001543CC" w:rsidP="00E83137">
      <w:pPr>
        <w:pStyle w:val="LLMinisterinAllekirjoitus"/>
        <w:keepNext/>
        <w:keepLines/>
      </w:pPr>
      <w:r>
        <w:t>Ministro do Ambiente, da Energia e da Habitação</w:t>
      </w:r>
      <w:r w:rsidR="00DF6DC3">
        <w:t xml:space="preserve"> </w:t>
      </w:r>
      <w:r w:rsidR="00DF6DC3" w:rsidRPr="005949F7">
        <w:t>Kimmo Tiilikainen</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2EADB620" w:rsidR="002D0561" w:rsidRPr="002D0561" w:rsidRDefault="006A1A37" w:rsidP="0015238B">
      <w:pPr>
        <w:pStyle w:val="LLEsittelijanVarmennus"/>
      </w:pPr>
      <w:r>
        <w:t>Engenheir</w:t>
      </w:r>
      <w:r w:rsidR="00DF6DC3">
        <w:t>a</w:t>
      </w:r>
      <w:r>
        <w:t xml:space="preserve"> Sénior</w:t>
      </w:r>
      <w:r w:rsidR="00DF6DC3">
        <w:t xml:space="preserve"> </w:t>
      </w:r>
      <w:proofErr w:type="spellStart"/>
      <w:r w:rsidR="00DF6DC3" w:rsidRPr="005949F7">
        <w:t>Kaisa</w:t>
      </w:r>
      <w:proofErr w:type="spellEnd"/>
      <w:r w:rsidR="00DF6DC3" w:rsidRPr="005949F7">
        <w:t xml:space="preserve"> </w:t>
      </w:r>
      <w:proofErr w:type="spellStart"/>
      <w:r w:rsidR="00DF6DC3" w:rsidRPr="005949F7">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89793" w14:textId="77777777" w:rsidR="00FE62CE" w:rsidRDefault="00FE62CE">
      <w:r>
        <w:separator/>
      </w:r>
    </w:p>
  </w:endnote>
  <w:endnote w:type="continuationSeparator" w:id="0">
    <w:p w14:paraId="731E7CEF" w14:textId="77777777" w:rsidR="00FE62CE" w:rsidRDefault="00FE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15238B">
        <w:pPr>
          <w:pStyle w:val="Footer"/>
          <w:jc w:val="center"/>
        </w:pPr>
        <w:r>
          <w:fldChar w:fldCharType="begin"/>
        </w:r>
        <w:r>
          <w:instrText xml:space="preserve"> PAGE   \* MERGEFORMAT </w:instrText>
        </w:r>
        <w:r>
          <w:fldChar w:fldCharType="separate"/>
        </w:r>
        <w:r w:rsidR="0015238B">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AB59B" w14:textId="4B43D061" w:rsidR="00DF6DC3" w:rsidRPr="0015238B" w:rsidRDefault="00DF6DC3" w:rsidP="0015238B">
    <w:pPr>
      <w:pStyle w:val="Footer"/>
      <w:jc w:val="center"/>
      <w:rPr>
        <w:rFonts w:ascii="Times New Roman" w:hAnsi="Times New Roman"/>
        <w:sz w:val="16"/>
        <w:lang w:val="fi-FI"/>
      </w:rPr>
    </w:pPr>
    <w:r w:rsidRPr="00DF6DC3">
      <w:rPr>
        <w:rFonts w:ascii="Times New Roman" w:hAnsi="Times New Roman"/>
        <w:sz w:val="16"/>
        <w:szCs w:val="16"/>
        <w:lang w:val="fi-FI" w:eastAsia="en-US" w:bidi="ar-SA"/>
      </w:rPr>
      <w:t>Diretiva (UE) 2015/1535 do Parlamento Europeu e do Conselho</w:t>
    </w:r>
    <w:r>
      <w:rPr>
        <w:rFonts w:ascii="Times New Roman" w:hAnsi="Times New Roman"/>
        <w:sz w:val="16"/>
        <w:szCs w:val="16"/>
        <w:lang w:val="fi-FI" w:eastAsia="en-US" w:bidi="ar-SA"/>
      </w:rPr>
      <w:t xml:space="preserve"> (32015L1535); </w:t>
    </w:r>
    <w:r w:rsidRPr="00E725A9">
      <w:rPr>
        <w:rFonts w:ascii="Times New Roman" w:hAnsi="Times New Roman"/>
        <w:sz w:val="16"/>
        <w:szCs w:val="16"/>
        <w:lang w:val="fi-FI" w:eastAsia="en-US" w:bidi="ar-SA"/>
      </w:rPr>
      <w:t>J</w:t>
    </w:r>
    <w:r>
      <w:rPr>
        <w:rFonts w:ascii="Times New Roman" w:hAnsi="Times New Roman"/>
        <w:sz w:val="16"/>
        <w:szCs w:val="16"/>
        <w:lang w:val="fi-FI" w:eastAsia="en-US" w:bidi="ar-SA"/>
      </w:rPr>
      <w:t>O</w:t>
    </w:r>
    <w:r w:rsidRPr="00E725A9">
      <w:rPr>
        <w:rFonts w:ascii="Times New Roman" w:hAnsi="Times New Roman"/>
        <w:sz w:val="16"/>
        <w:szCs w:val="16"/>
        <w:lang w:val="fi-FI" w:eastAsia="en-US" w:bidi="ar-SA"/>
      </w:rPr>
      <w:t xml:space="preserve"> L 241, 17.9.2015, p. 1</w:t>
    </w:r>
  </w:p>
  <w:p w14:paraId="43F1A421" w14:textId="77777777" w:rsidR="00DF6DC3" w:rsidRDefault="00DF6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B6440" w14:textId="77777777" w:rsidR="00FE62CE" w:rsidRDefault="00FE62CE">
      <w:r>
        <w:separator/>
      </w:r>
    </w:p>
  </w:footnote>
  <w:footnote w:type="continuationSeparator" w:id="0">
    <w:p w14:paraId="01753886" w14:textId="77777777" w:rsidR="00FE62CE" w:rsidRDefault="00FE6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fi-FI" w:vendorID="64" w:dllVersion="131078" w:nlCheck="1" w:checkStyle="0"/>
  <w:activeWritingStyle w:appName="MSWord" w:lang="en-US" w:vendorID="64" w:dllVersion="131078" w:nlCheck="1" w:checkStyle="1"/>
  <w:activeWritingStyle w:appName="MSWord" w:lang="fi-FI" w:vendorID="22" w:dllVersion="513" w:checkStyle="1"/>
  <w:activeWritingStyle w:appName="MSWord" w:lang="pt-PT" w:vendorID="13" w:dllVersion="513" w:checkStyle="1"/>
  <w:activeWritingStyle w:appName="MSWord" w:lang="pt-PT" w:vendorID="75"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defaultTabStop w:val="1304"/>
  <w:hyphenationZone w:val="142"/>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238B"/>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C7A43"/>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5E4B"/>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B7D0B"/>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11B"/>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4763"/>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1777"/>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6DC3"/>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2CE"/>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CC15B7"/>
  <w15:docId w15:val="{147BBEEC-48AA-40C7-87E0-ECA9C6A3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pt-P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pt-PT" w:eastAsia="pt-PT" w:bidi="pt-PT"/>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86211B"/>
    <w:pPr>
      <w:tabs>
        <w:tab w:val="center" w:pos="4173"/>
        <w:tab w:val="left" w:pos="7651"/>
      </w:tabs>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pt-PT"/>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pt-PT"/>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pt-PT" w:eastAsia="pt-PT"/>
    </w:rPr>
  </w:style>
  <w:style w:type="paragraph" w:styleId="Revision">
    <w:name w:val="Revision"/>
    <w:hidden/>
    <w:uiPriority w:val="99"/>
    <w:semiHidden/>
    <w:rsid w:val="00DF6DC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AAAE-12AC-4D1D-A475-19D3A8E4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22</TotalTime>
  <Pages>5</Pages>
  <Words>1646</Words>
  <Characters>8889</Characters>
  <Application>Microsoft Office Word</Application>
  <DocSecurity>0</DocSecurity>
  <Lines>74</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SANTOS, Susana</cp:lastModifiedBy>
  <cp:revision>10</cp:revision>
  <cp:lastPrinted>2015-06-23T07:59:00Z</cp:lastPrinted>
  <dcterms:created xsi:type="dcterms:W3CDTF">2018-12-20T07:40:00Z</dcterms:created>
  <dcterms:modified xsi:type="dcterms:W3CDTF">2020-07-30T16:52:00Z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