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57C" w:rsidRPr="0047773C" w:rsidRDefault="00D218C0" w:rsidP="0000457C">
      <w:pPr>
        <w:pStyle w:val="12PromKlEinlSatz"/>
        <w:keepNext w:val="0"/>
        <w:spacing w:before="0" w:after="120" w:line="240" w:lineRule="auto"/>
        <w:ind w:firstLine="0"/>
        <w:jc w:val="center"/>
        <w:rPr>
          <w:rFonts w:ascii="Courier New" w:hAnsi="Courier New"/>
          <w:snapToGrid/>
        </w:rPr>
      </w:pPr>
      <w:r w:rsidRPr="0047773C">
        <w:rPr>
          <w:rFonts w:ascii="Courier New" w:hAnsi="Courier New"/>
          <w:snapToGrid/>
        </w:rPr>
        <w:t>1. ------IND- 2019 0280 EE- DA- ------ 20190621 --- --- PROJET</w:t>
      </w:r>
    </w:p>
    <w:p w:rsidR="00E97C8D" w:rsidRPr="000F1F61" w:rsidRDefault="0000457C" w:rsidP="0000457C">
      <w:pPr>
        <w:pStyle w:val="Default"/>
        <w:jc w:val="right"/>
      </w:pPr>
      <w:bookmarkStart w:id="0" w:name="_GoBack"/>
      <w:bookmarkEnd w:id="0"/>
      <w:r>
        <w:t>UDKAST</w:t>
      </w:r>
    </w:p>
    <w:p w:rsidR="00E97C8D" w:rsidRDefault="00E97C8D" w:rsidP="0000457C">
      <w:pPr>
        <w:pStyle w:val="Default"/>
        <w:jc w:val="right"/>
      </w:pPr>
      <w:r>
        <w:t>…….2019</w:t>
      </w:r>
    </w:p>
    <w:p w:rsidR="006F0FE1" w:rsidRPr="006F0FE1" w:rsidRDefault="006F0FE1" w:rsidP="0000457C">
      <w:pPr>
        <w:pStyle w:val="Default"/>
        <w:ind w:left="7788"/>
        <w:jc w:val="center"/>
      </w:pPr>
    </w:p>
    <w:p w:rsidR="00DF1C9F" w:rsidRPr="006F0FE1" w:rsidRDefault="00DF1C9F" w:rsidP="0000457C">
      <w:pPr>
        <w:pStyle w:val="eelnupealkiri"/>
        <w:widowControl/>
        <w:rPr>
          <w:szCs w:val="32"/>
        </w:rPr>
      </w:pPr>
      <w:r>
        <w:t>Lov om ændring af lov om tobak</w:t>
      </w:r>
    </w:p>
    <w:p w:rsidR="00DF1C9F" w:rsidRPr="000F1F61" w:rsidRDefault="00DF1C9F" w:rsidP="0000457C">
      <w:pPr>
        <w:pStyle w:val="muudatustesissejuhatus"/>
        <w:keepNext/>
        <w:keepLines/>
        <w:widowControl/>
      </w:pPr>
      <w:r>
        <w:t>Lov om tobak ændres som følger:</w:t>
      </w:r>
    </w:p>
    <w:p w:rsidR="00DF1C9F" w:rsidRDefault="00DF1C9F" w:rsidP="0000457C">
      <w:pPr>
        <w:pStyle w:val="muutmisksk"/>
        <w:keepNext/>
        <w:keepLines/>
        <w:widowControl/>
      </w:pPr>
      <w:r>
        <w:rPr>
          <w:b/>
        </w:rPr>
        <w:t>1)</w:t>
      </w:r>
      <w:r>
        <w:t xml:space="preserve"> § 3, stk. 2, ændres og får følgende ordlyd:</w:t>
      </w:r>
    </w:p>
    <w:p w:rsidR="00F3659F" w:rsidRDefault="00F3659F" w:rsidP="0000457C">
      <w:pPr>
        <w:pStyle w:val="muutmisksk"/>
        <w:widowControl/>
      </w:pPr>
      <w:r>
        <w:t>"Stk. 2. Tobaksvarer kategoriseres som produkter til rygning samt røgfri og opvarmede tobaksvarer."</w:t>
      </w:r>
    </w:p>
    <w:p w:rsidR="00CB4A82" w:rsidRDefault="00CB4A82" w:rsidP="0000457C">
      <w:pPr>
        <w:pStyle w:val="muutmisksk"/>
        <w:keepNext/>
        <w:keepLines/>
        <w:widowControl/>
      </w:pPr>
      <w:r>
        <w:rPr>
          <w:b/>
        </w:rPr>
        <w:t>2)</w:t>
      </w:r>
      <w:r>
        <w:t xml:space="preserve"> § 3, stk. 4, ændres og får følgende ordlyd:</w:t>
      </w:r>
    </w:p>
    <w:p w:rsidR="00F3659F" w:rsidRDefault="00FA49AA" w:rsidP="0000457C">
      <w:pPr>
        <w:pStyle w:val="muutmisksk"/>
        <w:widowControl/>
      </w:pPr>
      <w:r>
        <w:t>"Stk. 4. En røgfri tobaksvare er en tobaksvare (herunder tyggetobak, tobak, der indtages nasalt, og tobak, der indtages oralt), der forbruges uden en forbrændingsproces, og som ikke er en opvarmet tobaksvare."</w:t>
      </w:r>
    </w:p>
    <w:p w:rsidR="00F3659F" w:rsidRDefault="006405C9" w:rsidP="0000457C">
      <w:pPr>
        <w:pStyle w:val="muutmisksk"/>
        <w:keepNext/>
        <w:keepLines/>
        <w:widowControl/>
      </w:pPr>
      <w:r>
        <w:rPr>
          <w:b/>
        </w:rPr>
        <w:t>3)</w:t>
      </w:r>
      <w:r>
        <w:t xml:space="preserve"> Stk. 6 tilføjes til § 3 og får følgende ordlyd:</w:t>
      </w:r>
    </w:p>
    <w:p w:rsidR="00302BE2" w:rsidRDefault="00F3659F" w:rsidP="0000457C">
      <w:pPr>
        <w:pStyle w:val="muutmisksk"/>
        <w:widowControl/>
      </w:pPr>
      <w:r>
        <w:t>"Stk. 6. En opvarmet tobaksvare er en ny tobaksvare, der forbruges uden en tobaksforbrændingsproces og ved at benytte et tilbehør til at opvarme tobakken."</w:t>
      </w:r>
    </w:p>
    <w:p w:rsidR="00B0041E" w:rsidRDefault="006405C9" w:rsidP="0000457C">
      <w:pPr>
        <w:pStyle w:val="muutmisksk"/>
        <w:keepNext/>
        <w:keepLines/>
        <w:widowControl/>
      </w:pPr>
      <w:r>
        <w:rPr>
          <w:b/>
        </w:rPr>
        <w:t>4)</w:t>
      </w:r>
      <w:r>
        <w:t xml:space="preserve"> Første punktum i § 8, stk. 5, får følgende ordlyd:</w:t>
      </w:r>
    </w:p>
    <w:p w:rsidR="00B0041E" w:rsidRDefault="00B0041E" w:rsidP="0000457C">
      <w:pPr>
        <w:pStyle w:val="muutmisksk"/>
        <w:widowControl/>
      </w:pPr>
      <w:r>
        <w:t>"Cigaretter, røgtobak til rulning af cigaretter samt opvarmede tobaksvarer må ikke have en kendetegnende aroma."</w:t>
      </w:r>
    </w:p>
    <w:p w:rsidR="000C419A" w:rsidRDefault="000C419A" w:rsidP="0000457C">
      <w:pPr>
        <w:pStyle w:val="muutmisksk"/>
        <w:keepNext/>
        <w:keepLines/>
        <w:widowControl/>
      </w:pPr>
      <w:r>
        <w:rPr>
          <w:b/>
        </w:rPr>
        <w:t>5)</w:t>
      </w:r>
      <w:r>
        <w:t xml:space="preserve"> Første punktum i § 8, stk. 6, får følgende ordlyd:</w:t>
      </w:r>
    </w:p>
    <w:p w:rsidR="000C419A" w:rsidRDefault="000C419A" w:rsidP="0000457C">
      <w:pPr>
        <w:pStyle w:val="muutmisksk"/>
        <w:widowControl/>
      </w:pPr>
      <w:r>
        <w:t>"Ingredienserne i cigaretter, røgtobak til rulning af cigaretter samt opvarmede tobaksvarer - såsom filtre, papirer, emballage og kapsler - må ikke aromatiseres."</w:t>
      </w:r>
    </w:p>
    <w:p w:rsidR="00F3659F" w:rsidRDefault="00544F55" w:rsidP="0000457C">
      <w:pPr>
        <w:pStyle w:val="muutmisksk"/>
        <w:keepNext/>
        <w:keepLines/>
        <w:widowControl/>
      </w:pPr>
      <w:r>
        <w:rPr>
          <w:b/>
        </w:rPr>
        <w:t>6)</w:t>
      </w:r>
      <w:r>
        <w:t xml:space="preserve"> Første punktum i § 12, stk. 5, får følgende ordlyd:</w:t>
      </w:r>
    </w:p>
    <w:p w:rsidR="00F3659F" w:rsidRDefault="002A4570" w:rsidP="0000457C">
      <w:pPr>
        <w:pStyle w:val="muutmisksk"/>
        <w:widowControl/>
      </w:pPr>
      <w:r>
        <w:t>"Oplysningerne i stk. 1 i dette afsnit kan vises på klistermærker på tobakvarens salgs- og kombinationsemballage, med undtagelse af cigaretter og røgtobak til rulning af cigaretter."</w:t>
      </w:r>
    </w:p>
    <w:p w:rsidR="00CB4A82" w:rsidRDefault="00544F55" w:rsidP="0000457C">
      <w:pPr>
        <w:pStyle w:val="muutmisksk"/>
        <w:keepNext/>
        <w:keepLines/>
        <w:widowControl/>
      </w:pPr>
      <w:r>
        <w:rPr>
          <w:b/>
        </w:rPr>
        <w:t>7</w:t>
      </w:r>
      <w:r>
        <w:t>) Overskriften i § 13 ændres og får følgende ordlyd:</w:t>
      </w:r>
    </w:p>
    <w:p w:rsidR="00CB4A82" w:rsidRDefault="00CB4A82" w:rsidP="0000457C">
      <w:pPr>
        <w:pStyle w:val="muutmisksk"/>
        <w:widowControl/>
      </w:pPr>
      <w:r>
        <w:t>"</w:t>
      </w:r>
      <w:r>
        <w:rPr>
          <w:b/>
        </w:rPr>
        <w:t>§ 13. Sundhedsadvarsler for tobaksvarer, der ryges"</w:t>
      </w:r>
    </w:p>
    <w:p w:rsidR="00CB4A82" w:rsidRDefault="00544F55" w:rsidP="0000457C">
      <w:pPr>
        <w:pStyle w:val="muutmisksk"/>
        <w:keepNext/>
        <w:keepLines/>
        <w:widowControl/>
      </w:pPr>
      <w:r>
        <w:rPr>
          <w:b/>
        </w:rPr>
        <w:t>8)</w:t>
      </w:r>
      <w:r>
        <w:t xml:space="preserve"> § 13, stk. 1, ændres og får følgende ordlyd:</w:t>
      </w:r>
    </w:p>
    <w:p w:rsidR="00CB4A82" w:rsidRDefault="00CB4A82" w:rsidP="0000457C">
      <w:pPr>
        <w:pStyle w:val="muutmisksk"/>
        <w:widowControl/>
      </w:pPr>
      <w:r>
        <w:t>"Stk. 1. Sundhedsadvarsler for tobaksvarer, der ryges, er opdelt i generelle advarsler, informationsmeddelelser og kombinerede sundhedsadvarsler."</w:t>
      </w:r>
    </w:p>
    <w:p w:rsidR="00CB4A82" w:rsidRDefault="00544F55" w:rsidP="0000457C">
      <w:pPr>
        <w:pStyle w:val="muutmisksk"/>
        <w:keepNext/>
        <w:keepLines/>
        <w:widowControl/>
      </w:pPr>
      <w:r>
        <w:rPr>
          <w:b/>
        </w:rPr>
        <w:t xml:space="preserve">9) </w:t>
      </w:r>
      <w:r>
        <w:t>Loven suppleres med § 13</w:t>
      </w:r>
      <w:r>
        <w:rPr>
          <w:vertAlign w:val="superscript"/>
        </w:rPr>
        <w:t>1</w:t>
      </w:r>
      <w:r>
        <w:t>, der har følgende ordlyd:</w:t>
      </w:r>
    </w:p>
    <w:p w:rsidR="00CB4A82" w:rsidRDefault="00CB4A82" w:rsidP="0000457C">
      <w:pPr>
        <w:pStyle w:val="muutmisksk"/>
        <w:widowControl/>
        <w:rPr>
          <w:b/>
        </w:rPr>
      </w:pPr>
      <w:r>
        <w:t>"</w:t>
      </w:r>
      <w:r>
        <w:rPr>
          <w:b/>
        </w:rPr>
        <w:t>13</w:t>
      </w:r>
      <w:r>
        <w:rPr>
          <w:b/>
          <w:vertAlign w:val="superscript"/>
        </w:rPr>
        <w:t>1</w:t>
      </w:r>
      <w:r>
        <w:rPr>
          <w:b/>
        </w:rPr>
        <w:t>. Sundhedsadvarsel for opvarmede tobaksvarer</w:t>
      </w:r>
    </w:p>
    <w:p w:rsidR="00FA49AA" w:rsidRDefault="00FA49AA" w:rsidP="0000457C">
      <w:pPr>
        <w:pStyle w:val="muutmisksk"/>
        <w:widowControl/>
      </w:pPr>
      <w:r>
        <w:lastRenderedPageBreak/>
        <w:t>Stk. 1. Hver opvarmet tobaksvares salgs- og kombinationsemballage skal være forsynet med følgende sundhedsadvarsel:</w:t>
      </w:r>
    </w:p>
    <w:p w:rsidR="00FA49AA" w:rsidRDefault="00FA49AA" w:rsidP="0000457C">
      <w:pPr>
        <w:pStyle w:val="muudetavtekst"/>
      </w:pPr>
      <w:r>
        <w:t>"Denne tobaksvare skader dit helbred og er afhængighedsskabende."</w:t>
      </w:r>
    </w:p>
    <w:p w:rsidR="00FA49AA" w:rsidRDefault="00D5650D" w:rsidP="0000457C">
      <w:pPr>
        <w:pStyle w:val="muutmisksk"/>
        <w:widowControl/>
      </w:pPr>
      <w:r>
        <w:t>Stk. 2. Sundhedsadvarslen, der er fastsat i stk. 1 i dette afsnit, skal opfylde de specificerede krav i denne lovs § 16, stk. 6, 10, 11 og 12.</w:t>
      </w:r>
    </w:p>
    <w:p w:rsidR="00FA49AA" w:rsidRDefault="00D5650D" w:rsidP="0000457C">
      <w:pPr>
        <w:pStyle w:val="muutmisksk"/>
        <w:widowControl/>
      </w:pPr>
      <w:r>
        <w:t>Stk. 3. Ud over bestemmelserne i stk. 2 i dette afsnit skal en sundhedsadvarsel for opvarmede tobaksvarer:</w:t>
      </w:r>
    </w:p>
    <w:p w:rsidR="00FA49AA" w:rsidRDefault="00D5650D" w:rsidP="0000457C">
      <w:pPr>
        <w:pStyle w:val="muudetavtekst"/>
      </w:pPr>
      <w:r>
        <w:t>1) sidde parallelt med sidekanten på salgs- eller kombinationsemballagen af kasseformede pakninger og kombinationsemballager. Sundhedsadvarslens tekst skal stå parallel med hovedteksten på den overflade, der er forbeholdt disse advarsler</w:t>
      </w:r>
    </w:p>
    <w:p w:rsidR="00FA49AA" w:rsidRDefault="00D5650D" w:rsidP="0000457C">
      <w:pPr>
        <w:pStyle w:val="muudetavtekst"/>
      </w:pPr>
      <w:r>
        <w:t>2) være anbragt på de to største overflader på salgs- og kombinationsemballagen</w:t>
      </w:r>
    </w:p>
    <w:p w:rsidR="00CB4A82" w:rsidRDefault="00D5650D" w:rsidP="0000457C">
      <w:pPr>
        <w:pStyle w:val="muudetavtekst"/>
      </w:pPr>
      <w:r>
        <w:t>3) dække 30 % af overfladerne på salgs- og kombinationsemballagen".</w:t>
      </w:r>
    </w:p>
    <w:p w:rsidR="00D5650D" w:rsidRDefault="00544F55" w:rsidP="0000457C">
      <w:pPr>
        <w:pStyle w:val="muutmisksk"/>
        <w:keepNext/>
        <w:keepLines/>
        <w:widowControl/>
      </w:pPr>
      <w:r>
        <w:rPr>
          <w:b/>
        </w:rPr>
        <w:t>10)</w:t>
      </w:r>
      <w:r>
        <w:t xml:space="preserve"> § 27, stk. 1, ændres og får følgende ordlyd:</w:t>
      </w:r>
    </w:p>
    <w:p w:rsidR="00D5650D" w:rsidRDefault="00D5650D" w:rsidP="0000457C">
      <w:pPr>
        <w:pStyle w:val="muutmisksk"/>
        <w:widowControl/>
      </w:pPr>
      <w:r>
        <w:t xml:space="preserve">"Stk. 1. For en person under 18 år (herefter kaldet: </w:t>
      </w:r>
      <w:r>
        <w:rPr>
          <w:i/>
        </w:rPr>
        <w:t>en mindreårig</w:t>
      </w:r>
      <w:r>
        <w:t>) er det ikke tilladt at ryge eller forbruge tobaksvarer eller produkter, der anvendes på samme måde som tobaksvarer."</w:t>
      </w:r>
    </w:p>
    <w:p w:rsidR="00D5650D" w:rsidRDefault="00544F55" w:rsidP="0000457C">
      <w:pPr>
        <w:pStyle w:val="muutmisksk"/>
        <w:keepNext/>
        <w:keepLines/>
        <w:widowControl/>
      </w:pPr>
      <w:r>
        <w:rPr>
          <w:b/>
        </w:rPr>
        <w:t>11)</w:t>
      </w:r>
      <w:r>
        <w:t xml:space="preserve"> § 29, stk. 2, ændres og får følgende ordlyd:</w:t>
      </w:r>
    </w:p>
    <w:p w:rsidR="00D5650D" w:rsidRDefault="001B35A3" w:rsidP="0000457C">
      <w:pPr>
        <w:pStyle w:val="muutmisksk"/>
        <w:widowControl/>
      </w:pPr>
      <w:r>
        <w:t>"Stk. 2. Forbuddet fastlagt i stk. 1 i dette afsnit finder anvendelse for elektroniske cigaretter og opvarmede tobaksvarer, og stk. 1, pkt. 1) og 2), finder ligeledes anvendelse for andre produkter, der benyttes på samme måde som tobaksvarer."</w:t>
      </w:r>
    </w:p>
    <w:p w:rsidR="00D5650D" w:rsidRDefault="00544F55" w:rsidP="0000457C">
      <w:pPr>
        <w:pStyle w:val="muutmisksk"/>
        <w:keepNext/>
        <w:keepLines/>
        <w:widowControl/>
      </w:pPr>
      <w:r>
        <w:rPr>
          <w:b/>
        </w:rPr>
        <w:t>12)</w:t>
      </w:r>
      <w:r>
        <w:t xml:space="preserve"> § 30, stk. 5, ændres og får følgende ordlyd:</w:t>
      </w:r>
    </w:p>
    <w:p w:rsidR="00D5650D" w:rsidRDefault="009F6B90" w:rsidP="0000457C">
      <w:pPr>
        <w:pStyle w:val="muutmisksk"/>
        <w:widowControl/>
      </w:pPr>
      <w:r>
        <w:t>"Stk. 5. Begrænsningerne fastlagt i stk. 2 i dette afsnit finder også anvendelse for forbrug af elektroniske cigaretter og opvarmede tobaksvarer."</w:t>
      </w:r>
    </w:p>
    <w:p w:rsidR="00C3258B" w:rsidRDefault="00544F55" w:rsidP="0000457C">
      <w:pPr>
        <w:pStyle w:val="muutmisksk"/>
        <w:keepNext/>
        <w:keepLines/>
        <w:widowControl/>
      </w:pPr>
      <w:r>
        <w:rPr>
          <w:b/>
        </w:rPr>
        <w:t>13)</w:t>
      </w:r>
      <w:r>
        <w:t xml:space="preserve"> § 31 ændres og får følgende ordlyd:</w:t>
      </w:r>
    </w:p>
    <w:p w:rsidR="00C3258B" w:rsidRPr="00C3258B" w:rsidRDefault="00C3258B" w:rsidP="0000457C">
      <w:pPr>
        <w:pStyle w:val="muutmisksk"/>
        <w:widowControl/>
        <w:rPr>
          <w:b/>
        </w:rPr>
      </w:pPr>
      <w:r>
        <w:t>"</w:t>
      </w:r>
      <w:r>
        <w:rPr>
          <w:b/>
        </w:rPr>
        <w:t>§ 31. Rygning og forbrug af opvarmede tobaksvarer i cateringvirksomheder</w:t>
      </w:r>
    </w:p>
    <w:p w:rsidR="00C3258B" w:rsidRDefault="00C3258B" w:rsidP="0000457C">
      <w:pPr>
        <w:pStyle w:val="muutmisksk"/>
        <w:widowControl/>
      </w:pPr>
      <w:r>
        <w:t>Stk. 1. På cateringvirksomheder er rygning og forbrug af opvarmede tobaksvarer kun tilladt i særligt anviste rygeområder (rygerum) eller i det sæsonmæssige udendørsområde i umiddelbar nærhed af cateringvirksomheden.</w:t>
      </w:r>
    </w:p>
    <w:p w:rsidR="00C3258B" w:rsidRDefault="00C3258B" w:rsidP="0000457C">
      <w:pPr>
        <w:pStyle w:val="muutmisksk"/>
        <w:widowControl/>
      </w:pPr>
      <w:r>
        <w:t>Stk. 2. Rygerummet, der henvises til i stk. 1 i dette afsnit, skal ikke tilgodeses, hvad angår salg af måltider, hvilket omfatter deres tilberedning og servering til indtagelse på stedet eller servering til indtagelse på stedet.</w:t>
      </w:r>
    </w:p>
    <w:p w:rsidR="00C3258B" w:rsidRDefault="00C3258B" w:rsidP="0000457C">
      <w:pPr>
        <w:pStyle w:val="muutmisksk"/>
        <w:widowControl/>
      </w:pPr>
      <w:r>
        <w:t>Stk. 3 Sælger har ret til at nægte at servere for en person, der ignorerer forbuddet mod og begrænsninger af rygning og forbrug af opvarmede tobaksvarer i cateringvirksomheden, samt ret til at bede vedkommende om at forlade stedet."</w:t>
      </w:r>
    </w:p>
    <w:p w:rsidR="009F6B90" w:rsidRDefault="00C3258B" w:rsidP="0000457C">
      <w:pPr>
        <w:pStyle w:val="muutmisksk"/>
        <w:keepNext/>
        <w:keepLines/>
        <w:widowControl/>
      </w:pPr>
      <w:r>
        <w:rPr>
          <w:b/>
        </w:rPr>
        <w:t xml:space="preserve">14) </w:t>
      </w:r>
      <w:r>
        <w:t>Teksten i § 47 ændres og får følgende ordlyd:</w:t>
      </w:r>
    </w:p>
    <w:p w:rsidR="009F6B90" w:rsidRDefault="009F6B90" w:rsidP="0000457C">
      <w:pPr>
        <w:pStyle w:val="muutmisksk"/>
        <w:widowControl/>
      </w:pPr>
      <w:r>
        <w:t>"En mindreårig, der ryger eller forbruger en tobaksvare eller et produkt, som anvendes på samme måde som tobaksvarer, straffes med en bøde på op til 10 bødeenheder."</w:t>
      </w:r>
    </w:p>
    <w:p w:rsidR="009C5189" w:rsidRDefault="00C3258B" w:rsidP="0000457C">
      <w:pPr>
        <w:pStyle w:val="muutmisksk"/>
        <w:keepNext/>
        <w:keepLines/>
        <w:widowControl/>
      </w:pPr>
      <w:r>
        <w:rPr>
          <w:b/>
        </w:rPr>
        <w:lastRenderedPageBreak/>
        <w:t xml:space="preserve">15) </w:t>
      </w:r>
      <w:r>
        <w:t>Teksten i § 49 ændres og får følgende ordlyd:</w:t>
      </w:r>
    </w:p>
    <w:p w:rsidR="009C5189" w:rsidRDefault="009C5189" w:rsidP="0000457C">
      <w:pPr>
        <w:pStyle w:val="muutmisksk"/>
        <w:widowControl/>
      </w:pPr>
      <w:r>
        <w:t>"Rygning eller forbrug af en opvarmet tobaksvare eller et produkt, der anvendes på samme måde som tobaksvarer, på et sted, hvor der forbydes rygning eller forbrug af opvarmede tobaksvarer eller produkter, der anvendes på samme måde som tobaksvarer, straffes med en bøde på op til 20 bødeenheder."</w:t>
      </w:r>
    </w:p>
    <w:p w:rsidR="009C5189" w:rsidRDefault="00C3258B" w:rsidP="0000457C">
      <w:pPr>
        <w:pStyle w:val="muutmisksk"/>
        <w:keepNext/>
        <w:keepLines/>
        <w:widowControl/>
      </w:pPr>
      <w:r>
        <w:rPr>
          <w:b/>
        </w:rPr>
        <w:t>16)</w:t>
      </w:r>
      <w:r>
        <w:t xml:space="preserve"> § 50, stk. 1, ændres og får følgende ordlyd:</w:t>
      </w:r>
    </w:p>
    <w:p w:rsidR="009C5189" w:rsidRDefault="009C5189" w:rsidP="0000457C">
      <w:pPr>
        <w:pStyle w:val="muutmisksk"/>
        <w:widowControl/>
      </w:pPr>
      <w:r>
        <w:t>"Stk. 1. Personer, som muliggør rygning eller forbrug af opvarmede tobaksvarer eller produkter, der anvendes på samme måde som tobaksvarer, på et sted, hvor loven ikke tillader rygning eller forbrug af opvarmede tobaksvarer eller produkter, der anvendes på samme måde som tobaksvarer, eller som overtræder kravet om rygerum, straffes med en bøde på op til 200 bødeenheder."</w:t>
      </w:r>
    </w:p>
    <w:p w:rsidR="000F1F61" w:rsidRDefault="000F1F61" w:rsidP="0000457C">
      <w:pPr>
        <w:pStyle w:val="muutmisksk"/>
        <w:widowControl/>
      </w:pPr>
      <w:r>
        <w:t>Formand for det estiske parlament</w:t>
      </w:r>
    </w:p>
    <w:p w:rsidR="000F1F61" w:rsidRDefault="000F1F61" w:rsidP="0000457C">
      <w:pPr>
        <w:pStyle w:val="muutmisksk"/>
        <w:widowControl/>
      </w:pPr>
      <w:r>
        <w:t>Tallinn, ........................... 2019</w:t>
      </w:r>
    </w:p>
    <w:p w:rsidR="000F1F61" w:rsidRPr="000F1F61" w:rsidRDefault="000F1F61" w:rsidP="0000457C">
      <w:pPr>
        <w:pStyle w:val="muutmisksk"/>
        <w:widowControl/>
      </w:pPr>
      <w:r>
        <w:t>Iværksat af republikkens regering den ....................... 2019</w:t>
      </w:r>
    </w:p>
    <w:p w:rsidR="000F1F61" w:rsidRPr="000F1F61" w:rsidRDefault="000F1F61" w:rsidP="0000457C">
      <w:pPr>
        <w:pStyle w:val="muutmisksk"/>
        <w:widowControl/>
      </w:pPr>
      <w:r>
        <w:t>Digitalt underskrevet</w:t>
      </w:r>
    </w:p>
    <w:sectPr w:rsidR="000F1F61" w:rsidRPr="000F1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8D1" w:rsidRDefault="004B08D1" w:rsidP="0000457C">
      <w:pPr>
        <w:spacing w:after="0" w:line="240" w:lineRule="auto"/>
      </w:pPr>
      <w:r>
        <w:separator/>
      </w:r>
    </w:p>
  </w:endnote>
  <w:endnote w:type="continuationSeparator" w:id="0">
    <w:p w:rsidR="004B08D1" w:rsidRDefault="004B08D1" w:rsidP="0000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8D1" w:rsidRDefault="004B08D1" w:rsidP="0000457C">
      <w:pPr>
        <w:spacing w:after="0" w:line="240" w:lineRule="auto"/>
      </w:pPr>
      <w:r>
        <w:separator/>
      </w:r>
    </w:p>
  </w:footnote>
  <w:footnote w:type="continuationSeparator" w:id="0">
    <w:p w:rsidR="004B08D1" w:rsidRDefault="004B08D1" w:rsidP="00004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9F"/>
    <w:rsid w:val="0000457C"/>
    <w:rsid w:val="00056899"/>
    <w:rsid w:val="000707A0"/>
    <w:rsid w:val="00083F9E"/>
    <w:rsid w:val="0009318D"/>
    <w:rsid w:val="000C419A"/>
    <w:rsid w:val="000F1F61"/>
    <w:rsid w:val="00117FE9"/>
    <w:rsid w:val="001A0F14"/>
    <w:rsid w:val="001B35A3"/>
    <w:rsid w:val="0028759C"/>
    <w:rsid w:val="00292FDA"/>
    <w:rsid w:val="002A4570"/>
    <w:rsid w:val="00302BE2"/>
    <w:rsid w:val="00316DFA"/>
    <w:rsid w:val="00342FCA"/>
    <w:rsid w:val="004371FC"/>
    <w:rsid w:val="004628AB"/>
    <w:rsid w:val="0047773C"/>
    <w:rsid w:val="004A3CE7"/>
    <w:rsid w:val="004B08D1"/>
    <w:rsid w:val="004E2E5A"/>
    <w:rsid w:val="004F68F8"/>
    <w:rsid w:val="00544F55"/>
    <w:rsid w:val="00576D82"/>
    <w:rsid w:val="005A2A3E"/>
    <w:rsid w:val="006405C9"/>
    <w:rsid w:val="006A413B"/>
    <w:rsid w:val="006F0FE1"/>
    <w:rsid w:val="00702706"/>
    <w:rsid w:val="0074406D"/>
    <w:rsid w:val="00762D57"/>
    <w:rsid w:val="00763AA4"/>
    <w:rsid w:val="00787AB4"/>
    <w:rsid w:val="007B3F29"/>
    <w:rsid w:val="007C37B1"/>
    <w:rsid w:val="00830A4B"/>
    <w:rsid w:val="008C30DF"/>
    <w:rsid w:val="008D1695"/>
    <w:rsid w:val="00917A01"/>
    <w:rsid w:val="00937BD8"/>
    <w:rsid w:val="00952903"/>
    <w:rsid w:val="00982C65"/>
    <w:rsid w:val="00986D51"/>
    <w:rsid w:val="009C5189"/>
    <w:rsid w:val="009F6B90"/>
    <w:rsid w:val="00A228FC"/>
    <w:rsid w:val="00A32CCA"/>
    <w:rsid w:val="00B0041E"/>
    <w:rsid w:val="00BC7517"/>
    <w:rsid w:val="00BD2AD3"/>
    <w:rsid w:val="00C3258B"/>
    <w:rsid w:val="00C57B18"/>
    <w:rsid w:val="00C71875"/>
    <w:rsid w:val="00C71CDF"/>
    <w:rsid w:val="00C74A67"/>
    <w:rsid w:val="00CB4A82"/>
    <w:rsid w:val="00CF6953"/>
    <w:rsid w:val="00D218C0"/>
    <w:rsid w:val="00D5650D"/>
    <w:rsid w:val="00DD0CD1"/>
    <w:rsid w:val="00DF1C9F"/>
    <w:rsid w:val="00E271A0"/>
    <w:rsid w:val="00E51B56"/>
    <w:rsid w:val="00E97C8D"/>
    <w:rsid w:val="00EA1E2C"/>
    <w:rsid w:val="00EB24C5"/>
    <w:rsid w:val="00F313F5"/>
    <w:rsid w:val="00F3659F"/>
    <w:rsid w:val="00F44C04"/>
    <w:rsid w:val="00F7405A"/>
    <w:rsid w:val="00F757D9"/>
    <w:rsid w:val="00FA49AA"/>
    <w:rsid w:val="00FB29EC"/>
    <w:rsid w:val="00FB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56CC2CA-DFF7-4F5D-B004-F133205A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elnupealkiri">
    <w:name w:val="eelnõu pealkiri"/>
    <w:basedOn w:val="Standard"/>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Standard"/>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Standard"/>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Standard"/>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Standard"/>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Standard"/>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Kommentarzeichen">
    <w:name w:val="annotation reference"/>
    <w:uiPriority w:val="99"/>
    <w:semiHidden/>
    <w:unhideWhenUsed/>
    <w:rsid w:val="00C71875"/>
    <w:rPr>
      <w:sz w:val="16"/>
      <w:szCs w:val="16"/>
    </w:rPr>
  </w:style>
  <w:style w:type="paragraph" w:styleId="Kommentartext">
    <w:name w:val="annotation text"/>
    <w:basedOn w:val="Standard"/>
    <w:link w:val="KommentartextZchn"/>
    <w:uiPriority w:val="99"/>
    <w:semiHidden/>
    <w:unhideWhenUsed/>
    <w:rsid w:val="00C71875"/>
    <w:pPr>
      <w:spacing w:line="240" w:lineRule="auto"/>
    </w:pPr>
    <w:rPr>
      <w:sz w:val="20"/>
      <w:szCs w:val="20"/>
    </w:rPr>
  </w:style>
  <w:style w:type="character" w:customStyle="1" w:styleId="KommentartextZchn">
    <w:name w:val="Kommentartext Zchn"/>
    <w:link w:val="Kommentartext"/>
    <w:uiPriority w:val="99"/>
    <w:semiHidden/>
    <w:rsid w:val="00C71875"/>
    <w:rPr>
      <w:sz w:val="20"/>
      <w:szCs w:val="20"/>
    </w:rPr>
  </w:style>
  <w:style w:type="paragraph" w:styleId="Kommentarthema">
    <w:name w:val="annotation subject"/>
    <w:basedOn w:val="Kommentartext"/>
    <w:next w:val="Kommentartext"/>
    <w:link w:val="KommentarthemaZchn"/>
    <w:uiPriority w:val="99"/>
    <w:semiHidden/>
    <w:unhideWhenUsed/>
    <w:rsid w:val="00C71875"/>
    <w:rPr>
      <w:b/>
      <w:bCs/>
    </w:rPr>
  </w:style>
  <w:style w:type="character" w:customStyle="1" w:styleId="KommentarthemaZchn">
    <w:name w:val="Kommentarthema Zchn"/>
    <w:link w:val="Kommentarthema"/>
    <w:uiPriority w:val="99"/>
    <w:semiHidden/>
    <w:rsid w:val="00C71875"/>
    <w:rPr>
      <w:b/>
      <w:bCs/>
      <w:sz w:val="20"/>
      <w:szCs w:val="20"/>
    </w:rPr>
  </w:style>
  <w:style w:type="paragraph" w:styleId="Sprechblasentext">
    <w:name w:val="Balloon Text"/>
    <w:basedOn w:val="Standard"/>
    <w:link w:val="SprechblasentextZchn"/>
    <w:uiPriority w:val="99"/>
    <w:semiHidden/>
    <w:unhideWhenUsed/>
    <w:rsid w:val="00C71875"/>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C71875"/>
    <w:rPr>
      <w:rFonts w:ascii="Segoe UI" w:hAnsi="Segoe UI" w:cs="Segoe UI"/>
      <w:sz w:val="18"/>
      <w:szCs w:val="18"/>
    </w:rPr>
  </w:style>
  <w:style w:type="paragraph" w:customStyle="1" w:styleId="12PromKlEinlSatz">
    <w:name w:val="12_PromKl_EinlSatz"/>
    <w:basedOn w:val="Standard"/>
    <w:next w:val="Standard"/>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Kopfzeile">
    <w:name w:val="header"/>
    <w:basedOn w:val="Standard"/>
    <w:link w:val="KopfzeileZchn"/>
    <w:uiPriority w:val="99"/>
    <w:unhideWhenUsed/>
    <w:rsid w:val="0000457C"/>
    <w:pPr>
      <w:tabs>
        <w:tab w:val="center" w:pos="4320"/>
        <w:tab w:val="right" w:pos="8640"/>
      </w:tabs>
    </w:pPr>
  </w:style>
  <w:style w:type="character" w:customStyle="1" w:styleId="KopfzeileZchn">
    <w:name w:val="Kopfzeile Zchn"/>
    <w:link w:val="Kopfzeile"/>
    <w:uiPriority w:val="99"/>
    <w:rsid w:val="0000457C"/>
    <w:rPr>
      <w:sz w:val="22"/>
      <w:szCs w:val="22"/>
      <w:lang w:val="da-DK"/>
    </w:rPr>
  </w:style>
  <w:style w:type="paragraph" w:styleId="Fuzeile">
    <w:name w:val="footer"/>
    <w:basedOn w:val="Standard"/>
    <w:link w:val="FuzeileZchn"/>
    <w:uiPriority w:val="99"/>
    <w:unhideWhenUsed/>
    <w:rsid w:val="0000457C"/>
    <w:pPr>
      <w:tabs>
        <w:tab w:val="center" w:pos="4320"/>
        <w:tab w:val="right" w:pos="8640"/>
      </w:tabs>
    </w:pPr>
  </w:style>
  <w:style w:type="character" w:customStyle="1" w:styleId="FuzeileZchn">
    <w:name w:val="Fußzeile Zchn"/>
    <w:link w:val="Fuzeile"/>
    <w:uiPriority w:val="99"/>
    <w:rsid w:val="0000457C"/>
    <w:rPr>
      <w:sz w:val="22"/>
      <w:szCs w:val="22"/>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9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0F9DB-A258-4CC5-A37A-44854C55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4480</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Pealkiri</vt:lpstr>
      </vt:variant>
      <vt:variant>
        <vt:i4>1</vt:i4>
      </vt:variant>
    </vt:vector>
  </HeadingPairs>
  <TitlesOfParts>
    <vt:vector size="3" baseType="lpstr">
      <vt:lpstr/>
      <vt:lpstr/>
      <vt:lpstr/>
    </vt:vector>
  </TitlesOfParts>
  <Company>RIK</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 Sarapuu</dc:creator>
  <cp:lastModifiedBy>JENSEN, Per Apel</cp:lastModifiedBy>
  <cp:revision>4</cp:revision>
  <cp:lastPrinted>2019-03-26T14:28:00Z</cp:lastPrinted>
  <dcterms:created xsi:type="dcterms:W3CDTF">2019-06-19T09:40:00Z</dcterms:created>
  <dcterms:modified xsi:type="dcterms:W3CDTF">2019-06-21T09:15:00Z</dcterms:modified>
</cp:coreProperties>
</file>