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830" w:rsidRDefault="00662830" w:rsidP="00662830">
      <w:pPr>
        <w:jc w:val="center"/>
        <w:rPr>
          <w:rFonts w:ascii="Courier New" w:hAnsi="Courier New"/>
          <w:sz w:val="20"/>
        </w:rPr>
      </w:pPr>
      <w:r>
        <w:rPr>
          <w:rFonts w:ascii="Courier New" w:hAnsi="Courier New"/>
          <w:sz w:val="20"/>
        </w:rPr>
        <w:t>1. ------IND- 2020 0473 F-- ES- ------ 20210228 --- --- FINAL</w:t>
      </w:r>
    </w:p>
    <w:p w:rsidR="003332FD" w:rsidRPr="000F2257" w:rsidRDefault="003332FD" w:rsidP="001518B1">
      <w:pPr>
        <w:spacing w:after="0" w:line="240" w:lineRule="auto"/>
        <w:outlineLvl w:val="1"/>
        <w:rPr>
          <w:rFonts w:ascii="Times New Roman" w:eastAsia="Times New Roman" w:hAnsi="Times New Roman" w:cs="Times New Roman"/>
          <w:b/>
          <w:bCs/>
          <w:sz w:val="36"/>
          <w:szCs w:val="36"/>
        </w:rPr>
      </w:pPr>
      <w:r>
        <w:rPr>
          <w:rFonts w:ascii="Times New Roman" w:hAnsi="Times New Roman"/>
          <w:b/>
          <w:sz w:val="36"/>
        </w:rPr>
        <w:t>Orden, de 29 de diciembre de 2020, relativa a los criterios, los subcriterios y el sistema de puntuación para calcular y mostrar el índice de reparabilidad de los televisores</w:t>
      </w:r>
    </w:p>
    <w:p w:rsidR="000F2257" w:rsidRPr="000F2257" w:rsidRDefault="000F2257" w:rsidP="001518B1">
      <w:pPr>
        <w:spacing w:after="0" w:line="240" w:lineRule="auto"/>
        <w:outlineLvl w:val="3"/>
        <w:rPr>
          <w:rFonts w:ascii="Times New Roman" w:eastAsia="Times New Roman" w:hAnsi="Times New Roman" w:cs="Times New Roman"/>
          <w:b/>
          <w:bCs/>
          <w:sz w:val="24"/>
          <w:szCs w:val="24"/>
          <w:lang w:eastAsia="fr-FR"/>
        </w:rPr>
      </w:pPr>
    </w:p>
    <w:p w:rsidR="003332FD" w:rsidRPr="000F2257" w:rsidRDefault="003332FD" w:rsidP="001518B1">
      <w:pPr>
        <w:spacing w:after="0"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Versión inicial </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Personas a las que afecta: Productores, importadores, distribuidores u otras personas que comercializan televisores y vendedores de estos aparatos, así como aquellos que usan un sitio web, plataforma o cualquier otro canal de distribución en línea como parte de su actividad comercial en Francia. </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Objeto: Los criterios, los subcriterios y el sistema de puntuación para calcular y mostrar el índice de reparabilidad de los televisores. </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Entrada en vigor: El texto entrará en vigor el 1 de enero de 2021. </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Nota explicativa: La presente Orden establece el sistema de puntuación del índice de reparabilidad de los televisores. </w:t>
      </w: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Referencias: la presente Orden podrá consultarse en el sitio web de Légifrance (https://www.legifrance.gouv.fr). </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La Ministra de la Transición Ecológica y el Ministro de Economía, Hacienda y Recuperación,</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Visto el Reglamento (UE) n.º 2019/2021 de la Comisión, de 1 de octubre de 2019, por el que se establecen requisitos de diseño ecológico aplicables a las pantallas electrónicas con arreglo a la Directiva 2009/125/CE del Parlamento Europeo y del Consejo, se modifica el Reglamento (CE) n.º 1275/2008 de la Comisión y se deroga el Reglamento (CE) n.º 642/2009 de la Comisión;</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Visto el Código de Medio Ambiente, en particular el artículo L. 541-9-2;</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Visto el Decreto n.º 2020-1757, de 29 de diciembre de 2020, relativo al índice de reparabilidad de los aparatos eléctricos y electrónicos,</w:t>
      </w:r>
    </w:p>
    <w:p w:rsidR="003332FD" w:rsidRPr="000F2257" w:rsidRDefault="003332FD" w:rsidP="000B41D8">
      <w:pPr>
        <w:keepNext/>
        <w:spacing w:after="0" w:line="240" w:lineRule="auto"/>
        <w:rPr>
          <w:rFonts w:ascii="Times New Roman" w:eastAsia="Times New Roman" w:hAnsi="Times New Roman" w:cs="Times New Roman"/>
          <w:sz w:val="24"/>
          <w:szCs w:val="24"/>
        </w:rPr>
      </w:pPr>
      <w:r>
        <w:rPr>
          <w:rFonts w:ascii="Times New Roman" w:hAnsi="Times New Roman"/>
          <w:sz w:val="24"/>
        </w:rPr>
        <w:t>Disponen:</w:t>
      </w: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w:t>
      </w:r>
    </w:p>
    <w:p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La presente Orden se aplicará a los televisores que entran en el ámbito de aplicación del Reglamento de 1 de octubre de 2019, mencionado.</w:t>
      </w: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2</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En aplicación de los artículos R. 541-210 a R. 541-214 del Código de Medio Ambiente, los criterios, los subcriterios y el sistema de puntuación aplicables a los productos definidos en el artículo 1 para calcular el índice de reparabilidad se especifican a continuación:</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lastRenderedPageBreak/>
        <w:t>CRITERIO N.º 1. - DOCUMENTACIÓN</w:t>
      </w: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1.1. - COMPROMISO SOBRE EL PERÍODO DE PUESTA A DISPOSICIÓN DE FORMA GRATUITA DE LA DOCUMENTACIÓN TÉCNICA Y RELATIVA A LOS CONSEJOS DE UTILIZACIÓN Y MANTENIMIENTO</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82"/>
        <w:gridCol w:w="414"/>
        <w:gridCol w:w="30"/>
        <w:gridCol w:w="585"/>
        <w:gridCol w:w="740"/>
        <w:gridCol w:w="1035"/>
        <w:gridCol w:w="379"/>
        <w:gridCol w:w="372"/>
        <w:gridCol w:w="494"/>
        <w:gridCol w:w="725"/>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jc w:val="center"/>
              <w:rPr>
                <w:rFonts w:ascii="Times New Roman" w:eastAsia="Times New Roman" w:hAnsi="Times New Roman" w:cs="Times New Roman"/>
                <w:sz w:val="20"/>
                <w:szCs w:val="20"/>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B</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Talleres de reparación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Consumidores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jc w:val="center"/>
              <w:rPr>
                <w:rFonts w:ascii="Times New Roman" w:eastAsia="Times New Roman" w:hAnsi="Times New Roman" w:cs="Times New Roman"/>
                <w:b/>
                <w:bCs/>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Tipo de documentación</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Identificación inequívoca del producto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Diagrama de desmontaje o vista detallada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Diagramas de cableado y conexión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Diagramas de tarjetas electrónicas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Lista de equipos de reparación y prueba necesarios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Manual técnico de instrucciones de reparación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Códigos de error y diagnóstico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Información sobre los componentes y el diagnóstico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Instrucciones de </w:t>
            </w:r>
            <w:r>
              <w:rPr>
                <w:rFonts w:ascii="Times New Roman" w:hAnsi="Times New Roman"/>
                <w:i/>
                <w:sz w:val="24"/>
              </w:rPr>
              <w:t>software</w:t>
            </w:r>
            <w:r>
              <w:rPr>
                <w:rFonts w:ascii="Times New Roman" w:hAnsi="Times New Roman"/>
                <w:sz w:val="24"/>
              </w:rPr>
              <w:t xml:space="preserve"> (incluido para el reinicio)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Acceso a incidentes notificados y registrados en el aparato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Boletines técnicos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Supervisión específica de la reparación automática (operaciones recomendadas, instrucciones de seguridad y reparación, posibles repercusiones en la garantía)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Información sobre acceso a talleres de reparación profesionales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Detección de averías y acciones requeridas (enfoque público 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Consejos de uso y mantenimiento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286. Puntuación para este subcriterio = (número de puntos obtenidos/286)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CRITERIO N.º 2. - DESMONTAJE Y ACCESO, HERRAMIENTAS, FIJACIONES</w:t>
      </w: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2.1. - FACILIDAD DE DESMONTAJE DE LAS PIEZAS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8"/>
        <w:gridCol w:w="4275"/>
        <w:gridCol w:w="386"/>
        <w:gridCol w:w="386"/>
        <w:gridCol w:w="401"/>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pasos para el acceso individual a las piezas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ND/NA (1) u 4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Piezas de la lista 2 (piezas externas)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Mando a distancia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externas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bl>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1"/>
        <w:gridCol w:w="2974"/>
        <w:gridCol w:w="1032"/>
        <w:gridCol w:w="722"/>
        <w:gridCol w:w="737"/>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pasos para el acceso individual a las piezas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ND/NA (1) o 12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10 a 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8 a 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7</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Piezas de la lista 2 (piezas internas)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Fuentes de alimentación internas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Placa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Monitor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(1) ND/NA = no extraíble o no accesible individualmente.</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(2) Basta con retirar las pilas o la batería.</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(3) Desactivar en caso de fuentes de alimentación externas.</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En el caso de las fuentes de alimentación internas, el número máximo de puntos es 12. Puntuación para este subcriterio = (número de puntos obtenidos/12) × 10.</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En el caso de las fuentes de alimentación externas, el número máximo de puntos es 9. Puntuación para este subcriterio = (número de puntos obtenidos/9)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2.2. - HERRAMIENTAS NECESARIAS PARA DESMONTAR LAS PIEZAS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4"/>
        <w:gridCol w:w="850"/>
        <w:gridCol w:w="1913"/>
        <w:gridCol w:w="1860"/>
        <w:gridCol w:w="2409"/>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Tipo de herramientas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ND/NA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Herramientas propietarias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Herramientas específicas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Sin herramienta, herramientas comunes (4)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Piezas de la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 (5)</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Mando a distancia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externas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internas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Placa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Monitor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(3) Desactivar en caso de fuentes de alimentación externas.</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(4) O herramienta suministrada con la pieza de repuesto o con el producto.</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(5) Escoger la puntuación más desfavorable en caso de varias herramientas.</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En el caso de las fuentes de alimentación internas, el número máximo de puntos es 16. Puntuación para este subcriterio = (número de puntos obtenidos/16) × 10.</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En el caso de las fuentes de alimentación externas, el número máximo de puntos es 12. Puntuación para este subcriterio = (número de puntos obtenidos/12)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2.3. - CARACTERÍSTICAS DE LAS FIJACIONES (PARA EL ENSAMBLAJE DE PIEZAS DE LAS LISTAS 1 Y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0"/>
        <w:gridCol w:w="2147"/>
        <w:gridCol w:w="2069"/>
        <w:gridCol w:w="2170"/>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Tipo de fijación</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Ni extraíble ni reutilizable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Extraíble, no reutilizable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Extraíble y reutilizable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Piezas de la lista 1 o de lista 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 (4)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Cubierta posterior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Módulo wifi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Módulo Bluetooth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Receptor de infrarrojos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Altavoces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Conectores (7)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Mando a distancia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internas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externas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Placa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Monitor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(3) O fijación suministrada con la pieza de recambio.</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(4) Escoger la puntuación más desfavorable en caso de varias fijaciones.</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(5) Desactivar en caso de ausencia.</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(6) Desactivar en caso de ausencia.</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(7) Para conectar dispositivos externos (cable, antena, USB, DVD y Blue-ray).</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(8) Desactivar en caso de fuentes de alimentación externas.</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En el caso de las fuentes de alimentación internas, el número máximo de puntos es 20. Puntuación para este subcriterio = (número de puntos obtenidos/20) × 10.</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En el caso de las fuentes de alimentación externas, el número máximo de puntos es 18. Puntuación para este subcriterio = (número de puntos obtenidos/18)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CRITERIO N.º 3. - DISPONIBILIDAD DE PIEZAS DE REPUESTO</w:t>
      </w: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3.1. - COMPROMISO DEL PRODUCTOR SOBRE EL PERÍODO DE DISPONIBILIDAD DE LAS PIEZAS DE LA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4"/>
        <w:gridCol w:w="340"/>
        <w:gridCol w:w="330"/>
        <w:gridCol w:w="454"/>
        <w:gridCol w:w="653"/>
        <w:gridCol w:w="376"/>
        <w:gridCol w:w="367"/>
        <w:gridCol w:w="498"/>
        <w:gridCol w:w="716"/>
        <w:gridCol w:w="339"/>
        <w:gridCol w:w="330"/>
        <w:gridCol w:w="454"/>
        <w:gridCol w:w="653"/>
        <w:gridCol w:w="342"/>
        <w:gridCol w:w="333"/>
        <w:gridCol w:w="456"/>
        <w:gridCol w:w="671"/>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A</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Productor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B</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Distribuidores de piezas de repuesto</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Talleres de reparación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D</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Consumidores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rPr>
                <w:rFonts w:ascii="Times New Roman" w:eastAsia="Times New Roman" w:hAnsi="Times New Roman" w:cs="Times New Roman"/>
                <w:sz w:val="24"/>
                <w:szCs w:val="24"/>
              </w:rPr>
            </w:pPr>
            <w:r>
              <w:rPr>
                <w:rFonts w:ascii="Times New Roman" w:hAnsi="Times New Roman"/>
                <w:sz w:val="24"/>
              </w:rPr>
              <w:t>Piezas de la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Mando a distancia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internas (1)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Fuentes de alimentación externas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Placa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Monitor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(1) Desactivar en caso de fuentes de alimentación externas.</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(2) Desactivar en caso de fuentes de alimentación internas.</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176. Puntuación para este subcriterio = (número de puntos obtenidos/176)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3.2. - COMPROMISO DEL PRODUCTOR SOBRE EL PERÍODO DE DISPONIBILIDAD DE LAS PIEZAS DE LA LISTA 1</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353"/>
        <w:gridCol w:w="345"/>
        <w:gridCol w:w="468"/>
        <w:gridCol w:w="674"/>
        <w:gridCol w:w="400"/>
        <w:gridCol w:w="391"/>
        <w:gridCol w:w="524"/>
        <w:gridCol w:w="754"/>
        <w:gridCol w:w="353"/>
        <w:gridCol w:w="345"/>
        <w:gridCol w:w="468"/>
        <w:gridCol w:w="674"/>
        <w:gridCol w:w="356"/>
        <w:gridCol w:w="347"/>
        <w:gridCol w:w="470"/>
        <w:gridCol w:w="691"/>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A</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Productor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B</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Distribuidores de piezas de repuesto</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Talleres de reparación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D</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Consumidores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Años de disponibilidad</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 a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a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o más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rPr>
                <w:rFonts w:ascii="Times New Roman" w:eastAsia="Times New Roman" w:hAnsi="Times New Roman" w:cs="Times New Roman"/>
                <w:sz w:val="24"/>
                <w:szCs w:val="24"/>
              </w:rPr>
            </w:pPr>
            <w:r>
              <w:rPr>
                <w:rFonts w:ascii="Times New Roman" w:hAnsi="Times New Roman"/>
                <w:sz w:val="24"/>
              </w:rPr>
              <w:t>Piezas de la lista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Cubierta posterior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Módulo wifi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Módulo Bluetooth (4)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Receptor de infrarrojos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Altavoces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Conectores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(3) Desactivar en caso de ausencia.</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(4) Desactivar en caso de ausencia.</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(5) Para conectar dispositivos externos (cable, antena, USB, DVD y Blue-ray).</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264. Puntuación para este subcriterio = (número de puntos obtenidos/264)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3.3. - TIEMPO DE ENTREGA DE LAS PIEZAS DE LA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2"/>
        <w:gridCol w:w="615"/>
        <w:gridCol w:w="413"/>
        <w:gridCol w:w="293"/>
        <w:gridCol w:w="293"/>
        <w:gridCol w:w="805"/>
        <w:gridCol w:w="525"/>
        <w:gridCol w:w="379"/>
        <w:gridCol w:w="374"/>
        <w:gridCol w:w="615"/>
        <w:gridCol w:w="413"/>
        <w:gridCol w:w="293"/>
        <w:gridCol w:w="293"/>
        <w:gridCol w:w="725"/>
        <w:gridCol w:w="470"/>
        <w:gridCol w:w="334"/>
        <w:gridCol w:w="344"/>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A</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Productor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B</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Distribuidores de piezas de repuesto</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Talleres de reparación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D</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Consumidores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r>
      <w:tr w:rsidR="000F2257"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Piezas de la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Mando a distancia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internas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Fuentes de alimentación externas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Placa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Monitor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(1) Días hábiles desde el día del pedido.</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(2) Desactivar en caso de fuentes de alimentación externas.</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(3) Desactivar en caso de fuentes de alimentación internas.</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Estas disposiciones se entenderán sin perjuicio de las del artículo L. 441-4 del Código de Consumo, en lo que respecta a la prohibición de limitar el acceso de un profesional de la reparación a las piezas de repuesto.</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48. Puntuación para este subcriterio = (número de puntos obtenidos/48)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3.4. - TIEMPO DE ENTREGA DE LAS PIEZAS DE LA LISTA 1</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1"/>
        <w:gridCol w:w="640"/>
        <w:gridCol w:w="433"/>
        <w:gridCol w:w="313"/>
        <w:gridCol w:w="313"/>
        <w:gridCol w:w="842"/>
        <w:gridCol w:w="554"/>
        <w:gridCol w:w="407"/>
        <w:gridCol w:w="402"/>
        <w:gridCol w:w="641"/>
        <w:gridCol w:w="433"/>
        <w:gridCol w:w="313"/>
        <w:gridCol w:w="313"/>
        <w:gridCol w:w="743"/>
        <w:gridCol w:w="486"/>
        <w:gridCol w:w="351"/>
        <w:gridCol w:w="361"/>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A</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Productor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B</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Distribuidores de piezas de repuesto</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Talleres de reparación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D</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Consumidores</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Días de entrega (1)</w:t>
            </w:r>
          </w:p>
        </w:tc>
      </w:tr>
      <w:tr w:rsidR="000F2257"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 y más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a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a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a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Pieza de la lista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Número de puntos</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Cubierta posterior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Módulo wifi</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Módulo Bluetooth</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Receptor de infrarrojos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Altavoces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Conectores (4)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(1) Días hábiles desde el día del pedido.</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(4) Para conectar dispositivos externos (cable, antena, USB, DVD y Blue-ray).</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Estas disposiciones se entenderán sin perjuicio de las del artículo L. 441-4 del Código de Consumo, en lo que respecta a la prohibición de limitar el acceso de un profesional de la reparación a las piezas de repuesto.</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72. Puntuación para este subcriterio = (número de puntos obtenidos/72)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CRITERIO N.° 4. - PRECIO DE LAS PIEZAS DE REPUESTO</w:t>
      </w:r>
    </w:p>
    <w:p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4.1. - RELACIÓN DE PRECIOS DE LAS PIEZAS DE LA LISTA 2 SOBRE EL PRECIO DEL PRODUCTO NUEVO</w:t>
      </w:r>
    </w:p>
    <w:p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A partir de la relación a la que se refiere la Orden, de 29 de diciembre de 2020, relativa a los métodos de presentación, la señalización y los parámetros generales de cálculo del índice de reparabilidad, el número de puntos obtenidos para este criterio se determina de la siguiente manera:</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 si el resultado de la relación es superior a 0,3, entonces el número de puntos es 0,</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 si el resultado de la relación es inferior a 0,1, entonces el número de puntos es 100,</w:t>
      </w: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 si el resultado de la relación está entre 0,1 y 0,3, entonces el número de puntos se determinará de acuerdo con la siguiente tabla de correspondencia:</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
        <w:gridCol w:w="351"/>
        <w:gridCol w:w="395"/>
        <w:gridCol w:w="395"/>
        <w:gridCol w:w="396"/>
        <w:gridCol w:w="396"/>
        <w:gridCol w:w="396"/>
        <w:gridCol w:w="396"/>
        <w:gridCol w:w="396"/>
        <w:gridCol w:w="396"/>
        <w:gridCol w:w="396"/>
        <w:gridCol w:w="308"/>
        <w:gridCol w:w="396"/>
        <w:gridCol w:w="396"/>
        <w:gridCol w:w="396"/>
        <w:gridCol w:w="396"/>
        <w:gridCol w:w="396"/>
        <w:gridCol w:w="396"/>
        <w:gridCol w:w="396"/>
        <w:gridCol w:w="396"/>
        <w:gridCol w:w="396"/>
        <w:gridCol w:w="323"/>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Proporción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0,19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0,3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Puntos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La norma para el redondeo será la siguiente:</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 si la cifra del tercer decimal es inferior a 5, se redondeará al segundo decimal inferior,</w:t>
      </w: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 si la cifra del tercer decimal es mayor o igual a 5, se redondeará al segundo decimal superior.</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100. Puntuación para este subcriterio = (número de puntos obtenidos/100)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lastRenderedPageBreak/>
        <w:t>CRITERIO N.º 5. - CRITERIO ESPECÍFICO</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Para los productos afectados por la presente Orden, los coeficientes de los subcriterios del criterio 5 se definen como sigue:</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6"/>
        <w:gridCol w:w="1905"/>
        <w:gridCol w:w="1571"/>
        <w:gridCol w:w="1543"/>
        <w:gridCol w:w="1499"/>
        <w:gridCol w:w="1252"/>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Criterio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Subcriterio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Puntuación del subcriterio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Coeficiente del subcriterio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Puntuación del criterio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 xml:space="preserve">Coeficiente </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del criterio</w:t>
            </w:r>
          </w:p>
        </w:tc>
      </w:tr>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5. Criterio específico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5.1. Accesibilidad del medidor de uso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5.2. Asistencia remota gratuita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5.3. Posibilidad de reinicio del </w:t>
            </w:r>
            <w:r>
              <w:rPr>
                <w:rFonts w:ascii="Times New Roman" w:hAnsi="Times New Roman"/>
                <w:i/>
                <w:sz w:val="24"/>
              </w:rPr>
              <w:t>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5.1. - ACCESIBILIDAD DEL MEDIDOR DE USO</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Un medidor de uso es un dispositivo de visualización destinado al consumidor que registra acumulativamente el uso del producto en número de unidades. La unidad considerada en la presente Orden es el número de horas de funcionamiento del monitor.</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8"/>
        <w:gridCol w:w="983"/>
        <w:gridCol w:w="1756"/>
        <w:gridCol w:w="2791"/>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85860"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Consumidores</w:t>
            </w:r>
          </w:p>
        </w:tc>
      </w:tr>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Accesibilidad del medidor de uso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Situación</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Ausencia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Difícil acceso (1)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Visible o de fácil acceso (2)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(1) El consumidor puede ver el valor que muestra el medidor de uso al hacer más de tres clics. </w:t>
      </w: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lastRenderedPageBreak/>
        <w:t>(2) El consumidor puede ver el valor que muestra el medidor de uso al hacer tres clics o menos.</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2. Puntuación para este subcriterio = (número de puntos obtenidos/2)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SUBCRITERIO 5.2. - ASISTENCIA REMOTA GRATUITA</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3"/>
        <w:gridCol w:w="917"/>
        <w:gridCol w:w="1455"/>
        <w:gridCol w:w="917"/>
        <w:gridCol w:w="1277"/>
        <w:gridCol w:w="1613"/>
        <w:gridCol w:w="1534"/>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85860"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B</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Talleres de reparación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w:t>
            </w: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Consumidores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Tipo de asistencia remota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Ninguna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1518B1"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 xml:space="preserve">Información </w:t>
            </w: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actualizada en el sitio</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Ninguna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1518B1"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 xml:space="preserve">Información </w:t>
            </w: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remota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Asistencia de diagnóstico remota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F2257">
            <w:pPr>
              <w:spacing w:after="0" w:line="240" w:lineRule="auto"/>
              <w:jc w:val="center"/>
              <w:rPr>
                <w:rFonts w:ascii="Times New Roman" w:eastAsia="Times New Roman" w:hAnsi="Times New Roman" w:cs="Times New Roman"/>
                <w:sz w:val="24"/>
                <w:szCs w:val="24"/>
              </w:rPr>
            </w:pPr>
            <w:r>
              <w:rPr>
                <w:rFonts w:ascii="Times New Roman" w:hAnsi="Times New Roman"/>
                <w:sz w:val="24"/>
              </w:rPr>
              <w:t>Asistencia de reparación remota</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Número de puntos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5. Puntuación para este subcriterio = (número de puntos obtenidos/5)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SUBCRITERIO 5.3. - POSIBILIDAD DE REINICIO DEL </w:t>
      </w:r>
      <w:r>
        <w:rPr>
          <w:rFonts w:ascii="Times New Roman" w:hAnsi="Times New Roman"/>
          <w:i/>
          <w:iCs/>
          <w:sz w:val="24"/>
        </w:rPr>
        <w:t>SOFTWARE</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5"/>
        <w:gridCol w:w="1117"/>
        <w:gridCol w:w="847"/>
        <w:gridCol w:w="1271"/>
        <w:gridCol w:w="964"/>
        <w:gridCol w:w="1170"/>
        <w:gridCol w:w="902"/>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A Productor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B Talleres de reparación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Columna C Consumidores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Posibilidad de reinicio del </w:t>
            </w:r>
            <w:r>
              <w:rPr>
                <w:rFonts w:ascii="Times New Roman" w:hAnsi="Times New Roman"/>
                <w:i/>
                <w:iCs/>
                <w:sz w:val="24"/>
              </w:rPr>
              <w:t>software</w:t>
            </w:r>
            <w:r>
              <w:rPr>
                <w:rFonts w:ascii="Times New Roman" w:hAnsi="Times New Roman"/>
                <w:sz w:val="24"/>
              </w:rPr>
              <w:t xml:space="preserve"> gratuito y sin restricción de acceso a estos servicios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Imposible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Posible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Imposible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Posible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Imposible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Posible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Número de puntos</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Reinicio del sistema operativo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 xml:space="preserve">Reinicio del </w:t>
            </w:r>
            <w:r>
              <w:rPr>
                <w:rFonts w:ascii="Times New Roman" w:hAnsi="Times New Roman"/>
                <w:i/>
                <w:sz w:val="24"/>
              </w:rPr>
              <w:t>firmware</w:t>
            </w:r>
            <w:r>
              <w:rPr>
                <w:rFonts w:ascii="Times New Roman" w:hAnsi="Times New Roman"/>
                <w:sz w:val="24"/>
              </w:rPr>
              <w:t xml:space="preserv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El número máximo de puntos es 6. Puntuación para este subcriterio = (número de puntos obtenidos/6) × 10.</w:t>
      </w: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3</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Las disposiciones de la presente Orden entrarán en vigor el 1 de enero de 2021.</w:t>
      </w:r>
    </w:p>
    <w:p w:rsidR="000F2257" w:rsidRPr="000F2257" w:rsidRDefault="000F2257" w:rsidP="001518B1">
      <w:pPr>
        <w:spacing w:after="0" w:line="240" w:lineRule="auto"/>
        <w:ind w:left="450"/>
        <w:outlineLvl w:val="3"/>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4</w:t>
      </w:r>
    </w:p>
    <w:p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rPr>
        <w:t>La presente Orden se publicará en el Boletín Oficial de la República Francesa.</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A 29 de diciembre de 2020.</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La Ministra de la Transición Ecológica,</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En nombre de la Ministra y por delegación:</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El Comisionado General para el Desarrollo Sostenible,</w:t>
      </w: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T. Lesueur</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El Ministro de Economía, Hacienda y Recuperación,</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En nombre del Ministro y por delegación:</w:t>
      </w:r>
    </w:p>
    <w:p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La Directora General de Competencia, Consumo y Represión del Fraude,</w:t>
      </w:r>
    </w:p>
    <w:p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rPr>
        <w:t>V. Beaumeunier</w:t>
      </w:r>
      <w:bookmarkStart w:id="0" w:name="_GoBack"/>
      <w:bookmarkEnd w:id="0"/>
    </w:p>
    <w:sectPr w:rsidR="003332FD" w:rsidRPr="000F22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801" w:rsidRDefault="003D5801" w:rsidP="0034201D">
      <w:pPr>
        <w:spacing w:after="0" w:line="240" w:lineRule="auto"/>
      </w:pPr>
      <w:r>
        <w:separator/>
      </w:r>
    </w:p>
  </w:endnote>
  <w:endnote w:type="continuationSeparator" w:id="0">
    <w:p w:rsidR="003D5801" w:rsidRDefault="003D5801" w:rsidP="0034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801" w:rsidRDefault="003D5801" w:rsidP="0034201D">
      <w:pPr>
        <w:spacing w:after="0" w:line="240" w:lineRule="auto"/>
      </w:pPr>
      <w:r>
        <w:separator/>
      </w:r>
    </w:p>
  </w:footnote>
  <w:footnote w:type="continuationSeparator" w:id="0">
    <w:p w:rsidR="003D5801" w:rsidRDefault="003D5801" w:rsidP="00342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FD"/>
    <w:rsid w:val="000B41D8"/>
    <w:rsid w:val="000F2257"/>
    <w:rsid w:val="001518B1"/>
    <w:rsid w:val="003332FD"/>
    <w:rsid w:val="0034201D"/>
    <w:rsid w:val="003D5801"/>
    <w:rsid w:val="00493522"/>
    <w:rsid w:val="00662830"/>
    <w:rsid w:val="006B4F15"/>
    <w:rsid w:val="0083752D"/>
    <w:rsid w:val="00A3726A"/>
    <w:rsid w:val="00D13D65"/>
    <w:rsid w:val="00D8586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105F6B4-82E3-4E8A-942A-46F6F7B1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332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3332F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2FD"/>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3332FD"/>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3332FD"/>
  </w:style>
  <w:style w:type="paragraph" w:customStyle="1" w:styleId="test">
    <w:name w:val="test"/>
    <w:basedOn w:val="Normal"/>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3420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201D"/>
  </w:style>
  <w:style w:type="paragraph" w:styleId="Footer">
    <w:name w:val="footer"/>
    <w:basedOn w:val="Normal"/>
    <w:link w:val="FooterChar"/>
    <w:uiPriority w:val="99"/>
    <w:unhideWhenUsed/>
    <w:rsid w:val="003420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866322">
      <w:bodyDiv w:val="1"/>
      <w:marLeft w:val="0"/>
      <w:marRight w:val="0"/>
      <w:marTop w:val="0"/>
      <w:marBottom w:val="0"/>
      <w:divBdr>
        <w:top w:val="none" w:sz="0" w:space="0" w:color="auto"/>
        <w:left w:val="none" w:sz="0" w:space="0" w:color="auto"/>
        <w:bottom w:val="none" w:sz="0" w:space="0" w:color="auto"/>
        <w:right w:val="none" w:sz="0" w:space="0" w:color="auto"/>
      </w:divBdr>
      <w:divsChild>
        <w:div w:id="1374038681">
          <w:marLeft w:val="0"/>
          <w:marRight w:val="0"/>
          <w:marTop w:val="0"/>
          <w:marBottom w:val="0"/>
          <w:divBdr>
            <w:top w:val="none" w:sz="0" w:space="0" w:color="auto"/>
            <w:left w:val="none" w:sz="0" w:space="0" w:color="auto"/>
            <w:bottom w:val="none" w:sz="0" w:space="0" w:color="auto"/>
            <w:right w:val="none" w:sz="0" w:space="0" w:color="auto"/>
          </w:divBdr>
          <w:divsChild>
            <w:div w:id="240411140">
              <w:marLeft w:val="0"/>
              <w:marRight w:val="0"/>
              <w:marTop w:val="0"/>
              <w:marBottom w:val="0"/>
              <w:divBdr>
                <w:top w:val="none" w:sz="0" w:space="0" w:color="auto"/>
                <w:left w:val="none" w:sz="0" w:space="0" w:color="auto"/>
                <w:bottom w:val="none" w:sz="0" w:space="0" w:color="auto"/>
                <w:right w:val="none" w:sz="0" w:space="0" w:color="auto"/>
              </w:divBdr>
            </w:div>
            <w:div w:id="502476842">
              <w:marLeft w:val="0"/>
              <w:marRight w:val="0"/>
              <w:marTop w:val="0"/>
              <w:marBottom w:val="0"/>
              <w:divBdr>
                <w:top w:val="none" w:sz="0" w:space="0" w:color="auto"/>
                <w:left w:val="none" w:sz="0" w:space="0" w:color="auto"/>
                <w:bottom w:val="none" w:sz="0" w:space="0" w:color="auto"/>
                <w:right w:val="none" w:sz="0" w:space="0" w:color="auto"/>
              </w:divBdr>
            </w:div>
            <w:div w:id="1020854454">
              <w:marLeft w:val="0"/>
              <w:marRight w:val="0"/>
              <w:marTop w:val="0"/>
              <w:marBottom w:val="0"/>
              <w:divBdr>
                <w:top w:val="none" w:sz="0" w:space="0" w:color="auto"/>
                <w:left w:val="none" w:sz="0" w:space="0" w:color="auto"/>
                <w:bottom w:val="none" w:sz="0" w:space="0" w:color="auto"/>
                <w:right w:val="none" w:sz="0" w:space="0" w:color="auto"/>
              </w:divBdr>
            </w:div>
            <w:div w:id="1124620695">
              <w:marLeft w:val="0"/>
              <w:marRight w:val="0"/>
              <w:marTop w:val="0"/>
              <w:marBottom w:val="0"/>
              <w:divBdr>
                <w:top w:val="none" w:sz="0" w:space="0" w:color="auto"/>
                <w:left w:val="none" w:sz="0" w:space="0" w:color="auto"/>
                <w:bottom w:val="none" w:sz="0" w:space="0" w:color="auto"/>
                <w:right w:val="none" w:sz="0" w:space="0" w:color="auto"/>
              </w:divBdr>
            </w:div>
            <w:div w:id="1325890552">
              <w:marLeft w:val="0"/>
              <w:marRight w:val="0"/>
              <w:marTop w:val="0"/>
              <w:marBottom w:val="0"/>
              <w:divBdr>
                <w:top w:val="none" w:sz="0" w:space="0" w:color="auto"/>
                <w:left w:val="none" w:sz="0" w:space="0" w:color="auto"/>
                <w:bottom w:val="none" w:sz="0" w:space="0" w:color="auto"/>
                <w:right w:val="none" w:sz="0" w:space="0" w:color="auto"/>
              </w:divBdr>
            </w:div>
            <w:div w:id="1562784805">
              <w:marLeft w:val="0"/>
              <w:marRight w:val="0"/>
              <w:marTop w:val="0"/>
              <w:marBottom w:val="0"/>
              <w:divBdr>
                <w:top w:val="none" w:sz="0" w:space="0" w:color="auto"/>
                <w:left w:val="none" w:sz="0" w:space="0" w:color="auto"/>
                <w:bottom w:val="none" w:sz="0" w:space="0" w:color="auto"/>
                <w:right w:val="none" w:sz="0" w:space="0" w:color="auto"/>
              </w:divBdr>
            </w:div>
            <w:div w:id="1589847458">
              <w:marLeft w:val="0"/>
              <w:marRight w:val="0"/>
              <w:marTop w:val="0"/>
              <w:marBottom w:val="0"/>
              <w:divBdr>
                <w:top w:val="none" w:sz="0" w:space="0" w:color="auto"/>
                <w:left w:val="none" w:sz="0" w:space="0" w:color="auto"/>
                <w:bottom w:val="none" w:sz="0" w:space="0" w:color="auto"/>
                <w:right w:val="none" w:sz="0" w:space="0" w:color="auto"/>
              </w:divBdr>
            </w:div>
            <w:div w:id="1653755778">
              <w:marLeft w:val="0"/>
              <w:marRight w:val="0"/>
              <w:marTop w:val="0"/>
              <w:marBottom w:val="0"/>
              <w:divBdr>
                <w:top w:val="none" w:sz="0" w:space="0" w:color="auto"/>
                <w:left w:val="none" w:sz="0" w:space="0" w:color="auto"/>
                <w:bottom w:val="none" w:sz="0" w:space="0" w:color="auto"/>
                <w:right w:val="none" w:sz="0" w:space="0" w:color="auto"/>
              </w:divBdr>
            </w:div>
            <w:div w:id="1687517234">
              <w:marLeft w:val="0"/>
              <w:marRight w:val="0"/>
              <w:marTop w:val="0"/>
              <w:marBottom w:val="0"/>
              <w:divBdr>
                <w:top w:val="none" w:sz="0" w:space="0" w:color="auto"/>
                <w:left w:val="none" w:sz="0" w:space="0" w:color="auto"/>
                <w:bottom w:val="none" w:sz="0" w:space="0" w:color="auto"/>
                <w:right w:val="none" w:sz="0" w:space="0" w:color="auto"/>
              </w:divBdr>
            </w:div>
            <w:div w:id="1929382106">
              <w:marLeft w:val="0"/>
              <w:marRight w:val="0"/>
              <w:marTop w:val="0"/>
              <w:marBottom w:val="0"/>
              <w:divBdr>
                <w:top w:val="none" w:sz="0" w:space="0" w:color="auto"/>
                <w:left w:val="none" w:sz="0" w:space="0" w:color="auto"/>
                <w:bottom w:val="none" w:sz="0" w:space="0" w:color="auto"/>
                <w:right w:val="none" w:sz="0" w:space="0" w:color="auto"/>
              </w:divBdr>
            </w:div>
            <w:div w:id="1943957322">
              <w:marLeft w:val="0"/>
              <w:marRight w:val="0"/>
              <w:marTop w:val="0"/>
              <w:marBottom w:val="0"/>
              <w:divBdr>
                <w:top w:val="none" w:sz="0" w:space="0" w:color="auto"/>
                <w:left w:val="none" w:sz="0" w:space="0" w:color="auto"/>
                <w:bottom w:val="none" w:sz="0" w:space="0" w:color="auto"/>
                <w:right w:val="none" w:sz="0" w:space="0" w:color="auto"/>
              </w:divBdr>
            </w:div>
            <w:div w:id="1958944555">
              <w:marLeft w:val="0"/>
              <w:marRight w:val="0"/>
              <w:marTop w:val="0"/>
              <w:marBottom w:val="0"/>
              <w:divBdr>
                <w:top w:val="none" w:sz="0" w:space="0" w:color="auto"/>
                <w:left w:val="none" w:sz="0" w:space="0" w:color="auto"/>
                <w:bottom w:val="none" w:sz="0" w:space="0" w:color="auto"/>
                <w:right w:val="none" w:sz="0" w:space="0" w:color="auto"/>
              </w:divBdr>
            </w:div>
            <w:div w:id="1997610192">
              <w:marLeft w:val="0"/>
              <w:marRight w:val="0"/>
              <w:marTop w:val="0"/>
              <w:marBottom w:val="0"/>
              <w:divBdr>
                <w:top w:val="none" w:sz="0" w:space="0" w:color="auto"/>
                <w:left w:val="none" w:sz="0" w:space="0" w:color="auto"/>
                <w:bottom w:val="none" w:sz="0" w:space="0" w:color="auto"/>
                <w:right w:val="none" w:sz="0" w:space="0" w:color="auto"/>
              </w:divBdr>
            </w:div>
            <w:div w:id="20504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91361-75DE-435F-B28E-1578DB89E558}">
  <ds:schemaRefs>
    <ds:schemaRef ds:uri="http://schemas.microsoft.com/sharepoint/v3/contenttype/forms"/>
  </ds:schemaRefs>
</ds:datastoreItem>
</file>

<file path=customXml/itemProps2.xml><?xml version="1.0" encoding="utf-8"?>
<ds:datastoreItem xmlns:ds="http://schemas.openxmlformats.org/officeDocument/2006/customXml" ds:itemID="{9EFCF120-61DC-4562-AA52-825DE2623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B4210-36CF-47C2-8A63-8BEE82406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2467</Words>
  <Characters>14063</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UGARTE, Esther</cp:lastModifiedBy>
  <cp:revision>6</cp:revision>
  <dcterms:created xsi:type="dcterms:W3CDTF">2021-01-04T15:33:00Z</dcterms:created>
  <dcterms:modified xsi:type="dcterms:W3CDTF">2021-02-15T16:31:00Z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