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830" w:rsidRDefault="00662830" w:rsidP="00662830">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0473 F-- RO- ------ 20210228 --- --- FINAL</w:t>
      </w:r>
    </w:p>
    <w:p w:rsidR="003332FD" w:rsidRPr="000F2257" w:rsidRDefault="003332FD" w:rsidP="001518B1">
      <w:pPr>
        <w:spacing w:after="0" w:line="240" w:lineRule="auto"/>
        <w:outlineLvl w:val="1"/>
        <w:rPr>
          <w:b/>
          <w:bCs/>
          <w:sz w:val="36"/>
          <w:szCs w:val="36"/>
          <w:rFonts w:ascii="Times New Roman" w:eastAsia="Times New Roman" w:hAnsi="Times New Roman" w:cs="Times New Roman"/>
        </w:rPr>
      </w:pPr>
      <w:r>
        <w:rPr>
          <w:b/>
          <w:bCs/>
          <w:sz w:val="36"/>
          <w:szCs w:val="36"/>
          <w:rFonts w:ascii="Times New Roman" w:hAnsi="Times New Roman"/>
        </w:rPr>
        <w:t xml:space="preserve">Decretul din 29 decembrie 2020 privind criteriile, subcriteriile și sistemul de notare pentru calcularea și afișarea indicelui potențialului de reparare al aparatelor TV</w:t>
      </w:r>
    </w:p>
    <w:p w:rsidR="000F2257" w:rsidRPr="000F2257" w:rsidRDefault="000F2257" w:rsidP="001518B1">
      <w:pPr>
        <w:spacing w:after="0" w:line="240" w:lineRule="auto"/>
        <w:outlineLvl w:val="3"/>
        <w:rPr>
          <w:rFonts w:ascii="Times New Roman" w:eastAsia="Times New Roman" w:hAnsi="Times New Roman" w:cs="Times New Roman"/>
          <w:b/>
          <w:bCs/>
          <w:sz w:val="24"/>
          <w:szCs w:val="24"/>
          <w:lang w:eastAsia="fr-FR"/>
        </w:rPr>
      </w:pPr>
    </w:p>
    <w:p w:rsidR="003332FD" w:rsidRPr="000F2257" w:rsidRDefault="003332FD" w:rsidP="001518B1">
      <w:pPr>
        <w:spacing w:after="0" w:line="240" w:lineRule="auto"/>
        <w:outlineLvl w:val="3"/>
        <w:rPr>
          <w:b/>
          <w:bCs/>
          <w:sz w:val="24"/>
          <w:szCs w:val="24"/>
          <w:rFonts w:ascii="Times New Roman" w:eastAsia="Times New Roman" w:hAnsi="Times New Roman" w:cs="Times New Roman"/>
        </w:rPr>
      </w:pPr>
      <w:r>
        <w:rPr>
          <w:b/>
          <w:bCs/>
          <w:sz w:val="24"/>
          <w:szCs w:val="24"/>
          <w:rFonts w:ascii="Times New Roman" w:hAnsi="Times New Roman"/>
        </w:rPr>
        <w:t xml:space="preserve">Versiune inițială</w:t>
      </w:r>
      <w:r>
        <w:rPr>
          <w:b/>
          <w:bCs/>
          <w:sz w:val="24"/>
          <w:szCs w:val="24"/>
          <w:rFonts w:ascii="Times New Roman" w:hAnsi="Times New Roman"/>
        </w:rPr>
        <w:t xml:space="preserve"> </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Categorii de public vizate: producători, importatori, distribuitori sau alți comercianți de aparate TV și vânzători de astfel de echipamente, precum și persoanele care utilizează un site, o platformă sau un alt mijloc de distribuție online în cadrul activităților lor comerciale desfășurate în Franța.</w:t>
      </w:r>
      <w:r>
        <w:rPr>
          <w:sz w:val="24"/>
          <w:szCs w:val="24"/>
          <w:rFonts w:ascii="Times New Roman" w:hAnsi="Times New Roman"/>
        </w:rPr>
        <w:t xml:space="preserve"> </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Obiect: criteriile, subcriteriile și sistemul de notare pentru calcularea și afișarea indicelui potențialului de reparare al aparatelor TV</w:t>
      </w:r>
      <w:r>
        <w:rPr>
          <w:sz w:val="24"/>
          <w:szCs w:val="24"/>
          <w:rFonts w:ascii="Times New Roman" w:hAnsi="Times New Roman"/>
        </w:rPr>
        <w:t xml:space="preserve"> </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Intrare în vigoare: textul intră în vigoare la 1 ianuarie 2021.</w:t>
      </w:r>
      <w:r>
        <w:rPr>
          <w:sz w:val="24"/>
          <w:szCs w:val="24"/>
          <w:rFonts w:ascii="Times New Roman" w:hAnsi="Times New Roman"/>
        </w:rPr>
        <w:t xml:space="preserve"> </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Observație: prezentul decret stabilește sistemul de punctaj al indicelui potențialului de reparare al aparatelor TV</w:t>
      </w:r>
      <w:r>
        <w:rPr>
          <w:sz w:val="24"/>
          <w:szCs w:val="24"/>
          <w:rFonts w:ascii="Times New Roman" w:hAnsi="Times New Roman"/>
        </w:rPr>
        <w:t xml:space="preserve"> </w:t>
      </w: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Trimiteri: prezentul decret va putea fi consultat pe site-ul Légifrance (https://www.legifrance.gouv.fr).</w:t>
      </w:r>
      <w:r>
        <w:rPr>
          <w:sz w:val="24"/>
          <w:szCs w:val="24"/>
          <w:rFonts w:ascii="Times New Roman" w:hAnsi="Times New Roman"/>
        </w:rPr>
        <w:t xml:space="preserve"> </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Ministrul tranziției ecologice și ministrul economiei, finanțelor și redresării,</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având în vedere Regulamentul (UE) 2019/2021 al Comisiei din 1 octombrie 2019 de stabilire a cerințelor în materie de proiectare ecologică aplicabile afișajelor electronice în temeiul Directivei 2009/125/CE a Parlamentului European și a Consiliului, de modificare a Regulamentului (CE) nr. 1275/2008 al Comisiei și de abrogare a Regulamentului (CE) nr. 642/2009 al Comisiei,</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având în vedere Codul mediului, în special articolul L. 541-9-2,</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având în vedere Decretul nr. 1757/2020 din 29 decembrie 2020 privind indicele potențialului de reparare al echipamentelor electrice și electronice,</w:t>
      </w:r>
    </w:p>
    <w:p w:rsidR="003332FD" w:rsidRPr="000F2257" w:rsidRDefault="003332FD" w:rsidP="000B41D8">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Hotărăsc:</w:t>
      </w: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1</w:t>
      </w:r>
    </w:p>
    <w:p w:rsidR="000F2257" w:rsidRPr="000F2257" w:rsidRDefault="000F2257" w:rsidP="000B41D8">
      <w:pPr>
        <w:keepNext/>
        <w:spacing w:after="0" w:line="240" w:lineRule="auto"/>
        <w:ind w:left="450"/>
        <w:outlineLvl w:val="3"/>
        <w:rPr>
          <w:rFonts w:ascii="Times New Roman" w:eastAsia="Times New Roman" w:hAnsi="Times New Roman" w:cs="Times New Roman"/>
          <w:b/>
          <w:bCs/>
          <w:sz w:val="24"/>
          <w:szCs w:val="24"/>
          <w:lang w:eastAsia="fr-FR"/>
        </w:rPr>
      </w:pP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Prezentul decret se aplică aparatelor TV care intră în domeniul de aplicare al Regulamentului din 1 octombrie 2019 menționat anterior.</w:t>
      </w: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2</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În conformitate cu articolele R. 541-210-R. 541-214 din Codul de mediu, criteriile, subcriteriile și sistemul de notare aplicabile produselor definite la articolul pentru calcularea indicelui potențialului de reparare sunt specificate în continuare:</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CRITERIUL Nr. 1:</w:t>
      </w:r>
      <w:r>
        <w:rPr>
          <w:sz w:val="24"/>
          <w:szCs w:val="24"/>
          <w:rFonts w:ascii="Times New Roman" w:hAnsi="Times New Roman"/>
        </w:rPr>
        <w:t xml:space="preserve"> </w:t>
      </w:r>
      <w:r>
        <w:rPr>
          <w:sz w:val="24"/>
          <w:szCs w:val="24"/>
          <w:rFonts w:ascii="Times New Roman" w:hAnsi="Times New Roman"/>
        </w:rPr>
        <w:t xml:space="preserve">- DOCUMENTAȚIE</w:t>
      </w: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1.1.</w:t>
      </w:r>
      <w:r>
        <w:rPr>
          <w:sz w:val="24"/>
          <w:szCs w:val="24"/>
          <w:rFonts w:ascii="Times New Roman" w:hAnsi="Times New Roman"/>
        </w:rPr>
        <w:t xml:space="preserve"> </w:t>
      </w:r>
      <w:r>
        <w:rPr>
          <w:sz w:val="24"/>
          <w:szCs w:val="24"/>
          <w:rFonts w:ascii="Times New Roman" w:hAnsi="Times New Roman"/>
        </w:rPr>
        <w:t xml:space="preserve">- ANGAJAMENTUL REFERITOR LA PERIOADA DE PUNERE LA DISPOZIȚIE, ÎN MOD GRATUIT, A DOCUMENTAȚIEI TEHNICE ȘI LA INSTRUCȚIUNILE DE UTILIZARE ȘI DE ÎNTREȚINERE</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72"/>
        <w:gridCol w:w="402"/>
        <w:gridCol w:w="30"/>
        <w:gridCol w:w="504"/>
        <w:gridCol w:w="651"/>
        <w:gridCol w:w="1024"/>
        <w:gridCol w:w="414"/>
        <w:gridCol w:w="403"/>
        <w:gridCol w:w="528"/>
        <w:gridCol w:w="828"/>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jc w:val="center"/>
              <w:rPr>
                <w:rFonts w:ascii="Times New Roman" w:eastAsia="Times New Roman" w:hAnsi="Times New Roman" w:cs="Times New Roman"/>
                <w:sz w:val="20"/>
                <w:szCs w:val="20"/>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jc w:val="center"/>
              <w:rPr>
                <w:rFonts w:ascii="Times New Roman" w:eastAsia="Times New Roman" w:hAnsi="Times New Roman" w:cs="Times New Roman"/>
                <w:b/>
                <w:bCs/>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sau mai mult</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Tipul de documentație</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Identificarea clară a produsului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Diagrama pentru demontare sau prezentarea detaliată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Schemele de cablare și de branșare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Schemele circuitelor electronice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Lista echipamentelor necesare pentru reparații și încercări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Manualul tehnic cu instrucțiuni de reparații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Codurile de eroare și de diagnosticare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Informațiile privind componentele și diagnosticarea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Instrucțiuni privind software-ul (inclusiv resetarea)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Accesul la incidentele semnalate și înregistrate de echipament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Buletinele tehnice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Reglementarea specifică a lucrărilor de autoreparare (operațiuni recomandate, instrucțiuni privind siguranța și operațiunile de reparare, eventualele repercusiuni asupra garanției)</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Informații privind accesul la service-urile profesioniste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Detectarea defecțiunilor și măsurile necesare (abordare din perspectiva publicului larg)</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Instrucțiuni de utilizare și de întreținere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286.</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286)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CRITERIUL Nr. 2:</w:t>
      </w:r>
      <w:r>
        <w:rPr>
          <w:sz w:val="24"/>
          <w:szCs w:val="24"/>
          <w:rFonts w:ascii="Times New Roman" w:hAnsi="Times New Roman"/>
        </w:rPr>
        <w:t xml:space="preserve"> </w:t>
      </w:r>
      <w:r>
        <w:rPr>
          <w:sz w:val="24"/>
          <w:szCs w:val="24"/>
          <w:rFonts w:ascii="Times New Roman" w:hAnsi="Times New Roman"/>
        </w:rPr>
        <w:t xml:space="preserve">- CARACTERUL DEMONTABIL ȘI ACCESUL, INSTRUMENTELE, ELEMENTELE DE FIXARE</w:t>
      </w: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2.1.</w:t>
      </w:r>
      <w:r>
        <w:rPr>
          <w:sz w:val="24"/>
          <w:szCs w:val="24"/>
          <w:rFonts w:ascii="Times New Roman" w:hAnsi="Times New Roman"/>
        </w:rPr>
        <w:t xml:space="preserve"> </w:t>
      </w:r>
      <w:r>
        <w:rPr>
          <w:sz w:val="24"/>
          <w:szCs w:val="24"/>
          <w:rFonts w:ascii="Times New Roman" w:hAnsi="Times New Roman"/>
        </w:rPr>
        <w:t xml:space="preserve">- UȘURINȚA DEMONTĂRII PIESELOR (LISTA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7"/>
        <w:gridCol w:w="3912"/>
        <w:gridCol w:w="315"/>
        <w:gridCol w:w="315"/>
        <w:gridCol w:w="330"/>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Numărul etapelor pentru accesul individual la piesă</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ND/NA (1) sau 4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Piesele specificate în lista 2 (piese externe)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Telecomandă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Surse externe de alimentare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bl>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1"/>
        <w:gridCol w:w="2779"/>
        <w:gridCol w:w="863"/>
        <w:gridCol w:w="607"/>
        <w:gridCol w:w="622"/>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Numărul etapelor pentru accesul individual la piesă</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ND/NA (1) sau 12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10 și 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8 și 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1 și 7</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Piesele specificate în lista 2 (piese interne)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Surse interne de alimentare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Placa de bază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Plasmă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 ND/NA = nedemontabil sau inaccesibil individual</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(2) Este suficientă scoaterea acumulatorilor sau a bateriei.</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(3) A se marca cu gri în cazul surselor externe de alimentare.</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În cazul surselor interne de alimentare, numărul maxim de puncte este 12.</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12) x 10.</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În cazul surselor externe de alimentare, numărul maxim de puncte este 9.</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9)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2.2.</w:t>
      </w:r>
      <w:r>
        <w:rPr>
          <w:sz w:val="24"/>
          <w:szCs w:val="24"/>
          <w:rFonts w:ascii="Times New Roman" w:hAnsi="Times New Roman"/>
        </w:rPr>
        <w:t xml:space="preserve"> </w:t>
      </w:r>
      <w:r>
        <w:rPr>
          <w:sz w:val="24"/>
          <w:szCs w:val="24"/>
          <w:rFonts w:ascii="Times New Roman" w:hAnsi="Times New Roman"/>
        </w:rPr>
        <w:t xml:space="preserve">- INSTRUMENTELE NECESARE PENTRU DEMONTAREA PIESELOR (LISTA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3"/>
        <w:gridCol w:w="850"/>
        <w:gridCol w:w="1809"/>
        <w:gridCol w:w="1582"/>
        <w:gridCol w:w="2222"/>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Tipul de instrumente</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ND/NA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Instrumente proprii</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Instrumente specifice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Fără instrumente, instrumente comune (4)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Piesele specificate în lista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 (5)</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Telecomandă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Surse externe de alimentare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Surse interne de alimentare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Placa de bază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Plasmă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(3) A se marca cu gri în cazul surselor externe de alimentare.</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(4) sau instrumentul furnizat împreună cu piesa de schimb sau cu produsul.</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(5) A se lua in considerare cel mai mic punctaj dacă sunt implicate mai multe instrumente</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În cazul surselor interne de alimentare, numărul maxim de puncte este 16.</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16) x 10.</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În cazul surselor externe de alimentare, numărul maxim de puncte este 12.</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12)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2.3.</w:t>
      </w:r>
      <w:r>
        <w:rPr>
          <w:sz w:val="24"/>
          <w:szCs w:val="24"/>
          <w:rFonts w:ascii="Times New Roman" w:hAnsi="Times New Roman"/>
        </w:rPr>
        <w:t xml:space="preserve"> </w:t>
      </w:r>
      <w:r>
        <w:rPr>
          <w:sz w:val="24"/>
          <w:szCs w:val="24"/>
          <w:rFonts w:ascii="Times New Roman" w:hAnsi="Times New Roman"/>
        </w:rPr>
        <w:t xml:space="preserve">CARACTERISTICILE ELEMENTELOR DE FIXARE (PENTRU MONTAREA PIESELOR SPECIFICATE ÎN LISTELE 1 ȘI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32"/>
        <w:gridCol w:w="2144"/>
        <w:gridCol w:w="2110"/>
        <w:gridCol w:w="2170"/>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Tipul de element de fixare</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Nici detașabil, nici refolosibil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Detașabil, de unică folosință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Detașabil și refolosibil (3)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Piesele specificate în lista 1 sau în lista 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 (4)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Capacul din spate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Modul WiFi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Modul Bluetooth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Receptor infraroșu</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Difuzoare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Conectori (7)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Telecomandă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Surse interne de alimentare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Surse externe de alimentare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Placa de bază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Plasmă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(3) sau elementul de fixare furnizat împreună cu piesa de schimb</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(4) a se lua in considerare cel mai mic punctaj dacă sunt implicate mai multe instrumente de fixare</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(5) A se marca cu gri dacă lipsește.</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(6) A se marca cu gri dacă lipsește.</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(7) pentru conectarea echipamentelor externe (cablu, antenă, USB, DVD și Blue-Ray).</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(8) A se marca cu gri în cazul surselor externe de alimentare.</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În cazul surselor interne de alimentare, numărul maxim de puncte este 20.</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20) x 10.</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În cazul surselor externe de alimentare, numărul maxim de puncte este 18.</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18)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CRITERIUL Nr. 3:</w:t>
      </w:r>
      <w:r>
        <w:rPr>
          <w:sz w:val="24"/>
          <w:szCs w:val="24"/>
          <w:rFonts w:ascii="Times New Roman" w:hAnsi="Times New Roman"/>
        </w:rPr>
        <w:t xml:space="preserve"> </w:t>
      </w:r>
      <w:r>
        <w:rPr>
          <w:sz w:val="24"/>
          <w:szCs w:val="24"/>
          <w:rFonts w:ascii="Times New Roman" w:hAnsi="Times New Roman"/>
        </w:rPr>
        <w:t xml:space="preserve">- DISPONIBILITATEA PIESELOR DE SCHIMB</w:t>
      </w: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3.1.</w:t>
      </w:r>
      <w:r>
        <w:rPr>
          <w:sz w:val="24"/>
          <w:szCs w:val="24"/>
          <w:rFonts w:ascii="Times New Roman" w:hAnsi="Times New Roman"/>
        </w:rPr>
        <w:t xml:space="preserve"> </w:t>
      </w:r>
      <w:r>
        <w:rPr>
          <w:sz w:val="24"/>
          <w:szCs w:val="24"/>
          <w:rFonts w:ascii="Times New Roman" w:hAnsi="Times New Roman"/>
        </w:rPr>
        <w:t xml:space="preserve">- ANGAJAMENTUL PRODUCĂTORULUI PRIVIND PERIOADA DE DISPONIBILITATE A PIESELOR DE SCHIMB SPECIFICATE ÎN LISTA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6"/>
        <w:gridCol w:w="294"/>
        <w:gridCol w:w="292"/>
        <w:gridCol w:w="413"/>
        <w:gridCol w:w="649"/>
        <w:gridCol w:w="334"/>
        <w:gridCol w:w="329"/>
        <w:gridCol w:w="455"/>
        <w:gridCol w:w="710"/>
        <w:gridCol w:w="296"/>
        <w:gridCol w:w="293"/>
        <w:gridCol w:w="414"/>
        <w:gridCol w:w="652"/>
        <w:gridCol w:w="380"/>
        <w:gridCol w:w="367"/>
        <w:gridCol w:w="493"/>
        <w:gridCol w:w="759"/>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A</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Producător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Distribuitorii de piese de schimb</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D</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sau mai mult</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Piesele specificate în lista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Telecomandă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Surse interne de alimentare (1)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Surse externe de alimentare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Placa de bază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Plasmă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 A se marca cu gri în cazul surselor externe de alimentare.</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(2) A se marca cu gri în cazul surselor externe de alimentare.</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176.</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176)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3.2.</w:t>
      </w:r>
      <w:r>
        <w:rPr>
          <w:sz w:val="24"/>
          <w:szCs w:val="24"/>
          <w:rFonts w:ascii="Times New Roman" w:hAnsi="Times New Roman"/>
        </w:rPr>
        <w:t xml:space="preserve"> </w:t>
      </w:r>
      <w:r>
        <w:rPr>
          <w:sz w:val="24"/>
          <w:szCs w:val="24"/>
          <w:rFonts w:ascii="Times New Roman" w:hAnsi="Times New Roman"/>
        </w:rPr>
        <w:t xml:space="preserve">- ANGAJAMENTUL PRODUCĂTORULUI PRIVIND PERIOADA DE DISPONIBILITATE A PIESELOR DE SCHIMB SPECIFICATE ÎN LISTA 1</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23"/>
        <w:gridCol w:w="315"/>
        <w:gridCol w:w="313"/>
        <w:gridCol w:w="434"/>
        <w:gridCol w:w="686"/>
        <w:gridCol w:w="360"/>
        <w:gridCol w:w="355"/>
        <w:gridCol w:w="482"/>
        <w:gridCol w:w="758"/>
        <w:gridCol w:w="317"/>
        <w:gridCol w:w="315"/>
        <w:gridCol w:w="435"/>
        <w:gridCol w:w="689"/>
        <w:gridCol w:w="395"/>
        <w:gridCol w:w="383"/>
        <w:gridCol w:w="508"/>
        <w:gridCol w:w="788"/>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A</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Producător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Distribuitorii de piese de schimb</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D</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sau mai mult</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Piesele specificate în lista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Capacul din spate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Modul WiFi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Modul Bluetooth (4)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Receptor infraroșu</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Difuzoare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Conectori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(3) A se marca cu gri dacă lipsește.</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(4) A se marca cu gri dacă lipsește.</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(5) pentru conectarea echipamentelor externe (cablu, antenă, USB, DVD și Blue-Ray).</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264.</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264)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3.3.</w:t>
      </w:r>
      <w:r>
        <w:rPr>
          <w:sz w:val="24"/>
          <w:szCs w:val="24"/>
          <w:rFonts w:ascii="Times New Roman" w:hAnsi="Times New Roman"/>
        </w:rPr>
        <w:t xml:space="preserve"> </w:t>
      </w:r>
      <w:r>
        <w:rPr>
          <w:sz w:val="24"/>
          <w:szCs w:val="24"/>
          <w:rFonts w:ascii="Times New Roman" w:hAnsi="Times New Roman"/>
        </w:rPr>
        <w:t xml:space="preserve">- TERMENUL DE LIVRARE A PIESELOR SPECIFICATE ÎN LISTA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3"/>
        <w:gridCol w:w="624"/>
        <w:gridCol w:w="399"/>
        <w:gridCol w:w="279"/>
        <w:gridCol w:w="279"/>
        <w:gridCol w:w="740"/>
        <w:gridCol w:w="463"/>
        <w:gridCol w:w="327"/>
        <w:gridCol w:w="325"/>
        <w:gridCol w:w="662"/>
        <w:gridCol w:w="419"/>
        <w:gridCol w:w="293"/>
        <w:gridCol w:w="292"/>
        <w:gridCol w:w="811"/>
        <w:gridCol w:w="491"/>
        <w:gridCol w:w="345"/>
        <w:gridCol w:w="354"/>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A</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Producător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Distribuitorii de piese de schimb</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D</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Zile pentru livrare (1)</w:t>
            </w:r>
          </w:p>
        </w:tc>
      </w:tr>
      <w:tr w:rsidR="000F2257"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1 și 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Piesele specificate în lista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Telecomandă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Surse interne de alimentare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Surse externe de alimentare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Placa de bază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Plasmă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 zile lucrătoare începând din ziua plasării comenzii</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(2) A se marca cu gri în cazul surselor externe de alimentare.</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(3) A se marca cu gri în cazul surselor externe de alimentare.</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Aceste dispoziții nu aduc atingere dispozițiilor de la articolul L. 441-4 din Codul consumatorului, în ceea ce privește interdicția de a limita accesul unui expert în reparații la piese de schimb.</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48.</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48)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3.4.</w:t>
      </w:r>
      <w:r>
        <w:rPr>
          <w:sz w:val="24"/>
          <w:szCs w:val="24"/>
          <w:rFonts w:ascii="Times New Roman" w:hAnsi="Times New Roman"/>
        </w:rPr>
        <w:t xml:space="preserve"> </w:t>
      </w:r>
      <w:r>
        <w:rPr>
          <w:sz w:val="24"/>
          <w:szCs w:val="24"/>
          <w:rFonts w:ascii="Times New Roman" w:hAnsi="Times New Roman"/>
        </w:rPr>
        <w:t xml:space="preserve">- TERMENUL DE LIVRARE A PIESELOR SPECIFICATE ÎN LISTA 1</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21"/>
        <w:gridCol w:w="660"/>
        <w:gridCol w:w="424"/>
        <w:gridCol w:w="304"/>
        <w:gridCol w:w="304"/>
        <w:gridCol w:w="786"/>
        <w:gridCol w:w="494"/>
        <w:gridCol w:w="358"/>
        <w:gridCol w:w="355"/>
        <w:gridCol w:w="696"/>
        <w:gridCol w:w="442"/>
        <w:gridCol w:w="317"/>
        <w:gridCol w:w="316"/>
        <w:gridCol w:w="833"/>
        <w:gridCol w:w="508"/>
        <w:gridCol w:w="364"/>
        <w:gridCol w:w="374"/>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A</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Producător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Distribuitorii de piese de schimb</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D</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Zile pentru livrare (1)</w:t>
            </w:r>
          </w:p>
        </w:tc>
      </w:tr>
      <w:tr w:rsidR="000F2257"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1 și 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Piesa specificată în lista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Capacul din spate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Modul WiFi</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Modul Bluetooth</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Receptor infraroșu</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Difuzoare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Conectori (4)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 zile lucrătoare începând din ziua plasării comenzii</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(4) pentru conectarea echipamentelor externe (cablu, antenă, USB, DVD și Blue-Ray).</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Aceste dispoziții nu aduc atingere dispozițiilor de la articolul L. 441-4 din Codul consumatorului, în ceea ce privește interdicția de a limita accesul unui expert în reparații la piese de schimb.</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72.</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72)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CRITERIUL Nr. 4:</w:t>
      </w:r>
      <w:r>
        <w:rPr>
          <w:sz w:val="24"/>
          <w:szCs w:val="24"/>
          <w:rFonts w:ascii="Times New Roman" w:hAnsi="Times New Roman"/>
        </w:rPr>
        <w:t xml:space="preserve"> </w:t>
      </w:r>
      <w:r>
        <w:rPr>
          <w:sz w:val="24"/>
          <w:szCs w:val="24"/>
          <w:rFonts w:ascii="Times New Roman" w:hAnsi="Times New Roman"/>
        </w:rPr>
        <w:t xml:space="preserve">- PREȚUL PIESELOR DE SCHIMB</w:t>
      </w: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4.1.</w:t>
      </w:r>
      <w:r>
        <w:rPr>
          <w:sz w:val="24"/>
          <w:szCs w:val="24"/>
          <w:rFonts w:ascii="Times New Roman" w:hAnsi="Times New Roman"/>
        </w:rPr>
        <w:t xml:space="preserve"> </w:t>
      </w:r>
      <w:r>
        <w:rPr>
          <w:sz w:val="24"/>
          <w:szCs w:val="24"/>
          <w:rFonts w:ascii="Times New Roman" w:hAnsi="Times New Roman"/>
        </w:rPr>
        <w:t xml:space="preserve">Raportul dintre prețul pieselor specificate în lista 2 și prețul echipamentului nou</w:t>
      </w: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Pe baza raportului descris în Decretul din 29 decembrie 2020 privind modalitățile de afișare, marcajul și parametrii generali pentru calcularea indicelui potențialului de reparare, numărul de puncte obținut pentru acest criteriu se stabilește după cum urmează:</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dacă rezultatul raportului este mai mare de 0,3, atunci numărul de puncte este 0:</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dacă rezultatul raportului este mai mic de 0,1, atunci numărul de puncte este 100:</w:t>
      </w: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dacă rezultatul raportului este cuprins între 0,1 și 0,3, atunci numărul de puncte este stabilit conform tabelului corespunzător de mai jos:</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
        <w:gridCol w:w="369"/>
        <w:gridCol w:w="415"/>
        <w:gridCol w:w="415"/>
        <w:gridCol w:w="415"/>
        <w:gridCol w:w="415"/>
        <w:gridCol w:w="415"/>
        <w:gridCol w:w="415"/>
        <w:gridCol w:w="414"/>
        <w:gridCol w:w="414"/>
        <w:gridCol w:w="414"/>
        <w:gridCol w:w="322"/>
        <w:gridCol w:w="414"/>
        <w:gridCol w:w="414"/>
        <w:gridCol w:w="414"/>
        <w:gridCol w:w="414"/>
        <w:gridCol w:w="414"/>
        <w:gridCol w:w="414"/>
        <w:gridCol w:w="414"/>
        <w:gridCol w:w="414"/>
        <w:gridCol w:w="414"/>
        <w:gridCol w:w="337"/>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Raport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Puncte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85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80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Regula de rotunjire este următoarea:</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dacă cifra celei de a treia zecimale este mai mică de 5, se rotunjește la a doua zecimală inferioară;</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dacă cifra celei de a treia zecimale este mai mare sau egală cu 5, se rotunjește la a doua zecimală superioară</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100.</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100)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CRITERIUL Nr. 5:</w:t>
      </w:r>
      <w:r>
        <w:rPr>
          <w:sz w:val="24"/>
          <w:szCs w:val="24"/>
          <w:rFonts w:ascii="Times New Roman" w:hAnsi="Times New Roman"/>
        </w:rPr>
        <w:t xml:space="preserve"> </w:t>
      </w:r>
      <w:r>
        <w:rPr>
          <w:sz w:val="24"/>
          <w:szCs w:val="24"/>
          <w:rFonts w:ascii="Times New Roman" w:hAnsi="Times New Roman"/>
        </w:rPr>
        <w:t xml:space="preserve">- CRITERIU SPECIFIC</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Pentru produsele care fac obiectul prezentului decret, coeficienții subcriteriilor de la criteriul 5 sunt stabiliți după cum urmează:</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2"/>
        <w:gridCol w:w="2378"/>
        <w:gridCol w:w="1229"/>
        <w:gridCol w:w="1755"/>
        <w:gridCol w:w="1057"/>
        <w:gridCol w:w="1225"/>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Subcriteriu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Nota pentru subcriteriu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Coeficientul subcriteriului</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Nota pentru 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Coeficient</w:t>
            </w:r>
            <w:r>
              <w:rPr>
                <w:b/>
                <w:bCs/>
                <w:sz w:val="24"/>
                <w:szCs w:val="24"/>
                <w:rFonts w:ascii="Times New Roman" w:hAnsi="Times New Roman"/>
              </w:rPr>
              <w:t xml:space="preserve"> </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al criteriului</w:t>
            </w:r>
          </w:p>
        </w:tc>
      </w:tr>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w:t>
            </w:r>
            <w:r>
              <w:rPr>
                <w:sz w:val="24"/>
                <w:szCs w:val="24"/>
                <w:rFonts w:ascii="Times New Roman" w:hAnsi="Times New Roman"/>
              </w:rPr>
              <w:t xml:space="preserve"> </w:t>
            </w:r>
            <w:r>
              <w:rPr>
                <w:sz w:val="24"/>
                <w:szCs w:val="24"/>
                <w:rFonts w:ascii="Times New Roman" w:hAnsi="Times New Roman"/>
              </w:rPr>
              <w:t xml:space="preserve">Criteriu specific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5.1.</w:t>
            </w:r>
            <w:r>
              <w:rPr>
                <w:sz w:val="24"/>
                <w:szCs w:val="24"/>
                <w:rFonts w:ascii="Times New Roman" w:hAnsi="Times New Roman"/>
              </w:rPr>
              <w:t xml:space="preserve"> </w:t>
            </w:r>
            <w:r>
              <w:rPr>
                <w:sz w:val="24"/>
                <w:szCs w:val="24"/>
                <w:rFonts w:ascii="Times New Roman" w:hAnsi="Times New Roman"/>
              </w:rPr>
              <w:t xml:space="preserve">Accesibilitatea contorului de utilizare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5.2.</w:t>
            </w:r>
            <w:r>
              <w:rPr>
                <w:sz w:val="24"/>
                <w:szCs w:val="24"/>
                <w:rFonts w:ascii="Times New Roman" w:hAnsi="Times New Roman"/>
              </w:rPr>
              <w:t xml:space="preserve"> </w:t>
            </w:r>
            <w:r>
              <w:rPr>
                <w:sz w:val="24"/>
                <w:szCs w:val="24"/>
                <w:rFonts w:ascii="Times New Roman" w:hAnsi="Times New Roman"/>
              </w:rPr>
              <w:t xml:space="preserve">Asistență gratuită de la distanță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5.3.</w:t>
            </w:r>
            <w:r>
              <w:rPr>
                <w:sz w:val="24"/>
                <w:szCs w:val="24"/>
                <w:rFonts w:ascii="Times New Roman" w:hAnsi="Times New Roman"/>
              </w:rPr>
              <w:t xml:space="preserve"> </w:t>
            </w:r>
            <w:r>
              <w:rPr>
                <w:sz w:val="24"/>
                <w:szCs w:val="24"/>
                <w:rFonts w:ascii="Times New Roman" w:hAnsi="Times New Roman"/>
              </w:rPr>
              <w:t xml:space="preserve">Posibilitatea de resetare a software-ului</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5.1.</w:t>
      </w:r>
      <w:r>
        <w:rPr>
          <w:sz w:val="24"/>
          <w:szCs w:val="24"/>
          <w:rFonts w:ascii="Times New Roman" w:hAnsi="Times New Roman"/>
        </w:rPr>
        <w:t xml:space="preserve"> </w:t>
      </w:r>
      <w:r>
        <w:rPr>
          <w:sz w:val="24"/>
          <w:szCs w:val="24"/>
          <w:rFonts w:ascii="Times New Roman" w:hAnsi="Times New Roman"/>
        </w:rPr>
        <w:t xml:space="preserve">- ACCESIBILITATEA CONTORULUI DE UTILIZARE</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Un contor de utilizare este un dispozitiv de afișare pentru consumatori, care înregistrează cumulativ perioadele de utilizare a produsului în număr de unități.</w:t>
      </w:r>
      <w:r>
        <w:rPr>
          <w:sz w:val="24"/>
          <w:szCs w:val="24"/>
          <w:rFonts w:ascii="Times New Roman" w:hAnsi="Times New Roman"/>
        </w:rPr>
        <w:t xml:space="preserve"> </w:t>
      </w:r>
      <w:r>
        <w:rPr>
          <w:sz w:val="24"/>
          <w:szCs w:val="24"/>
          <w:rFonts w:ascii="Times New Roman" w:hAnsi="Times New Roman"/>
        </w:rPr>
        <w:t xml:space="preserve">Unitatea luată în considerare în prezentul decret este numărul de ore de funcționare a plasmei.</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3"/>
        <w:gridCol w:w="917"/>
        <w:gridCol w:w="2393"/>
        <w:gridCol w:w="2903"/>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85860"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Accesibilitatea contorului de utilizare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Situație</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Absență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Greu accesibil (1)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Vizibil sau ușor accesibil (2)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 Consumatorul poate vizualiza valoarea afișată de contorul de utilizare doar făcând clic de mai mult de trei ori.</w:t>
      </w:r>
      <w:r>
        <w:rPr>
          <w:sz w:val="24"/>
          <w:szCs w:val="24"/>
          <w:rFonts w:ascii="Times New Roman" w:hAnsi="Times New Roman"/>
        </w:rPr>
        <w:t xml:space="preserve"> </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(2) Consumatorul poate vizualiza valoarea afișată de contorul de utilizare doar făcând clic de maximum trei ori.</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2.</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2)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5.2.</w:t>
      </w:r>
      <w:r>
        <w:rPr>
          <w:sz w:val="24"/>
          <w:szCs w:val="24"/>
          <w:rFonts w:ascii="Times New Roman" w:hAnsi="Times New Roman"/>
        </w:rPr>
        <w:t xml:space="preserve"> </w:t>
      </w:r>
      <w:r>
        <w:rPr>
          <w:sz w:val="24"/>
          <w:szCs w:val="24"/>
          <w:rFonts w:ascii="Times New Roman" w:hAnsi="Times New Roman"/>
        </w:rPr>
        <w:t xml:space="preserve">- ASISTENȚĂ GRATUITĂ DE LA DISTANȚĂ</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9"/>
        <w:gridCol w:w="730"/>
        <w:gridCol w:w="1347"/>
        <w:gridCol w:w="730"/>
        <w:gridCol w:w="1330"/>
        <w:gridCol w:w="1603"/>
        <w:gridCol w:w="1637"/>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85860"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Tipul de asistență de la distanță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 se aplică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1518B1"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Informații</w:t>
            </w:r>
            <w:r>
              <w:rPr>
                <w:sz w:val="24"/>
                <w:szCs w:val="24"/>
                <w:rFonts w:ascii="Times New Roman" w:hAnsi="Times New Roman"/>
              </w:rPr>
              <w:t xml:space="preserve"> </w:t>
            </w: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actualizate de pe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 se aplică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1518B1"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Informații</w:t>
            </w:r>
            <w:r>
              <w:rPr>
                <w:sz w:val="24"/>
                <w:szCs w:val="24"/>
                <w:rFonts w:ascii="Times New Roman" w:hAnsi="Times New Roman"/>
              </w:rPr>
              <w:t xml:space="preserve"> </w:t>
            </w: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de la distanță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Asistență pentru diagnosticare de la distanță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F2257">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Asistență pentru reparare de la distanță</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5.</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5) x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5.3.</w:t>
      </w:r>
      <w:r>
        <w:rPr>
          <w:sz w:val="24"/>
          <w:szCs w:val="24"/>
          <w:rFonts w:ascii="Times New Roman" w:hAnsi="Times New Roman"/>
        </w:rPr>
        <w:t xml:space="preserve"> </w:t>
      </w:r>
      <w:r>
        <w:rPr>
          <w:sz w:val="24"/>
          <w:szCs w:val="24"/>
          <w:rFonts w:ascii="Times New Roman" w:hAnsi="Times New Roman"/>
        </w:rPr>
        <w:t xml:space="preserve">- POSIBILITATEA DE RESETARE A SOFTWARE-ULUI</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8"/>
        <w:gridCol w:w="1177"/>
        <w:gridCol w:w="916"/>
        <w:gridCol w:w="1185"/>
        <w:gridCol w:w="923"/>
        <w:gridCol w:w="1221"/>
        <w:gridCol w:w="966"/>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A Producător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B Service-uri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 Consumatori</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Posibilitatea resetării software-ului gratuit și fără restricții privind accesul la aceste servicii</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Imposibil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Posibil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Imposibil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Posibil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Imposibil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Posibil</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Resetarea sistemului de operare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Resetarea firmware-urilor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6.</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6) x 10.</w:t>
      </w: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3</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Dispozițiile din prezentul decret intră în vigoare la 1 ianuarie 2021.</w:t>
      </w:r>
    </w:p>
    <w:p w:rsidR="000F2257" w:rsidRPr="000F2257" w:rsidRDefault="000F2257" w:rsidP="001518B1">
      <w:pPr>
        <w:spacing w:after="0" w:line="240" w:lineRule="auto"/>
        <w:ind w:left="450"/>
        <w:outlineLvl w:val="3"/>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ind w:left="450"/>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4</w:t>
      </w:r>
    </w:p>
    <w:p w:rsidR="000F2257" w:rsidRPr="000F2257" w:rsidRDefault="000F2257" w:rsidP="000B41D8">
      <w:pPr>
        <w:keepNext/>
        <w:spacing w:after="0" w:line="240" w:lineRule="auto"/>
        <w:ind w:left="450"/>
        <w:outlineLvl w:val="3"/>
        <w:rPr>
          <w:rFonts w:ascii="Times New Roman" w:eastAsia="Times New Roman" w:hAnsi="Times New Roman" w:cs="Times New Roman"/>
          <w:b/>
          <w:bCs/>
          <w:sz w:val="24"/>
          <w:szCs w:val="24"/>
          <w:lang w:eastAsia="fr-FR"/>
        </w:rPr>
      </w:pP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Prezentul decret se publică în Jurnalul Oficial al Republicii Franceze.</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Adoptat la 29 decembrie 2020.</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Ministrul tranziției ecologice,</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Pentru ministru și prin delegare:</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Comisarul general pentru dezvoltare durabilă,</w:t>
      </w: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 Lesueur</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Ministrul economiei, finanțelor și redresării,</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Pentru ministru și prin delegare:</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Directorul general pentru concurență, consum și combaterea fraudelor,</w:t>
      </w:r>
    </w:p>
    <w:p w:rsidR="003332FD" w:rsidRPr="000F2257" w:rsidRDefault="003332FD" w:rsidP="001518B1">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V. Beaumeunier</w:t>
      </w:r>
    </w:p>
    <w:sectPr w:rsidR="003332FD" w:rsidRPr="000F22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801" w:rsidRDefault="003D5801" w:rsidP="0034201D">
      <w:pPr>
        <w:spacing w:after="0" w:line="240" w:lineRule="auto"/>
      </w:pPr>
      <w:r>
        <w:separator/>
      </w:r>
    </w:p>
  </w:endnote>
  <w:endnote w:type="continuationSeparator" w:id="0">
    <w:p w:rsidR="003D5801" w:rsidRDefault="003D5801" w:rsidP="0034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801" w:rsidRDefault="003D5801" w:rsidP="0034201D">
      <w:pPr>
        <w:spacing w:after="0" w:line="240" w:lineRule="auto"/>
      </w:pPr>
      <w:r>
        <w:separator/>
      </w:r>
    </w:p>
  </w:footnote>
  <w:footnote w:type="continuationSeparator" w:id="0">
    <w:p w:rsidR="003D5801" w:rsidRDefault="003D5801" w:rsidP="00342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FD"/>
    <w:rsid w:val="000B41D8"/>
    <w:rsid w:val="000F2257"/>
    <w:rsid w:val="001518B1"/>
    <w:rsid w:val="003332FD"/>
    <w:rsid w:val="0034201D"/>
    <w:rsid w:val="003D5801"/>
    <w:rsid w:val="00493522"/>
    <w:rsid w:val="00662830"/>
    <w:rsid w:val="006B4F15"/>
    <w:rsid w:val="0083752D"/>
    <w:rsid w:val="00D13D65"/>
    <w:rsid w:val="00D8586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F5065"/>
  <w15:chartTrackingRefBased/>
  <w15:docId w15:val="{F105F6B4-82E3-4E8A-942A-46F6F7B1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332F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4">
    <w:name w:val="heading 4"/>
    <w:basedOn w:val="Normal"/>
    <w:link w:val="Heading4Char"/>
    <w:uiPriority w:val="9"/>
    <w:qFormat/>
    <w:rsid w:val="003332F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32FD"/>
    <w:rPr>
      <w:rFonts w:ascii="Times New Roman" w:eastAsia="Times New Roman" w:hAnsi="Times New Roman" w:cs="Times New Roman"/>
      <w:b/>
      <w:bCs/>
      <w:sz w:val="36"/>
      <w:szCs w:val="36"/>
      <w:lang w:eastAsia="fr-FR"/>
    </w:rPr>
  </w:style>
  <w:style w:type="character" w:customStyle="1" w:styleId="Heading4Char">
    <w:name w:val="Heading 4 Char"/>
    <w:basedOn w:val="DefaultParagraphFont"/>
    <w:link w:val="Heading4"/>
    <w:uiPriority w:val="9"/>
    <w:rsid w:val="003332FD"/>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3332FD"/>
  </w:style>
  <w:style w:type="paragraph" w:customStyle="1" w:styleId="test">
    <w:name w:val="test"/>
    <w:basedOn w:val="Normal"/>
    <w:rsid w:val="003332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332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3420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201D"/>
  </w:style>
  <w:style w:type="paragraph" w:styleId="Footer">
    <w:name w:val="footer"/>
    <w:basedOn w:val="Normal"/>
    <w:link w:val="FooterChar"/>
    <w:uiPriority w:val="99"/>
    <w:unhideWhenUsed/>
    <w:rsid w:val="003420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866322">
      <w:bodyDiv w:val="1"/>
      <w:marLeft w:val="0"/>
      <w:marRight w:val="0"/>
      <w:marTop w:val="0"/>
      <w:marBottom w:val="0"/>
      <w:divBdr>
        <w:top w:val="none" w:sz="0" w:space="0" w:color="auto"/>
        <w:left w:val="none" w:sz="0" w:space="0" w:color="auto"/>
        <w:bottom w:val="none" w:sz="0" w:space="0" w:color="auto"/>
        <w:right w:val="none" w:sz="0" w:space="0" w:color="auto"/>
      </w:divBdr>
      <w:divsChild>
        <w:div w:id="1374038681">
          <w:marLeft w:val="0"/>
          <w:marRight w:val="0"/>
          <w:marTop w:val="0"/>
          <w:marBottom w:val="0"/>
          <w:divBdr>
            <w:top w:val="none" w:sz="0" w:space="0" w:color="auto"/>
            <w:left w:val="none" w:sz="0" w:space="0" w:color="auto"/>
            <w:bottom w:val="none" w:sz="0" w:space="0" w:color="auto"/>
            <w:right w:val="none" w:sz="0" w:space="0" w:color="auto"/>
          </w:divBdr>
          <w:divsChild>
            <w:div w:id="240411140">
              <w:marLeft w:val="0"/>
              <w:marRight w:val="0"/>
              <w:marTop w:val="0"/>
              <w:marBottom w:val="0"/>
              <w:divBdr>
                <w:top w:val="none" w:sz="0" w:space="0" w:color="auto"/>
                <w:left w:val="none" w:sz="0" w:space="0" w:color="auto"/>
                <w:bottom w:val="none" w:sz="0" w:space="0" w:color="auto"/>
                <w:right w:val="none" w:sz="0" w:space="0" w:color="auto"/>
              </w:divBdr>
            </w:div>
            <w:div w:id="502476842">
              <w:marLeft w:val="0"/>
              <w:marRight w:val="0"/>
              <w:marTop w:val="0"/>
              <w:marBottom w:val="0"/>
              <w:divBdr>
                <w:top w:val="none" w:sz="0" w:space="0" w:color="auto"/>
                <w:left w:val="none" w:sz="0" w:space="0" w:color="auto"/>
                <w:bottom w:val="none" w:sz="0" w:space="0" w:color="auto"/>
                <w:right w:val="none" w:sz="0" w:space="0" w:color="auto"/>
              </w:divBdr>
            </w:div>
            <w:div w:id="1020854454">
              <w:marLeft w:val="0"/>
              <w:marRight w:val="0"/>
              <w:marTop w:val="0"/>
              <w:marBottom w:val="0"/>
              <w:divBdr>
                <w:top w:val="none" w:sz="0" w:space="0" w:color="auto"/>
                <w:left w:val="none" w:sz="0" w:space="0" w:color="auto"/>
                <w:bottom w:val="none" w:sz="0" w:space="0" w:color="auto"/>
                <w:right w:val="none" w:sz="0" w:space="0" w:color="auto"/>
              </w:divBdr>
            </w:div>
            <w:div w:id="1124620695">
              <w:marLeft w:val="0"/>
              <w:marRight w:val="0"/>
              <w:marTop w:val="0"/>
              <w:marBottom w:val="0"/>
              <w:divBdr>
                <w:top w:val="none" w:sz="0" w:space="0" w:color="auto"/>
                <w:left w:val="none" w:sz="0" w:space="0" w:color="auto"/>
                <w:bottom w:val="none" w:sz="0" w:space="0" w:color="auto"/>
                <w:right w:val="none" w:sz="0" w:space="0" w:color="auto"/>
              </w:divBdr>
            </w:div>
            <w:div w:id="1325890552">
              <w:marLeft w:val="0"/>
              <w:marRight w:val="0"/>
              <w:marTop w:val="0"/>
              <w:marBottom w:val="0"/>
              <w:divBdr>
                <w:top w:val="none" w:sz="0" w:space="0" w:color="auto"/>
                <w:left w:val="none" w:sz="0" w:space="0" w:color="auto"/>
                <w:bottom w:val="none" w:sz="0" w:space="0" w:color="auto"/>
                <w:right w:val="none" w:sz="0" w:space="0" w:color="auto"/>
              </w:divBdr>
            </w:div>
            <w:div w:id="1562784805">
              <w:marLeft w:val="0"/>
              <w:marRight w:val="0"/>
              <w:marTop w:val="0"/>
              <w:marBottom w:val="0"/>
              <w:divBdr>
                <w:top w:val="none" w:sz="0" w:space="0" w:color="auto"/>
                <w:left w:val="none" w:sz="0" w:space="0" w:color="auto"/>
                <w:bottom w:val="none" w:sz="0" w:space="0" w:color="auto"/>
                <w:right w:val="none" w:sz="0" w:space="0" w:color="auto"/>
              </w:divBdr>
            </w:div>
            <w:div w:id="1589847458">
              <w:marLeft w:val="0"/>
              <w:marRight w:val="0"/>
              <w:marTop w:val="0"/>
              <w:marBottom w:val="0"/>
              <w:divBdr>
                <w:top w:val="none" w:sz="0" w:space="0" w:color="auto"/>
                <w:left w:val="none" w:sz="0" w:space="0" w:color="auto"/>
                <w:bottom w:val="none" w:sz="0" w:space="0" w:color="auto"/>
                <w:right w:val="none" w:sz="0" w:space="0" w:color="auto"/>
              </w:divBdr>
            </w:div>
            <w:div w:id="1653755778">
              <w:marLeft w:val="0"/>
              <w:marRight w:val="0"/>
              <w:marTop w:val="0"/>
              <w:marBottom w:val="0"/>
              <w:divBdr>
                <w:top w:val="none" w:sz="0" w:space="0" w:color="auto"/>
                <w:left w:val="none" w:sz="0" w:space="0" w:color="auto"/>
                <w:bottom w:val="none" w:sz="0" w:space="0" w:color="auto"/>
                <w:right w:val="none" w:sz="0" w:space="0" w:color="auto"/>
              </w:divBdr>
            </w:div>
            <w:div w:id="1687517234">
              <w:marLeft w:val="0"/>
              <w:marRight w:val="0"/>
              <w:marTop w:val="0"/>
              <w:marBottom w:val="0"/>
              <w:divBdr>
                <w:top w:val="none" w:sz="0" w:space="0" w:color="auto"/>
                <w:left w:val="none" w:sz="0" w:space="0" w:color="auto"/>
                <w:bottom w:val="none" w:sz="0" w:space="0" w:color="auto"/>
                <w:right w:val="none" w:sz="0" w:space="0" w:color="auto"/>
              </w:divBdr>
            </w:div>
            <w:div w:id="1929382106">
              <w:marLeft w:val="0"/>
              <w:marRight w:val="0"/>
              <w:marTop w:val="0"/>
              <w:marBottom w:val="0"/>
              <w:divBdr>
                <w:top w:val="none" w:sz="0" w:space="0" w:color="auto"/>
                <w:left w:val="none" w:sz="0" w:space="0" w:color="auto"/>
                <w:bottom w:val="none" w:sz="0" w:space="0" w:color="auto"/>
                <w:right w:val="none" w:sz="0" w:space="0" w:color="auto"/>
              </w:divBdr>
            </w:div>
            <w:div w:id="1943957322">
              <w:marLeft w:val="0"/>
              <w:marRight w:val="0"/>
              <w:marTop w:val="0"/>
              <w:marBottom w:val="0"/>
              <w:divBdr>
                <w:top w:val="none" w:sz="0" w:space="0" w:color="auto"/>
                <w:left w:val="none" w:sz="0" w:space="0" w:color="auto"/>
                <w:bottom w:val="none" w:sz="0" w:space="0" w:color="auto"/>
                <w:right w:val="none" w:sz="0" w:space="0" w:color="auto"/>
              </w:divBdr>
            </w:div>
            <w:div w:id="1958944555">
              <w:marLeft w:val="0"/>
              <w:marRight w:val="0"/>
              <w:marTop w:val="0"/>
              <w:marBottom w:val="0"/>
              <w:divBdr>
                <w:top w:val="none" w:sz="0" w:space="0" w:color="auto"/>
                <w:left w:val="none" w:sz="0" w:space="0" w:color="auto"/>
                <w:bottom w:val="none" w:sz="0" w:space="0" w:color="auto"/>
                <w:right w:val="none" w:sz="0" w:space="0" w:color="auto"/>
              </w:divBdr>
            </w:div>
            <w:div w:id="1997610192">
              <w:marLeft w:val="0"/>
              <w:marRight w:val="0"/>
              <w:marTop w:val="0"/>
              <w:marBottom w:val="0"/>
              <w:divBdr>
                <w:top w:val="none" w:sz="0" w:space="0" w:color="auto"/>
                <w:left w:val="none" w:sz="0" w:space="0" w:color="auto"/>
                <w:bottom w:val="none" w:sz="0" w:space="0" w:color="auto"/>
                <w:right w:val="none" w:sz="0" w:space="0" w:color="auto"/>
              </w:divBdr>
            </w:div>
            <w:div w:id="20504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CF120-61DC-4562-AA52-825DE2623F84}"/>
</file>

<file path=customXml/itemProps2.xml><?xml version="1.0" encoding="utf-8"?>
<ds:datastoreItem xmlns:ds="http://schemas.openxmlformats.org/officeDocument/2006/customXml" ds:itemID="{FF791361-75DE-435F-B28E-1578DB89E558}"/>
</file>

<file path=customXml/itemProps3.xml><?xml version="1.0" encoding="utf-8"?>
<ds:datastoreItem xmlns:ds="http://schemas.openxmlformats.org/officeDocument/2006/customXml" ds:itemID="{488B4210-36CF-47C2-8A63-8BEE82406CE9}"/>
</file>

<file path=docProps/app.xml><?xml version="1.0" encoding="utf-8"?>
<Properties xmlns="http://schemas.openxmlformats.org/officeDocument/2006/extended-properties" xmlns:vt="http://schemas.openxmlformats.org/officeDocument/2006/docPropsVTypes">
  <Template>Normal.dotm</Template>
  <TotalTime>10</TotalTime>
  <Pages>13</Pages>
  <Words>2425</Words>
  <Characters>13827</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KARAGIANNI, Maria</cp:lastModifiedBy>
  <cp:revision>5</cp:revision>
  <dcterms:created xsi:type="dcterms:W3CDTF">2021-01-04T15:33:00Z</dcterms:created>
  <dcterms:modified xsi:type="dcterms:W3CDTF">2021-01-18T17:01:00Z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