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FDD28C8" w14:textId="564BD755" w:rsidR="00704E6A" w:rsidRPr="00704E6A" w:rsidRDefault="00704E6A" w:rsidP="00D543FF">
      <w:pPr>
        <w:spacing w:after="0" w:line="240" w:lineRule="auto"/>
        <w:rPr>
          <w:rFonts w:ascii="Courier New" w:hAnsi="Courier New" w:cs="Courier New"/>
          <w:szCs w:val="20"/>
        </w:rPr>
      </w:pPr>
      <w:r>
        <w:rPr>
          <w:rFonts w:ascii="Courier New" w:hAnsi="Courier New"/>
        </w:rPr>
        <w:t>1. ------IND- 2020 0609 DK- DE- ------ 20201007 --- --- PROJET</w:t>
      </w:r>
    </w:p>
    <w:p w14:paraId="074DD47B" w14:textId="77777777" w:rsidR="00704E6A" w:rsidRPr="00704E6A" w:rsidRDefault="00704E6A" w:rsidP="00BB6654">
      <w:pPr>
        <w:autoSpaceDE w:val="0"/>
        <w:autoSpaceDN w:val="0"/>
        <w:adjustRightInd w:val="0"/>
        <w:spacing w:after="0" w:line="240" w:lineRule="auto"/>
        <w:jc w:val="center"/>
        <w:rPr>
          <w:rFonts w:eastAsia="TimesNewRomanPSMT" w:cstheme="minorHAnsi"/>
          <w:sz w:val="32"/>
          <w:szCs w:val="32"/>
        </w:rPr>
      </w:pPr>
    </w:p>
    <w:p w14:paraId="662C1B62" w14:textId="1C691B6D"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ENTWURF</w:t>
      </w:r>
    </w:p>
    <w:p w14:paraId="45236AA6"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p>
    <w:p w14:paraId="7ABF394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32"/>
          <w:szCs w:val="32"/>
        </w:rPr>
      </w:pPr>
      <w:r>
        <w:rPr>
          <w:sz w:val="32"/>
        </w:rPr>
        <w:t>Entwurf einer Verordnung über ein Verbot der Werbung für elektronische Zigaretten und Nachfüllbehälter mit und ohne Nikotin, ihrer sichtbaren Platzierung und Präsentation usw.</w:t>
      </w:r>
    </w:p>
    <w:p w14:paraId="1505EE0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17"/>
          <w:szCs w:val="17"/>
        </w:rPr>
      </w:pPr>
    </w:p>
    <w:p w14:paraId="1F895F15"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411689D"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sz w:val="24"/>
        </w:rPr>
        <w:t>Gemäß § 18 a Absatz 4 des Gesetzes über elektronische Zigaretten usw., vgl. das Gesetz Nr. 426 vom 18. Mai 2016 über elektronische Zigaretten usw., geändert durch § 2 des Gesetzes Nr. 1558 vom 18. Dezember 2018 und § 3 des Gesetzes Nr. xx vom xx 2020, wird Folgendes erlassen:</w:t>
      </w:r>
    </w:p>
    <w:p w14:paraId="5AE753E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p>
    <w:p w14:paraId="7789E0E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p>
    <w:p w14:paraId="7F8551DB"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1</w:t>
      </w:r>
    </w:p>
    <w:p w14:paraId="38A2464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i/>
          <w:sz w:val="24"/>
          <w:szCs w:val="24"/>
        </w:rPr>
      </w:pPr>
      <w:r>
        <w:rPr>
          <w:i/>
          <w:sz w:val="24"/>
        </w:rPr>
        <w:t>Begriffsbestimmungen</w:t>
      </w:r>
    </w:p>
    <w:p w14:paraId="446E03A7"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 1. </w:t>
      </w:r>
      <w:r>
        <w:rPr>
          <w:sz w:val="24"/>
        </w:rPr>
        <w:t>In dieser Verordnung gelten folgende Begriffsbestimmungen:</w:t>
      </w:r>
    </w:p>
    <w:p w14:paraId="4B8F07EA" w14:textId="77777777" w:rsidR="00BB6654" w:rsidRPr="00D543FF" w:rsidRDefault="00BB6654" w:rsidP="00BB6654">
      <w:pPr>
        <w:autoSpaceDE w:val="0"/>
        <w:autoSpaceDN w:val="0"/>
        <w:adjustRightInd w:val="0"/>
        <w:spacing w:after="0" w:line="240" w:lineRule="auto"/>
        <w:rPr>
          <w:rFonts w:eastAsia="TimesNewRomanPSMT" w:cstheme="minorHAnsi"/>
          <w:sz w:val="24"/>
          <w:szCs w:val="24"/>
        </w:rPr>
      </w:pPr>
      <w:r>
        <w:rPr>
          <w:sz w:val="24"/>
        </w:rPr>
        <w:t>1) Elektronische Zigarette: Ein Erzeugnis, das zum Konsum nikotinhaltigen oder nicht nikotinhaltigen Dampfes mittels eines Mundstücks verwendet werden kann, oder jeder Bestandteil dieses Erzeugnisses, einschließlich einer Kartusche, eines nachfüllbaren Tanks, und des Geräts ohne Kartusche oder nachfüllbaren Tank. Elektronische Zigaretten können Einwegprodukte sein oder mittels eines Nachfüllbehälters oder eines Tanks nachfüllbar sein oder mit Einwegkartuschen nachgeladen werden.</w:t>
      </w:r>
    </w:p>
    <w:p w14:paraId="492F8B93"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2) Nachfüllbehälter mit Nikotin: Ein Behältnis, das nikotinhaltige Flüssigkeit enthält, die zum Nachfüllen einer elektronischen Zigarette mit Nikotin verwendet werden kann.</w:t>
      </w:r>
    </w:p>
    <w:p w14:paraId="400A7200" w14:textId="77777777" w:rsidR="00BB6654" w:rsidRPr="00704E6A" w:rsidRDefault="00BB6654" w:rsidP="00BB6654">
      <w:pPr>
        <w:autoSpaceDE w:val="0"/>
        <w:autoSpaceDN w:val="0"/>
        <w:adjustRightInd w:val="0"/>
        <w:spacing w:after="0" w:line="240" w:lineRule="auto"/>
        <w:rPr>
          <w:rFonts w:cstheme="minorHAnsi"/>
          <w:sz w:val="24"/>
          <w:szCs w:val="24"/>
        </w:rPr>
      </w:pPr>
      <w:r>
        <w:rPr>
          <w:sz w:val="24"/>
        </w:rPr>
        <w:t>3) Nachfüllbehälter ohne Nikotin: Ein Behältnis, das Flüssigkeit ohne Nikotin enthält, die zum Nachfüllen einer elektronischen Zigarette ohne Nikotin verwendet werden kann.</w:t>
      </w:r>
    </w:p>
    <w:p w14:paraId="6BC43D8B"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6279EBA4"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2</w:t>
      </w:r>
    </w:p>
    <w:p w14:paraId="7A51CD03"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 xml:space="preserve">Werbung </w:t>
      </w:r>
    </w:p>
    <w:p w14:paraId="2F32F582"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51015B2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 2. </w:t>
      </w:r>
      <w:r>
        <w:rPr>
          <w:sz w:val="24"/>
        </w:rPr>
        <w:t>Jede Form von Werbung für elektronische Zigaretten und Nachfüllbehälter mit und ohne Nikotin ist verboten, vgl. § 16 Absatz 1 des Gesetzes über elektronische Zigaretten usw.</w:t>
      </w:r>
    </w:p>
    <w:p w14:paraId="3C13130E"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42CECDC9"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Absatz 2</w:t>
      </w:r>
      <w:r>
        <w:rPr>
          <w:sz w:val="24"/>
        </w:rPr>
        <w:t>. Das Werbeverbot nach Absatz 1 gilt für Folgendes:</w:t>
      </w:r>
    </w:p>
    <w:p w14:paraId="12B97FB9"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Verwendung von Namen, Marken, Symbolen oder anderen Zeichen, die hauptsächlich für elektronische Zigaretten und Nachfüllbehälter bekannt sind, in Werbung für andere Waren und Dienstleistungen.</w:t>
      </w:r>
    </w:p>
    <w:p w14:paraId="71659EAA"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Vermarktung von elektronischen Zigaretten und Nachfüllbehältern mithilfe von Namen, Marken, Symbolen oder anderen Zeichen, die als Marke für andere Waren und Dienstleistungen bekannt sind oder verwendet werden.</w:t>
      </w:r>
    </w:p>
    <w:p w14:paraId="6284E46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Vermarktung von elektronischen Zigaretten und Nachfüllbehältern mithilfe von Namen, Marken, Symbolen, Figuren oder dergleichen, die sich hauptsächlich an Kinder und Jugendliche unter 18 Jahren richten.</w:t>
      </w:r>
    </w:p>
    <w:p w14:paraId="1F3A4A90" w14:textId="77777777" w:rsidR="00BB6654" w:rsidRPr="00A02E60" w:rsidRDefault="00BB6654" w:rsidP="00BB6654">
      <w:pPr>
        <w:autoSpaceDE w:val="0"/>
        <w:autoSpaceDN w:val="0"/>
        <w:adjustRightInd w:val="0"/>
        <w:spacing w:after="0" w:line="240" w:lineRule="auto"/>
        <w:rPr>
          <w:rFonts w:eastAsia="TimesNewRomanPSMT" w:cstheme="minorHAnsi"/>
          <w:spacing w:val="-4"/>
          <w:sz w:val="24"/>
          <w:szCs w:val="24"/>
        </w:rPr>
      </w:pPr>
      <w:r w:rsidRPr="00A02E60">
        <w:rPr>
          <w:spacing w:val="-4"/>
          <w:sz w:val="24"/>
        </w:rPr>
        <w:lastRenderedPageBreak/>
        <w:t>4) Verwendung von Layouts, Gestaltungen oder bestimmten Farbkombinationen, die mit bestimmten elektronischen Zigaretten und Nachfüllbehältern mit und ohne Nikotin verbunden werden.</w:t>
      </w:r>
    </w:p>
    <w:p w14:paraId="1A4B2A5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5) Verwendung von leicht erkennbaren elektronischen Zigaretten und Nachfüllbehältern in Werbung für andere Waren und Dienstleistungen.</w:t>
      </w:r>
    </w:p>
    <w:p w14:paraId="50A31B26"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i/>
          <w:sz w:val="24"/>
        </w:rPr>
        <w:t xml:space="preserve">Absatz 3. </w:t>
      </w:r>
      <w:r>
        <w:rPr>
          <w:sz w:val="24"/>
        </w:rPr>
        <w:t>Das Verbot gemäß Absatz 1 gilt jedoch nicht für Folgendes:</w:t>
      </w:r>
    </w:p>
    <w:p w14:paraId="1C5563B6"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1) Mitteilungen, die sich ausschließlich an Fachleute innerhalb der Branche richten.</w:t>
      </w:r>
    </w:p>
    <w:p w14:paraId="12DF0DF8"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2) Die Verwendung eines Namens, der vor dem 7. Juni 2016 sowohl für elektronische Zigaretten und Nachfüllbehälter als auch für andere Waren oder Dienstleistungen zwecks Werbung für diese anderen Produkte verwendet worden ist, sofern der Name eine Form aufweist, die ihn deutlich vom Erscheinungsbild des Namens auf der elektronischen Zigarette und dem Nachfüllbehälter unterscheidet.</w:t>
      </w:r>
    </w:p>
    <w:p w14:paraId="12279633"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sz w:val="24"/>
        </w:rPr>
        <w:t>3) Die Verwendung eines im Zusammenhang mit elektronischen Zigaretten bekannten Namens in der Werbung für andere Waren und Dienstleistungen, wenn die andere Ware oder Dienstleistung nur in einem begrenzten geografischen Gebiet vermarktet wird.</w:t>
      </w:r>
    </w:p>
    <w:p w14:paraId="13B9D15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AA17E0D"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3</w:t>
      </w:r>
    </w:p>
    <w:p w14:paraId="006DAB7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Verbot der sichtbaren Platzierung und Präsentation</w:t>
      </w:r>
    </w:p>
    <w:p w14:paraId="0A56C50D"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DD243A3" w14:textId="77777777" w:rsidR="00BB6654" w:rsidRPr="00D543FF"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 3. </w:t>
      </w:r>
      <w:r>
        <w:rPr>
          <w:sz w:val="24"/>
        </w:rPr>
        <w:t xml:space="preserve">Die sichtbare Platzierung und Präsentation von elektronischen Zigaretten und Nachfüllbehältern mit und ohne Nikotin an Verkaufsstellen, auch im Internet, ist verboten. </w:t>
      </w:r>
    </w:p>
    <w:p w14:paraId="4679A73C" w14:textId="77777777" w:rsidR="00BB6654" w:rsidRPr="00704E6A" w:rsidRDefault="00BB6654" w:rsidP="00704E6A">
      <w:pPr>
        <w:keepNext/>
        <w:keepLines/>
        <w:autoSpaceDE w:val="0"/>
        <w:autoSpaceDN w:val="0"/>
        <w:adjustRightInd w:val="0"/>
        <w:spacing w:after="0" w:line="240" w:lineRule="auto"/>
        <w:rPr>
          <w:rStyle w:val="tlid-translation"/>
          <w:rFonts w:ascii="Times New Roman" w:hAnsi="Times New Roman" w:cs="Times New Roman"/>
          <w:color w:val="000000" w:themeColor="text1"/>
          <w:sz w:val="23"/>
          <w:szCs w:val="23"/>
        </w:rPr>
      </w:pPr>
    </w:p>
    <w:p w14:paraId="441170E1" w14:textId="77777777" w:rsidR="00BB6654" w:rsidRPr="00704E6A" w:rsidRDefault="00BB6654" w:rsidP="00BB6654">
      <w:pPr>
        <w:rPr>
          <w:rFonts w:eastAsia="TimesNewRomanPSMT" w:cstheme="minorHAnsi"/>
          <w:sz w:val="24"/>
          <w:szCs w:val="24"/>
        </w:rPr>
      </w:pPr>
      <w:r>
        <w:rPr>
          <w:i/>
          <w:sz w:val="24"/>
        </w:rPr>
        <w:t xml:space="preserve">Absatz 2. </w:t>
      </w:r>
      <w:r>
        <w:rPr>
          <w:sz w:val="24"/>
        </w:rPr>
        <w:t xml:space="preserve">Waren, die dazu bestimmt sind, zusammen mit Waren gemäß Absatz 1 verwendet zu werden, fallen ebenfalls unter das Verbot nach Absatz 1. </w:t>
      </w:r>
    </w:p>
    <w:p w14:paraId="6C243789" w14:textId="77777777" w:rsidR="00BB6654" w:rsidRPr="00704E6A" w:rsidRDefault="00BB6654" w:rsidP="00BB6654">
      <w:pPr>
        <w:rPr>
          <w:rFonts w:cstheme="minorHAnsi"/>
          <w:sz w:val="24"/>
          <w:szCs w:val="24"/>
        </w:rPr>
      </w:pPr>
      <w:r>
        <w:rPr>
          <w:i/>
          <w:sz w:val="24"/>
        </w:rPr>
        <w:t>Absatz 3</w:t>
      </w:r>
      <w:r>
        <w:rPr>
          <w:sz w:val="24"/>
        </w:rPr>
        <w:t>. Das Verbot nach Absatz 2 gilt unter anderem für Ladegeräte, leere Nachfüllbehälter, Verpackungen, Batterien und Aromastoffe. Das Verbot nach Absatz 2 gilt nicht für Produkte mit allgemeinerem Verwendungszweck, sofern sie nicht speziell unter Bezugnahme auf elektronische Zigaretten oder Nachfüllbehälter mit und ohne Nikotin gestaltet oder vermarktet werden.</w:t>
      </w:r>
    </w:p>
    <w:p w14:paraId="44736DC4" w14:textId="77777777" w:rsidR="00BB6654" w:rsidRPr="00704E6A" w:rsidRDefault="00BB6654" w:rsidP="00704E6A">
      <w:pPr>
        <w:keepNext/>
        <w:keepLines/>
        <w:rPr>
          <w:rStyle w:val="tlid-translation"/>
          <w:rFonts w:cstheme="minorHAnsi"/>
          <w:color w:val="000000" w:themeColor="text1"/>
          <w:sz w:val="24"/>
          <w:szCs w:val="24"/>
        </w:rPr>
      </w:pPr>
      <w:r>
        <w:rPr>
          <w:i/>
          <w:sz w:val="24"/>
        </w:rPr>
        <w:t xml:space="preserve">Absatz 4. </w:t>
      </w:r>
      <w:r>
        <w:rPr>
          <w:sz w:val="24"/>
        </w:rPr>
        <w:t>Bei Einhaltung des Verbots nach Absatz 1 und 2 ist es nicht erlaubt,</w:t>
      </w:r>
    </w:p>
    <w:p w14:paraId="1B46E0BB" w14:textId="77777777"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 xml:space="preserve">direkt oder indirekt für elektronische Zigaretten und Nachfüllbehälter mit und ohne Nikotin zu werben oder darüber zu informieren, dass diese an der Verkaufsstelle erhältlich sind, </w:t>
      </w:r>
    </w:p>
    <w:p w14:paraId="09282853" w14:textId="77777777"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 xml:space="preserve">Abbildungen, Bilder, Farben, Logos, Symbole oder dergleichen zu verwenden, die beim Verbraucher den Eindruck erwecken können, dass auf Produkte oder Produktkategorien Bezug genommen wird, die unter Absatz 1 und 2 fallen, oder den Eindruck erwecken, dass solche Produkte einen gesundheitlichen Nutzen haben, weniger schädlich als andere Produkte seien, als Raucherentwöhnungsmittel dienen oder sonstige positive Auswirkungen oder Vorteile haben, oder </w:t>
      </w:r>
    </w:p>
    <w:p w14:paraId="649FA914" w14:textId="693EE4C4" w:rsidR="00BB6654" w:rsidRPr="00704E6A" w:rsidRDefault="00BB6654" w:rsidP="00BB6654">
      <w:pPr>
        <w:pStyle w:val="ListParagraph"/>
        <w:numPr>
          <w:ilvl w:val="0"/>
          <w:numId w:val="4"/>
        </w:numPr>
        <w:rPr>
          <w:rStyle w:val="tlid-translation"/>
          <w:rFonts w:cstheme="minorHAnsi"/>
          <w:sz w:val="24"/>
          <w:szCs w:val="24"/>
        </w:rPr>
      </w:pPr>
      <w:r>
        <w:rPr>
          <w:rStyle w:val="tlid-translation"/>
          <w:sz w:val="24"/>
        </w:rPr>
        <w:t>solche Produkte durch Farbe, Beleuchtung oder dergleichen gegenüber der übrigen Verkaufsstelle hervorzuheben.</w:t>
      </w:r>
    </w:p>
    <w:p w14:paraId="5C26558E"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45AD1B00"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lastRenderedPageBreak/>
        <w:t>Kapitel 4</w:t>
      </w:r>
    </w:p>
    <w:p w14:paraId="1CF1B6D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Neutrale Informationen zu Waren und Preisen</w:t>
      </w:r>
    </w:p>
    <w:p w14:paraId="00009999"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p>
    <w:p w14:paraId="3211323D"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b/>
          <w:sz w:val="24"/>
        </w:rPr>
        <w:t xml:space="preserve">§ 4. </w:t>
      </w:r>
      <w:r>
        <w:rPr>
          <w:sz w:val="24"/>
        </w:rPr>
        <w:t>Verkaufsstellen können einem Käufer neutrale Informationen darüber bereitstellen, welche elektronischen Zigaretten und Nachfüllbehälter mit und ohne Nikotin an der Verkaufsstelle zu welchem Preis verkauft werden.</w:t>
      </w:r>
    </w:p>
    <w:p w14:paraId="58C115B8"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Absatz 2.</w:t>
      </w:r>
      <w:r>
        <w:rPr>
          <w:sz w:val="24"/>
        </w:rPr>
        <w:t xml:space="preserve"> Zu den gemäß Absatz 1 zulässigen Informationen gehören:</w:t>
      </w:r>
    </w:p>
    <w:p w14:paraId="026B0705" w14:textId="30B4BDFF" w:rsidR="00BB6654" w:rsidRPr="00704E6A" w:rsidRDefault="0099201C" w:rsidP="00BB6654">
      <w:pPr>
        <w:pStyle w:val="ListParagraph"/>
        <w:numPr>
          <w:ilvl w:val="0"/>
          <w:numId w:val="1"/>
        </w:numPr>
        <w:autoSpaceDE w:val="0"/>
        <w:autoSpaceDN w:val="0"/>
        <w:adjustRightInd w:val="0"/>
        <w:spacing w:after="0" w:line="240" w:lineRule="auto"/>
        <w:rPr>
          <w:rFonts w:cstheme="minorHAnsi"/>
          <w:sz w:val="24"/>
          <w:szCs w:val="24"/>
        </w:rPr>
      </w:pPr>
      <w:r>
        <w:rPr>
          <w:sz w:val="24"/>
        </w:rPr>
        <w:t xml:space="preserve">Produktmarken und Produktnamen, </w:t>
      </w:r>
    </w:p>
    <w:p w14:paraId="5EF8EFC1" w14:textId="411F2B36"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 xml:space="preserve">Anzahl, Gewicht und Volumen sowie </w:t>
      </w:r>
    </w:p>
    <w:p w14:paraId="0F12AE03" w14:textId="77777777" w:rsidR="00BB6654" w:rsidRPr="00704E6A" w:rsidRDefault="00BB6654" w:rsidP="00BB6654">
      <w:pPr>
        <w:pStyle w:val="ListParagraph"/>
        <w:numPr>
          <w:ilvl w:val="0"/>
          <w:numId w:val="1"/>
        </w:numPr>
        <w:autoSpaceDE w:val="0"/>
        <w:autoSpaceDN w:val="0"/>
        <w:adjustRightInd w:val="0"/>
        <w:spacing w:after="0" w:line="240" w:lineRule="auto"/>
        <w:rPr>
          <w:rFonts w:cstheme="minorHAnsi"/>
          <w:sz w:val="24"/>
          <w:szCs w:val="24"/>
        </w:rPr>
      </w:pPr>
      <w:r>
        <w:rPr>
          <w:sz w:val="24"/>
        </w:rPr>
        <w:t>Preise.</w:t>
      </w:r>
    </w:p>
    <w:p w14:paraId="5AAA6CF9" w14:textId="77777777" w:rsidR="00BB6654" w:rsidRPr="00704E6A" w:rsidRDefault="00BB6654" w:rsidP="00BB6654">
      <w:pPr>
        <w:autoSpaceDE w:val="0"/>
        <w:autoSpaceDN w:val="0"/>
        <w:adjustRightInd w:val="0"/>
        <w:spacing w:after="0" w:line="240" w:lineRule="auto"/>
        <w:rPr>
          <w:rFonts w:cstheme="minorHAnsi"/>
          <w:sz w:val="24"/>
          <w:szCs w:val="24"/>
        </w:rPr>
      </w:pPr>
    </w:p>
    <w:p w14:paraId="1AA50F0B" w14:textId="77777777" w:rsidR="0099201C" w:rsidRPr="00704E6A" w:rsidRDefault="0099201C" w:rsidP="00704E6A">
      <w:pPr>
        <w:keepNext/>
        <w:keepLines/>
        <w:autoSpaceDE w:val="0"/>
        <w:autoSpaceDN w:val="0"/>
        <w:adjustRightInd w:val="0"/>
        <w:spacing w:after="0" w:line="240" w:lineRule="auto"/>
        <w:rPr>
          <w:rFonts w:cstheme="minorHAnsi"/>
          <w:sz w:val="24"/>
          <w:szCs w:val="24"/>
        </w:rPr>
      </w:pPr>
      <w:r>
        <w:rPr>
          <w:i/>
          <w:sz w:val="24"/>
        </w:rPr>
        <w:t xml:space="preserve">Absatz 3. </w:t>
      </w:r>
      <w:r>
        <w:rPr>
          <w:sz w:val="24"/>
        </w:rPr>
        <w:t>Die Informationen gemäß Absatz 2 sind in einer neutralen Liste anzugeben. Die Informationen der Liste müssen in schwarzer Schrift auf einem weißen DIN-A4-Blatt aufgeführt sein, das keine Abbildungen, Bilder, Fettschrift, Farben, Logos, Symbole und keinen sonstigen Text enthalten darf, vgl. jedoch Absatz 4. Keine Information in der Liste darf hervorgehoben sein, außerdem sind die Informationen</w:t>
      </w:r>
    </w:p>
    <w:p w14:paraId="493ED696" w14:textId="16CC6D2D"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in alphabetischer Reihenfolge nach der Produktmarke aufzuführen,</w:t>
      </w:r>
    </w:p>
    <w:p w14:paraId="0ABB1E2C" w14:textId="48624B42"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in folgender Reihenfolge anzugeben: Produktmarke, Produktname, Anzahl, Gewicht und Volumen und Preis,</w:t>
      </w:r>
    </w:p>
    <w:p w14:paraId="4781441E"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sz w:val="24"/>
          <w:szCs w:val="24"/>
        </w:rPr>
      </w:pPr>
      <w:r>
        <w:rPr>
          <w:sz w:val="24"/>
        </w:rPr>
        <w:t xml:space="preserve">in der Schriftart Helvetica in einer Schriftgröße bis zu 14 pt darzustellen und </w:t>
      </w:r>
    </w:p>
    <w:p w14:paraId="451F0D56" w14:textId="77777777" w:rsidR="0099201C" w:rsidRPr="00704E6A" w:rsidRDefault="0099201C" w:rsidP="0099201C">
      <w:pPr>
        <w:pStyle w:val="ListParagraph"/>
        <w:numPr>
          <w:ilvl w:val="0"/>
          <w:numId w:val="5"/>
        </w:numPr>
        <w:autoSpaceDE w:val="0"/>
        <w:autoSpaceDN w:val="0"/>
        <w:adjustRightInd w:val="0"/>
        <w:spacing w:after="0" w:line="240" w:lineRule="auto"/>
        <w:rPr>
          <w:rFonts w:cstheme="minorHAnsi"/>
          <w:i/>
          <w:sz w:val="24"/>
          <w:szCs w:val="24"/>
        </w:rPr>
      </w:pPr>
      <w:r>
        <w:rPr>
          <w:sz w:val="24"/>
        </w:rPr>
        <w:t>linksbündig auszurichten.</w:t>
      </w:r>
    </w:p>
    <w:p w14:paraId="5FC1443B" w14:textId="21DE1CD2" w:rsidR="00BB6654" w:rsidRPr="00704E6A" w:rsidRDefault="00BB6654" w:rsidP="0099201C">
      <w:pPr>
        <w:autoSpaceDE w:val="0"/>
        <w:autoSpaceDN w:val="0"/>
        <w:adjustRightInd w:val="0"/>
        <w:spacing w:after="0" w:line="240" w:lineRule="auto"/>
        <w:rPr>
          <w:rFonts w:cstheme="minorHAnsi"/>
          <w:i/>
          <w:sz w:val="24"/>
          <w:szCs w:val="24"/>
        </w:rPr>
      </w:pPr>
    </w:p>
    <w:p w14:paraId="462AE957"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Absatz 4. </w:t>
      </w:r>
      <w:r>
        <w:rPr>
          <w:sz w:val="24"/>
        </w:rPr>
        <w:t xml:space="preserve">Die neutrale Liste gemäß Absatz 3 muss vom Gesundheitsamt erarbeitete Informationen zur Altersgrenze für den Verkauf von elektronischen Zigaretten und Nachfüllbehältern mit und ohne Nikotin enthalten, vgl. § 15 Absatz 1 des Gesetzes über elektronische Zigaretten usw. </w:t>
      </w:r>
    </w:p>
    <w:p w14:paraId="77468B97" w14:textId="77777777" w:rsidR="00BB6654" w:rsidRPr="00704E6A" w:rsidRDefault="00BB6654" w:rsidP="00BB6654">
      <w:pPr>
        <w:autoSpaceDE w:val="0"/>
        <w:autoSpaceDN w:val="0"/>
        <w:adjustRightInd w:val="0"/>
        <w:spacing w:after="0" w:line="240" w:lineRule="auto"/>
        <w:rPr>
          <w:rFonts w:cstheme="minorHAnsi"/>
          <w:sz w:val="24"/>
          <w:szCs w:val="24"/>
        </w:rPr>
      </w:pPr>
    </w:p>
    <w:p w14:paraId="686609A7" w14:textId="4DC61D01" w:rsidR="00BB6654" w:rsidRPr="00A02E60" w:rsidRDefault="0054510B" w:rsidP="00BB6654">
      <w:pPr>
        <w:autoSpaceDE w:val="0"/>
        <w:autoSpaceDN w:val="0"/>
        <w:adjustRightInd w:val="0"/>
        <w:spacing w:after="0" w:line="240" w:lineRule="auto"/>
        <w:rPr>
          <w:rFonts w:cstheme="minorHAnsi"/>
          <w:i/>
          <w:spacing w:val="-4"/>
          <w:sz w:val="24"/>
          <w:szCs w:val="24"/>
        </w:rPr>
      </w:pPr>
      <w:r w:rsidRPr="00A02E60">
        <w:rPr>
          <w:i/>
          <w:spacing w:val="-4"/>
          <w:sz w:val="24"/>
        </w:rPr>
        <w:t xml:space="preserve">Absatz 5. </w:t>
      </w:r>
      <w:r w:rsidRPr="00A02E60">
        <w:rPr>
          <w:spacing w:val="-4"/>
          <w:sz w:val="24"/>
        </w:rPr>
        <w:t>Jeder Ware in der neutralen Liste gemäß Absatz 3 kann eine Nummer zugewiesen werden.</w:t>
      </w:r>
    </w:p>
    <w:p w14:paraId="2D8D37CA" w14:textId="77777777" w:rsidR="00BB6654" w:rsidRPr="00704E6A" w:rsidRDefault="00BB6654" w:rsidP="00BB6654">
      <w:pPr>
        <w:autoSpaceDE w:val="0"/>
        <w:autoSpaceDN w:val="0"/>
        <w:adjustRightInd w:val="0"/>
        <w:spacing w:after="0" w:line="240" w:lineRule="auto"/>
        <w:rPr>
          <w:rFonts w:cstheme="minorHAnsi"/>
          <w:sz w:val="24"/>
          <w:szCs w:val="24"/>
        </w:rPr>
      </w:pPr>
    </w:p>
    <w:p w14:paraId="1DA21E58" w14:textId="44539B09" w:rsidR="00BB6654" w:rsidRPr="00704E6A" w:rsidRDefault="0054510B" w:rsidP="00BB6654">
      <w:pPr>
        <w:autoSpaceDE w:val="0"/>
        <w:autoSpaceDN w:val="0"/>
        <w:adjustRightInd w:val="0"/>
        <w:spacing w:after="0" w:line="240" w:lineRule="auto"/>
        <w:rPr>
          <w:rFonts w:cstheme="minorHAnsi"/>
          <w:sz w:val="24"/>
          <w:szCs w:val="24"/>
        </w:rPr>
      </w:pPr>
      <w:r>
        <w:rPr>
          <w:i/>
          <w:sz w:val="24"/>
        </w:rPr>
        <w:t>Absatz 6.</w:t>
      </w:r>
      <w:r>
        <w:rPr>
          <w:sz w:val="24"/>
        </w:rPr>
        <w:t xml:space="preserve"> Die neutrale Liste gemäß Absatz 3 kann in eine oder mehrere der folgenden Kategorien gegliedert werden: „E-Zigarette“, „Nachfüllbehälter mit E-Liquid“, „Kombipackung“ und „Sonstiges“. Ein Produkt muss in der passenden Kategorie aufgeführt sein. </w:t>
      </w:r>
    </w:p>
    <w:p w14:paraId="261EF89E" w14:textId="77777777" w:rsidR="00BB6654" w:rsidRPr="00704E6A" w:rsidRDefault="00BB6654" w:rsidP="00BB6654">
      <w:pPr>
        <w:autoSpaceDE w:val="0"/>
        <w:autoSpaceDN w:val="0"/>
        <w:adjustRightInd w:val="0"/>
        <w:spacing w:after="0" w:line="240" w:lineRule="auto"/>
        <w:rPr>
          <w:rFonts w:cstheme="minorHAnsi"/>
          <w:i/>
          <w:sz w:val="24"/>
          <w:szCs w:val="24"/>
        </w:rPr>
      </w:pPr>
    </w:p>
    <w:p w14:paraId="0D3481DE" w14:textId="70726CE6" w:rsidR="00BB6654" w:rsidRPr="00A02E60" w:rsidRDefault="00BB6654" w:rsidP="00BB6654">
      <w:pPr>
        <w:autoSpaceDE w:val="0"/>
        <w:autoSpaceDN w:val="0"/>
        <w:adjustRightInd w:val="0"/>
        <w:spacing w:after="0" w:line="240" w:lineRule="auto"/>
        <w:rPr>
          <w:rFonts w:cstheme="minorHAnsi"/>
          <w:spacing w:val="-4"/>
          <w:sz w:val="24"/>
          <w:szCs w:val="24"/>
        </w:rPr>
      </w:pPr>
      <w:r w:rsidRPr="00A02E60">
        <w:rPr>
          <w:i/>
          <w:spacing w:val="-4"/>
          <w:sz w:val="24"/>
        </w:rPr>
        <w:t>Absatz 7.</w:t>
      </w:r>
      <w:r w:rsidRPr="00A02E60">
        <w:rPr>
          <w:spacing w:val="-4"/>
          <w:sz w:val="24"/>
        </w:rPr>
        <w:t xml:space="preserve"> An stationären Verkaufsstellen kann die neutrale Liste im Sinne von Absatz 3 auf Verlangen des Käufers vorgelegt oder bei einer mit Personal besetzten Verkaufskasse angebracht werden.</w:t>
      </w:r>
    </w:p>
    <w:p w14:paraId="3266EB8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316677A1"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5</w:t>
      </w:r>
    </w:p>
    <w:p w14:paraId="4308304F" w14:textId="77777777" w:rsidR="00BB6654" w:rsidRPr="00704E6A" w:rsidRDefault="00BB6654" w:rsidP="00704E6A">
      <w:pPr>
        <w:keepNext/>
        <w:keepLines/>
        <w:jc w:val="center"/>
        <w:rPr>
          <w:rFonts w:cstheme="minorHAnsi"/>
          <w:i/>
          <w:iCs/>
          <w:sz w:val="24"/>
          <w:szCs w:val="24"/>
        </w:rPr>
      </w:pPr>
      <w:r>
        <w:rPr>
          <w:i/>
          <w:sz w:val="24"/>
        </w:rPr>
        <w:t>Verkauf über digitale Lösungen und online</w:t>
      </w:r>
    </w:p>
    <w:p w14:paraId="2C3211DB" w14:textId="77777777" w:rsidR="00BB6654" w:rsidRPr="00704E6A" w:rsidRDefault="00BB6654" w:rsidP="00BB6654">
      <w:pPr>
        <w:autoSpaceDE w:val="0"/>
        <w:autoSpaceDN w:val="0"/>
        <w:adjustRightInd w:val="0"/>
        <w:spacing w:after="0" w:line="240" w:lineRule="auto"/>
        <w:rPr>
          <w:rFonts w:cstheme="minorHAnsi"/>
          <w:sz w:val="24"/>
          <w:szCs w:val="24"/>
        </w:rPr>
      </w:pPr>
      <w:r>
        <w:rPr>
          <w:b/>
          <w:sz w:val="24"/>
        </w:rPr>
        <w:t>§ 5.</w:t>
      </w:r>
      <w:r>
        <w:rPr>
          <w:sz w:val="24"/>
        </w:rPr>
        <w:t xml:space="preserve"> Das Verbot der sichtbaren Platzierung und Präsentation von elektronischen Zigaretten und Nachfüllbehältern mit und ohne Nikotin gemäß § 3 Absatz 1 und 2 gilt auch beim Verkauf über digitale Lösungen, wie Einzelhandelswebsites, Webshops, Firmenwebsites oder Firmenseiten in sozialen Medien und Apps. </w:t>
      </w:r>
    </w:p>
    <w:p w14:paraId="17E3B928" w14:textId="77777777" w:rsidR="00BB6654" w:rsidRPr="00704E6A" w:rsidRDefault="00BB6654" w:rsidP="00BB6654">
      <w:pPr>
        <w:autoSpaceDE w:val="0"/>
        <w:autoSpaceDN w:val="0"/>
        <w:adjustRightInd w:val="0"/>
        <w:spacing w:after="0" w:line="240" w:lineRule="auto"/>
        <w:rPr>
          <w:rFonts w:cstheme="minorHAnsi"/>
          <w:i/>
          <w:sz w:val="24"/>
          <w:szCs w:val="24"/>
        </w:rPr>
      </w:pPr>
    </w:p>
    <w:p w14:paraId="1642E8A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 xml:space="preserve">Absatz 2. </w:t>
      </w:r>
      <w:r>
        <w:rPr>
          <w:sz w:val="24"/>
        </w:rPr>
        <w:t>Verkaufsstellen gemäß Absatz 1 können einem Käufer neutrale Informationen darüber bereitstellen, welche elektronischen Zigaretten und Nachfüllbehälter mit und ohne Nikotin an der Verkaufsstelle zu welchem Preis verkauft werden.</w:t>
      </w:r>
    </w:p>
    <w:p w14:paraId="1FE4468E" w14:textId="77777777" w:rsidR="00BB6654" w:rsidRPr="00704E6A" w:rsidRDefault="00BB6654" w:rsidP="00BB6654">
      <w:pPr>
        <w:autoSpaceDE w:val="0"/>
        <w:autoSpaceDN w:val="0"/>
        <w:adjustRightInd w:val="0"/>
        <w:spacing w:after="0" w:line="240" w:lineRule="auto"/>
        <w:rPr>
          <w:rFonts w:cstheme="minorHAnsi"/>
          <w:i/>
          <w:sz w:val="24"/>
          <w:szCs w:val="24"/>
        </w:rPr>
      </w:pPr>
    </w:p>
    <w:p w14:paraId="1373810B" w14:textId="77777777" w:rsidR="00BB6654" w:rsidRPr="00704E6A" w:rsidRDefault="00BB6654" w:rsidP="00704E6A">
      <w:pPr>
        <w:keepNext/>
        <w:keepLines/>
        <w:autoSpaceDE w:val="0"/>
        <w:autoSpaceDN w:val="0"/>
        <w:adjustRightInd w:val="0"/>
        <w:spacing w:after="0" w:line="240" w:lineRule="auto"/>
        <w:rPr>
          <w:rFonts w:cstheme="minorHAnsi"/>
          <w:sz w:val="24"/>
          <w:szCs w:val="24"/>
        </w:rPr>
      </w:pPr>
      <w:r>
        <w:rPr>
          <w:i/>
          <w:sz w:val="24"/>
        </w:rPr>
        <w:t>Absatz 3.</w:t>
      </w:r>
      <w:r>
        <w:rPr>
          <w:sz w:val="24"/>
        </w:rPr>
        <w:t xml:space="preserve"> Zu den gemäß Absatz 2 zulässigen Informationen gehören:</w:t>
      </w:r>
    </w:p>
    <w:p w14:paraId="512A3319"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 xml:space="preserve">Produktmarken und Produktnamen, </w:t>
      </w:r>
    </w:p>
    <w:p w14:paraId="5AF73772" w14:textId="5CC45315"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 xml:space="preserve">Anzahl, Gewicht und Volumen sowie </w:t>
      </w:r>
    </w:p>
    <w:p w14:paraId="591709CC" w14:textId="77777777" w:rsidR="00BB6654" w:rsidRPr="00704E6A" w:rsidRDefault="00BB6654" w:rsidP="00BB6654">
      <w:pPr>
        <w:pStyle w:val="ListParagraph"/>
        <w:numPr>
          <w:ilvl w:val="0"/>
          <w:numId w:val="6"/>
        </w:numPr>
        <w:autoSpaceDE w:val="0"/>
        <w:autoSpaceDN w:val="0"/>
        <w:adjustRightInd w:val="0"/>
        <w:spacing w:after="0" w:line="240" w:lineRule="auto"/>
        <w:rPr>
          <w:rFonts w:cstheme="minorHAnsi"/>
          <w:sz w:val="24"/>
          <w:szCs w:val="24"/>
        </w:rPr>
      </w:pPr>
      <w:r>
        <w:rPr>
          <w:sz w:val="24"/>
        </w:rPr>
        <w:t>Preise.</w:t>
      </w:r>
    </w:p>
    <w:p w14:paraId="63DFBAD6" w14:textId="77777777" w:rsidR="00BB6654" w:rsidRPr="00704E6A" w:rsidRDefault="00BB6654" w:rsidP="00BB6654">
      <w:pPr>
        <w:autoSpaceDE w:val="0"/>
        <w:autoSpaceDN w:val="0"/>
        <w:adjustRightInd w:val="0"/>
        <w:spacing w:after="0" w:line="240" w:lineRule="auto"/>
        <w:rPr>
          <w:rFonts w:cstheme="minorHAnsi"/>
          <w:i/>
          <w:sz w:val="24"/>
          <w:szCs w:val="24"/>
        </w:rPr>
      </w:pPr>
    </w:p>
    <w:p w14:paraId="4BA96F3C" w14:textId="77777777" w:rsidR="00D543FF" w:rsidRDefault="00BB6654" w:rsidP="007A2FDC">
      <w:pPr>
        <w:autoSpaceDE w:val="0"/>
        <w:autoSpaceDN w:val="0"/>
        <w:adjustRightInd w:val="0"/>
        <w:spacing w:after="0" w:line="240" w:lineRule="auto"/>
        <w:rPr>
          <w:rFonts w:cstheme="minorHAnsi"/>
          <w:sz w:val="24"/>
          <w:szCs w:val="24"/>
        </w:rPr>
      </w:pPr>
      <w:r>
        <w:rPr>
          <w:i/>
          <w:sz w:val="24"/>
        </w:rPr>
        <w:t xml:space="preserve">Absatz 4. </w:t>
      </w:r>
      <w:r>
        <w:rPr>
          <w:sz w:val="24"/>
        </w:rPr>
        <w:t>Informationen gemäß Absatz 3 dürfen nicht mit Abbildungen, Bildern, Farben, Logos, Symbolen oder sonstigem Text versehen oder davon begleitet sein. Dies gilt jedoch nicht für das Symbol für „In den Warenkorb legen“. Es dürfen keine Informationen hervorgehoben werden und die Informationen sind in Schwarz in derselben Schriftart und Schriftgröße darzustellen, die generell zur Präsentation von Produkten auf der Website verwendet wird.</w:t>
      </w:r>
    </w:p>
    <w:p w14:paraId="44E7930B" w14:textId="3E1D2C96" w:rsidR="007A2FDC" w:rsidRPr="00A02E60" w:rsidRDefault="007A2FDC" w:rsidP="007A2FDC">
      <w:pPr>
        <w:autoSpaceDE w:val="0"/>
        <w:autoSpaceDN w:val="0"/>
        <w:adjustRightInd w:val="0"/>
        <w:spacing w:after="0" w:line="240" w:lineRule="auto"/>
        <w:rPr>
          <w:rFonts w:cstheme="minorHAnsi"/>
          <w:spacing w:val="-4"/>
          <w:sz w:val="24"/>
          <w:szCs w:val="24"/>
        </w:rPr>
      </w:pPr>
      <w:r w:rsidRPr="00A02E60">
        <w:rPr>
          <w:i/>
          <w:spacing w:val="-4"/>
          <w:sz w:val="24"/>
        </w:rPr>
        <w:t>Absatz 5</w:t>
      </w:r>
      <w:r w:rsidRPr="00A02E60">
        <w:rPr>
          <w:spacing w:val="-4"/>
          <w:sz w:val="24"/>
        </w:rPr>
        <w:t xml:space="preserve">. Informationen gemäß Absatz 4 dürfen nicht den Eindruck erwecken, dass elektronische Zigaretten und Nachfüllbehälter mit und ohne Nikotin einen gesundheitlichen Nutzen haben, weniger schädlich als andere Produkte seien oder sonstige positive Auswirkungen oder Vorteile haben. </w:t>
      </w:r>
    </w:p>
    <w:p w14:paraId="78C8A825" w14:textId="77777777" w:rsidR="007A2FDC" w:rsidRPr="00704E6A" w:rsidRDefault="007A2FDC" w:rsidP="007A2FDC">
      <w:pPr>
        <w:autoSpaceDE w:val="0"/>
        <w:autoSpaceDN w:val="0"/>
        <w:adjustRightInd w:val="0"/>
        <w:spacing w:after="0" w:line="240" w:lineRule="auto"/>
        <w:rPr>
          <w:rFonts w:cstheme="minorHAnsi"/>
          <w:i/>
          <w:sz w:val="24"/>
          <w:szCs w:val="24"/>
        </w:rPr>
      </w:pPr>
    </w:p>
    <w:p w14:paraId="19C321F4" w14:textId="77777777" w:rsidR="00BB6654" w:rsidRPr="00704E6A" w:rsidRDefault="00BB6654" w:rsidP="00BB6654">
      <w:pPr>
        <w:autoSpaceDE w:val="0"/>
        <w:autoSpaceDN w:val="0"/>
        <w:adjustRightInd w:val="0"/>
        <w:spacing w:after="0" w:line="240" w:lineRule="auto"/>
        <w:rPr>
          <w:rFonts w:cstheme="minorHAnsi"/>
          <w:i/>
          <w:sz w:val="24"/>
          <w:szCs w:val="24"/>
        </w:rPr>
      </w:pPr>
    </w:p>
    <w:p w14:paraId="1958192B" w14:textId="77777777" w:rsidR="00BB6654" w:rsidRPr="00704E6A" w:rsidRDefault="00BB6654" w:rsidP="00BB6654">
      <w:pPr>
        <w:autoSpaceDE w:val="0"/>
        <w:autoSpaceDN w:val="0"/>
        <w:adjustRightInd w:val="0"/>
        <w:spacing w:after="0" w:line="240" w:lineRule="auto"/>
        <w:rPr>
          <w:rFonts w:cstheme="minorHAnsi"/>
          <w:i/>
          <w:sz w:val="24"/>
          <w:szCs w:val="24"/>
        </w:rPr>
      </w:pPr>
    </w:p>
    <w:p w14:paraId="63CA451C" w14:textId="07255785" w:rsidR="00BB6654" w:rsidRPr="00704E6A" w:rsidRDefault="00BB6654" w:rsidP="00BB6654">
      <w:pPr>
        <w:autoSpaceDE w:val="0"/>
        <w:autoSpaceDN w:val="0"/>
        <w:adjustRightInd w:val="0"/>
        <w:spacing w:after="0" w:line="240" w:lineRule="auto"/>
        <w:rPr>
          <w:rFonts w:cstheme="minorHAnsi"/>
          <w:sz w:val="24"/>
          <w:szCs w:val="24"/>
        </w:rPr>
      </w:pPr>
      <w:r>
        <w:rPr>
          <w:i/>
          <w:sz w:val="24"/>
        </w:rPr>
        <w:t>Absatz 6.</w:t>
      </w:r>
      <w:r>
        <w:rPr>
          <w:sz w:val="24"/>
        </w:rPr>
        <w:t xml:space="preserve"> Unter Absatz 1 fallende Verkaufsstellen, die elektronische Zigaretten und Nachfüllbehälter mit und ohne Nikotin verkaufen oder zu deren Kauf auffordern, dürfen Kunden oder Besuchern der Seite nicht die Möglichkeit geben, eine Rezension, Bewertung oder Ähnliches für unter Absatz 1 fallende Produkte abzugeben, wenn die Rezension usw. auf irgendeine Weise für den Rezensenten selbst oder andere sichtbar ist, die nicht in der Verkaufsstelle beschäftigt sind, die die Produkte verkauft. </w:t>
      </w:r>
    </w:p>
    <w:p w14:paraId="61CA2FBE"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24966D6F"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6</w:t>
      </w:r>
    </w:p>
    <w:p w14:paraId="39F0F3E5" w14:textId="77777777" w:rsidR="00BB6654" w:rsidRPr="00704E6A" w:rsidRDefault="00BB6654" w:rsidP="00704E6A">
      <w:pPr>
        <w:keepNext/>
        <w:keepLines/>
        <w:spacing w:line="240" w:lineRule="auto"/>
        <w:jc w:val="center"/>
        <w:rPr>
          <w:rFonts w:cstheme="minorHAnsi"/>
          <w:i/>
          <w:iCs/>
          <w:sz w:val="24"/>
          <w:szCs w:val="24"/>
        </w:rPr>
      </w:pPr>
      <w:r>
        <w:rPr>
          <w:i/>
          <w:sz w:val="24"/>
        </w:rPr>
        <w:t>Stationäre Verkaufsstellen, die auf den Verkauf von elektronischen Zigaretten und Nachfüllbehältern mit und ohne Nikotin spezialisiert sind</w:t>
      </w:r>
    </w:p>
    <w:p w14:paraId="6BC97759" w14:textId="77777777" w:rsidR="00BB6654" w:rsidRPr="00D543FF" w:rsidRDefault="00BB6654" w:rsidP="00BB6654">
      <w:pPr>
        <w:autoSpaceDE w:val="0"/>
        <w:autoSpaceDN w:val="0"/>
        <w:adjustRightInd w:val="0"/>
        <w:spacing w:after="0" w:line="240" w:lineRule="auto"/>
        <w:rPr>
          <w:rFonts w:cstheme="minorHAnsi"/>
          <w:sz w:val="24"/>
          <w:szCs w:val="24"/>
        </w:rPr>
      </w:pPr>
      <w:r>
        <w:rPr>
          <w:b/>
          <w:sz w:val="24"/>
        </w:rPr>
        <w:t xml:space="preserve">§ 6. </w:t>
      </w:r>
      <w:r>
        <w:rPr>
          <w:sz w:val="24"/>
        </w:rPr>
        <w:t xml:space="preserve">Das Verbot der sichtbaren Platzierung und Präsentation gemäß § 3 Absatz 1 und 2 gilt nicht für den Verkauf von elektronischen Zigaretten und Nachfüllbehältern mit und ohne Nikotin an stationären Verkaufsstellen, die auf den Verkauf dieser Produkte spezialisiert sind. </w:t>
      </w:r>
    </w:p>
    <w:p w14:paraId="2AF48566"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01AE5B79"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Absatz 2.</w:t>
      </w:r>
      <w:r>
        <w:rPr>
          <w:sz w:val="24"/>
        </w:rPr>
        <w:t xml:space="preserve"> Eine stationäre Verkaufsstelle gemäß Absatz 1 gilt als auf den Verkauf von elektronischen Zigaretten und Nachfüllbehältern mit und ohne Nikotin spezialisiert, wenn die Stelle ausschließlich oder hauptsächlich elektronische Zigaretten und Nachfüllbehälter mit und ohne Nikotin verkauft.</w:t>
      </w:r>
    </w:p>
    <w:p w14:paraId="18F7D407" w14:textId="77777777" w:rsidR="00BB6654" w:rsidRPr="00704E6A" w:rsidRDefault="00BB6654" w:rsidP="00BB6654">
      <w:pPr>
        <w:autoSpaceDE w:val="0"/>
        <w:autoSpaceDN w:val="0"/>
        <w:adjustRightInd w:val="0"/>
        <w:spacing w:after="0" w:line="240" w:lineRule="auto"/>
        <w:rPr>
          <w:rFonts w:cstheme="minorHAnsi"/>
          <w:i/>
          <w:sz w:val="24"/>
          <w:szCs w:val="24"/>
        </w:rPr>
      </w:pPr>
    </w:p>
    <w:p w14:paraId="768DC451" w14:textId="77777777" w:rsidR="00BB6654" w:rsidRPr="00704E6A" w:rsidRDefault="00BB6654" w:rsidP="00BB6654">
      <w:pPr>
        <w:autoSpaceDE w:val="0"/>
        <w:autoSpaceDN w:val="0"/>
        <w:adjustRightInd w:val="0"/>
        <w:spacing w:after="0" w:line="240" w:lineRule="auto"/>
        <w:rPr>
          <w:rFonts w:cstheme="minorHAnsi"/>
          <w:sz w:val="24"/>
          <w:szCs w:val="24"/>
        </w:rPr>
      </w:pPr>
      <w:r>
        <w:rPr>
          <w:i/>
          <w:sz w:val="24"/>
        </w:rPr>
        <w:t>Absatz 3.</w:t>
      </w:r>
      <w:r>
        <w:rPr>
          <w:sz w:val="24"/>
        </w:rPr>
        <w:t xml:space="preserve"> Die Ausnahme vom Verbot der sichtbaren Platzierung und Präsentation gemäß Absatz 1 gilt nur für elektronische Zigaretten und Nachfüllbehälter mit und ohne Nikotin. Verkauft die Verkaufsstelle andere Produkte oder Tabakerzeugnisse, Tabakersatzprodukte oder pflanzliche Raucherzeugnisse, fallen diese unter das Verbot gemäß § 3 Absatz 1 und 2 oder gemäß § 2 Absatz 1 und 2 der Verordnung über ein Verbot der sichtbaren Unterbringung und Präsentation usw. von Tabakerzeugnissen, Tabakersatzprodukten und pflanzlichen Raucherzeugnissen.</w:t>
      </w:r>
    </w:p>
    <w:p w14:paraId="37B15BFA" w14:textId="77777777" w:rsidR="00BB6654" w:rsidRPr="00704E6A" w:rsidRDefault="00BB6654" w:rsidP="00BB6654">
      <w:pPr>
        <w:autoSpaceDE w:val="0"/>
        <w:autoSpaceDN w:val="0"/>
        <w:adjustRightInd w:val="0"/>
        <w:spacing w:after="0" w:line="240" w:lineRule="auto"/>
        <w:rPr>
          <w:rFonts w:eastAsia="TimesNewRomanPSMT" w:cstheme="minorHAnsi"/>
          <w:i/>
          <w:sz w:val="24"/>
          <w:szCs w:val="24"/>
        </w:rPr>
      </w:pPr>
    </w:p>
    <w:p w14:paraId="2A2245BC" w14:textId="47BAB919" w:rsidR="00BB6654" w:rsidRPr="00704E6A" w:rsidRDefault="00BB6654" w:rsidP="00BB6654">
      <w:pPr>
        <w:autoSpaceDE w:val="0"/>
        <w:autoSpaceDN w:val="0"/>
        <w:adjustRightInd w:val="0"/>
        <w:spacing w:after="0" w:line="240" w:lineRule="auto"/>
        <w:rPr>
          <w:rFonts w:cstheme="minorHAnsi"/>
          <w:sz w:val="24"/>
          <w:szCs w:val="24"/>
        </w:rPr>
      </w:pPr>
      <w:r>
        <w:rPr>
          <w:i/>
          <w:sz w:val="24"/>
        </w:rPr>
        <w:lastRenderedPageBreak/>
        <w:t xml:space="preserve">Absatz 4. </w:t>
      </w:r>
      <w:r>
        <w:rPr>
          <w:sz w:val="24"/>
        </w:rPr>
        <w:t xml:space="preserve">Verkauft eine unter Absatz 1 fallende Verkaufsstelle elektronische Zigaretten und Nachfüllbehälter mit und ohne Nikotin über digitale Lösungen, wie Einzelhandelswebsites, Webshops, Firmenwebsites, Firmenseiten in sozialen Medien und Apps, fällt dies unter § 5. </w:t>
      </w:r>
    </w:p>
    <w:p w14:paraId="7FDA14CF" w14:textId="77777777" w:rsidR="00BB6654" w:rsidRPr="00704E6A" w:rsidRDefault="00BB6654" w:rsidP="00BB6654">
      <w:pPr>
        <w:autoSpaceDE w:val="0"/>
        <w:autoSpaceDN w:val="0"/>
        <w:adjustRightInd w:val="0"/>
        <w:spacing w:after="0" w:line="240" w:lineRule="auto"/>
        <w:rPr>
          <w:rFonts w:cstheme="minorHAnsi"/>
          <w:i/>
          <w:color w:val="000000" w:themeColor="text1"/>
          <w:sz w:val="24"/>
          <w:szCs w:val="24"/>
        </w:rPr>
      </w:pPr>
    </w:p>
    <w:p w14:paraId="6C5D4F65" w14:textId="77777777" w:rsidR="00BB6654" w:rsidRPr="00704E6A" w:rsidRDefault="00BB6654" w:rsidP="00704E6A">
      <w:pPr>
        <w:keepNext/>
        <w:keepLines/>
        <w:autoSpaceDE w:val="0"/>
        <w:autoSpaceDN w:val="0"/>
        <w:adjustRightInd w:val="0"/>
        <w:spacing w:after="0" w:line="240" w:lineRule="auto"/>
        <w:rPr>
          <w:rFonts w:cstheme="minorHAnsi"/>
          <w:color w:val="000000" w:themeColor="text1"/>
          <w:sz w:val="24"/>
          <w:szCs w:val="24"/>
        </w:rPr>
      </w:pPr>
      <w:r>
        <w:rPr>
          <w:i/>
          <w:color w:val="000000" w:themeColor="text1"/>
          <w:sz w:val="24"/>
        </w:rPr>
        <w:t>Absatz 5.</w:t>
      </w:r>
      <w:r>
        <w:rPr>
          <w:color w:val="000000" w:themeColor="text1"/>
          <w:sz w:val="24"/>
        </w:rPr>
        <w:t xml:space="preserve"> Einer unter Absatz 1 fallenden stationären Verkaufsstelle ist es nicht erlaubt, an der Verkaufsstelle, im Schaufenster oder an der Ladenfassade für elektronische Zigaretten und Nachfüllbehälter mit und ohne Nikotin zu werben, vgl. jedoch Absatz 6. Hierzu gehört auch,</w:t>
      </w:r>
    </w:p>
    <w:p w14:paraId="52BBBBD1" w14:textId="77777777" w:rsidR="00BB6654" w:rsidRPr="00704E6A" w:rsidRDefault="00BB6654" w:rsidP="00BB6654">
      <w:pPr>
        <w:pStyle w:val="ListParagraph"/>
        <w:numPr>
          <w:ilvl w:val="0"/>
          <w:numId w:val="2"/>
        </w:numPr>
        <w:autoSpaceDE w:val="0"/>
        <w:autoSpaceDN w:val="0"/>
        <w:adjustRightInd w:val="0"/>
        <w:spacing w:after="0" w:line="240" w:lineRule="auto"/>
        <w:ind w:left="709"/>
        <w:rPr>
          <w:rFonts w:cstheme="minorHAnsi"/>
          <w:color w:val="000000" w:themeColor="text1"/>
          <w:sz w:val="24"/>
          <w:szCs w:val="24"/>
        </w:rPr>
      </w:pPr>
      <w:r>
        <w:rPr>
          <w:sz w:val="24"/>
        </w:rPr>
        <w:t xml:space="preserve">ein bestimmtes Produkt, einen Firmennamen, einen Preis oder dergleichen für elektronische Zigaretten und Nachfüllbehälter mit und ohne Nikotin durch eine besondere Beleuchtung, Farben, das Hervorheben eines Produkts oder Namens auf einem Regal, hervorstechende Regale oder Bilder direkt oder indirekt hervorzuheben, oder </w:t>
      </w:r>
    </w:p>
    <w:p w14:paraId="072130F3" w14:textId="77777777" w:rsidR="00BB6654" w:rsidRPr="00D543FF" w:rsidRDefault="00BB6654" w:rsidP="00BB6654">
      <w:pPr>
        <w:pStyle w:val="ListParagraph"/>
        <w:numPr>
          <w:ilvl w:val="0"/>
          <w:numId w:val="2"/>
        </w:numPr>
        <w:spacing w:line="240" w:lineRule="auto"/>
        <w:ind w:left="709"/>
        <w:rPr>
          <w:rStyle w:val="tlid-translation"/>
          <w:rFonts w:cstheme="minorHAnsi"/>
          <w:sz w:val="24"/>
          <w:szCs w:val="24"/>
        </w:rPr>
      </w:pPr>
      <w:r>
        <w:rPr>
          <w:rStyle w:val="tlid-translation"/>
          <w:sz w:val="24"/>
        </w:rPr>
        <w:t xml:space="preserve">durch Text, Abbildungen, Bilder, Farben, Logos, Symbole oder dergleichen bei Käufern den Eindruck zu erwecken, dass eines oder mehrere Produkte einen gesundheitlichen Nutzen haben, weniger schädlich als andere Produkte seien, als Raucherentwöhnungsmittel dienen oder sonstige positive Auswirkungen oder Vorteile haben. </w:t>
      </w:r>
    </w:p>
    <w:p w14:paraId="1F5F7C99" w14:textId="77777777" w:rsidR="00BB6654" w:rsidRPr="00A02E60" w:rsidRDefault="00BB6654" w:rsidP="00BB6654">
      <w:pPr>
        <w:autoSpaceDE w:val="0"/>
        <w:autoSpaceDN w:val="0"/>
        <w:adjustRightInd w:val="0"/>
        <w:spacing w:after="0" w:line="240" w:lineRule="auto"/>
        <w:rPr>
          <w:rFonts w:eastAsia="TimesNewRomanPSMT" w:cstheme="minorHAnsi"/>
          <w:spacing w:val="-4"/>
          <w:sz w:val="24"/>
          <w:szCs w:val="24"/>
        </w:rPr>
      </w:pPr>
      <w:r w:rsidRPr="00A02E60">
        <w:rPr>
          <w:i/>
          <w:spacing w:val="-4"/>
          <w:sz w:val="24"/>
        </w:rPr>
        <w:t>Absatz 6</w:t>
      </w:r>
      <w:r w:rsidRPr="00A02E60">
        <w:rPr>
          <w:spacing w:val="-4"/>
          <w:sz w:val="24"/>
        </w:rPr>
        <w:t>. Der Name einer unter Absatz 1 fallenden stationären Verkaufsstelle darf in neutraler Gestaltung an der Ladenfassade angebracht sein. Der Name darf nicht selbst Werbewirkung haben.</w:t>
      </w:r>
    </w:p>
    <w:p w14:paraId="2D3BB467" w14:textId="77777777" w:rsidR="00BB6654" w:rsidRPr="00704E6A" w:rsidRDefault="00BB6654" w:rsidP="00BB6654">
      <w:pPr>
        <w:autoSpaceDE w:val="0"/>
        <w:autoSpaceDN w:val="0"/>
        <w:adjustRightInd w:val="0"/>
        <w:spacing w:after="0" w:line="240" w:lineRule="auto"/>
        <w:rPr>
          <w:rFonts w:eastAsia="TimesNewRomanPSMT"/>
        </w:rPr>
      </w:pPr>
      <w:r>
        <w:rPr>
          <w:i/>
          <w:sz w:val="24"/>
        </w:rPr>
        <w:t>Absatz 7.</w:t>
      </w:r>
      <w:r>
        <w:rPr>
          <w:sz w:val="24"/>
        </w:rPr>
        <w:t xml:space="preserve"> Die Ausnahme vom Verbot der sichtbaren Platzierung und Präsentation nach Absatz 1 erlaubt es der Verkaufsstelle nicht, elektronische Zigaretten und Nachfüllbehälter mit und ohne Nikotin an anderen Orten als der Verkaufsstelle sichtbar zu platzieren und zu präsentieren oder Anzeigenblätter und kostenlose Produkte usw. zu verteilen.</w:t>
      </w:r>
    </w:p>
    <w:p w14:paraId="66849D7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89909F1"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721F08C3"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7</w:t>
      </w:r>
    </w:p>
    <w:p w14:paraId="2BA0131B"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Selbstbedienungsautomaten</w:t>
      </w:r>
    </w:p>
    <w:p w14:paraId="3709CCCC"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p>
    <w:p w14:paraId="0E028DB9" w14:textId="2462523E" w:rsidR="00BB6654" w:rsidRPr="00A02E60" w:rsidRDefault="00BB6654" w:rsidP="00BB6654">
      <w:pPr>
        <w:autoSpaceDE w:val="0"/>
        <w:autoSpaceDN w:val="0"/>
        <w:adjustRightInd w:val="0"/>
        <w:spacing w:after="0" w:line="240" w:lineRule="auto"/>
        <w:rPr>
          <w:rFonts w:cstheme="minorHAnsi"/>
          <w:bCs/>
          <w:spacing w:val="-4"/>
          <w:sz w:val="24"/>
          <w:szCs w:val="24"/>
        </w:rPr>
      </w:pPr>
      <w:r w:rsidRPr="00A02E60">
        <w:rPr>
          <w:b/>
          <w:spacing w:val="-4"/>
          <w:sz w:val="24"/>
        </w:rPr>
        <w:t>§ 7</w:t>
      </w:r>
      <w:r w:rsidRPr="00A02E60">
        <w:rPr>
          <w:spacing w:val="-4"/>
          <w:sz w:val="24"/>
        </w:rPr>
        <w:t>. Automaten, die dazu dienen, nach dem Verkauf an einer bedienten Kasse Tabakerzeugnisse, Tabakersatzprodukte oder pflanzliche Raucherzeugnisse per Selbstbedienung auszugeben, müssen neutral gestaltet sein. Informationen am Automaten zu Markennamen, Variantennamen und Preisen sind mit schwarzer Schrift in der Schriftart Helvetica in einer Schriftgröße bis zu 14 pt anzugeben.</w:t>
      </w:r>
    </w:p>
    <w:p w14:paraId="13039CFF"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0CAA8B40" w14:textId="77777777" w:rsidR="00BB6654" w:rsidRPr="00704E6A" w:rsidRDefault="00BB6654" w:rsidP="00704E6A">
      <w:pPr>
        <w:keepNext/>
        <w:keepLines/>
        <w:autoSpaceDE w:val="0"/>
        <w:autoSpaceDN w:val="0"/>
        <w:adjustRightInd w:val="0"/>
        <w:spacing w:after="0" w:line="240" w:lineRule="auto"/>
        <w:rPr>
          <w:rFonts w:cstheme="minorHAnsi"/>
          <w:bCs/>
          <w:sz w:val="24"/>
          <w:szCs w:val="24"/>
        </w:rPr>
      </w:pPr>
      <w:r>
        <w:rPr>
          <w:i/>
          <w:sz w:val="24"/>
        </w:rPr>
        <w:t>Absatz 2</w:t>
      </w:r>
      <w:r>
        <w:rPr>
          <w:sz w:val="24"/>
        </w:rPr>
        <w:t>. An einem unter Absatz 1 fallenden Automaten dürfen keine</w:t>
      </w:r>
    </w:p>
    <w:p w14:paraId="05ACDAF7"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Waren- oder Firmenzeichen oder andere Kennzeichen dieser Produkte, einschließlich Bildern eines Produkts, angebracht sein oder werden,</w:t>
      </w:r>
    </w:p>
    <w:p w14:paraId="5358D87F"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Informationen hervorgehoben sein oder</w:t>
      </w:r>
    </w:p>
    <w:p w14:paraId="127664C5" w14:textId="77777777" w:rsidR="00BB6654" w:rsidRPr="00704E6A" w:rsidRDefault="00BB6654" w:rsidP="00BB6654">
      <w:pPr>
        <w:pStyle w:val="ListParagraph"/>
        <w:numPr>
          <w:ilvl w:val="0"/>
          <w:numId w:val="3"/>
        </w:numPr>
        <w:autoSpaceDE w:val="0"/>
        <w:autoSpaceDN w:val="0"/>
        <w:adjustRightInd w:val="0"/>
        <w:spacing w:after="0" w:line="240" w:lineRule="auto"/>
        <w:rPr>
          <w:rFonts w:cstheme="minorHAnsi"/>
          <w:bCs/>
          <w:sz w:val="24"/>
          <w:szCs w:val="24"/>
        </w:rPr>
      </w:pPr>
      <w:r>
        <w:rPr>
          <w:sz w:val="24"/>
        </w:rPr>
        <w:t>Abbildungen, Bilder, Farben, Logos, Symbole oder dergleichen angebracht sein oder werden, die bei Käufern den Eindruck erwecken können, dass ein über den betreffenden Automaten verkauftes Produkt einen gesundheitlichen Nutzen habe, weniger schädlich als andere Produkte sei, als Raucherentwöhnungsmittel diene oder sonstige positive Auswirkungen oder Vorteile habe.</w:t>
      </w:r>
    </w:p>
    <w:p w14:paraId="63048ADE" w14:textId="77777777" w:rsidR="00BB6654" w:rsidRPr="00704E6A" w:rsidRDefault="00BB6654" w:rsidP="00BB6654">
      <w:pPr>
        <w:autoSpaceDE w:val="0"/>
        <w:autoSpaceDN w:val="0"/>
        <w:adjustRightInd w:val="0"/>
        <w:spacing w:after="0" w:line="240" w:lineRule="auto"/>
        <w:rPr>
          <w:rFonts w:cstheme="minorHAnsi"/>
          <w:bCs/>
          <w:i/>
          <w:sz w:val="24"/>
          <w:szCs w:val="24"/>
        </w:rPr>
      </w:pPr>
    </w:p>
    <w:p w14:paraId="3A727BFA" w14:textId="77777777" w:rsidR="00BB6654" w:rsidRPr="00704E6A" w:rsidRDefault="00BB6654" w:rsidP="00BB6654">
      <w:pPr>
        <w:autoSpaceDE w:val="0"/>
        <w:autoSpaceDN w:val="0"/>
        <w:adjustRightInd w:val="0"/>
        <w:spacing w:after="0" w:line="240" w:lineRule="auto"/>
        <w:rPr>
          <w:rFonts w:cstheme="minorHAnsi"/>
          <w:bCs/>
          <w:sz w:val="24"/>
          <w:szCs w:val="24"/>
        </w:rPr>
      </w:pPr>
    </w:p>
    <w:p w14:paraId="550B07E7"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233AF9D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lastRenderedPageBreak/>
        <w:t>Kapitel 8</w:t>
      </w:r>
    </w:p>
    <w:p w14:paraId="288F8D8A"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Strafbestimmungen</w:t>
      </w:r>
    </w:p>
    <w:p w14:paraId="2635B835"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5E89142" w14:textId="77777777" w:rsidR="00BB6654" w:rsidRPr="00704E6A" w:rsidRDefault="00BB6654" w:rsidP="00704E6A">
      <w:pPr>
        <w:keepNext/>
        <w:keepLines/>
        <w:autoSpaceDE w:val="0"/>
        <w:autoSpaceDN w:val="0"/>
        <w:adjustRightInd w:val="0"/>
        <w:spacing w:after="0" w:line="240" w:lineRule="auto"/>
        <w:rPr>
          <w:rFonts w:eastAsia="TimesNewRomanPSMT" w:cstheme="minorHAnsi"/>
          <w:sz w:val="24"/>
          <w:szCs w:val="24"/>
        </w:rPr>
      </w:pPr>
      <w:r>
        <w:rPr>
          <w:b/>
          <w:sz w:val="24"/>
        </w:rPr>
        <w:t xml:space="preserve">§ 8. </w:t>
      </w:r>
      <w:r>
        <w:rPr>
          <w:sz w:val="24"/>
        </w:rPr>
        <w:t>Falls nicht aufgrund eines anderen Gesetzes eine höhere Strafe zu verhängen ist, wird mit einer Geldbuße bestraft, wer gegen das Verbot gemäß §§ 2 und 3 oder gegen die Vorschriften in §§ 4–7 verstößt.</w:t>
      </w:r>
    </w:p>
    <w:p w14:paraId="7619802B" w14:textId="77777777" w:rsidR="00BB6654" w:rsidRPr="00704E6A" w:rsidRDefault="00BB6654" w:rsidP="00704E6A">
      <w:pPr>
        <w:keepNext/>
        <w:keepLines/>
        <w:autoSpaceDE w:val="0"/>
        <w:autoSpaceDN w:val="0"/>
        <w:adjustRightInd w:val="0"/>
        <w:spacing w:after="0" w:line="240" w:lineRule="auto"/>
        <w:rPr>
          <w:rFonts w:cstheme="minorHAnsi"/>
          <w:i/>
          <w:iCs/>
          <w:sz w:val="24"/>
          <w:szCs w:val="24"/>
        </w:rPr>
      </w:pPr>
    </w:p>
    <w:p w14:paraId="4B56E0BD"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i/>
          <w:sz w:val="24"/>
        </w:rPr>
        <w:t xml:space="preserve">Absatz 2. </w:t>
      </w:r>
      <w:r>
        <w:rPr>
          <w:sz w:val="24"/>
        </w:rPr>
        <w:t>Gesellschaften usw. (juristische Personen) können nach den Vorschriften in Kapitel 5 des Strafgesetzbuches haftbar gemacht werden.</w:t>
      </w:r>
    </w:p>
    <w:p w14:paraId="5EF89AE2"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p>
    <w:p w14:paraId="025AC358" w14:textId="77777777" w:rsidR="00BB6654" w:rsidRPr="00704E6A" w:rsidRDefault="00BB6654" w:rsidP="00704E6A">
      <w:pPr>
        <w:keepNext/>
        <w:keepLines/>
        <w:autoSpaceDE w:val="0"/>
        <w:autoSpaceDN w:val="0"/>
        <w:adjustRightInd w:val="0"/>
        <w:spacing w:after="0" w:line="240" w:lineRule="auto"/>
        <w:jc w:val="center"/>
        <w:rPr>
          <w:rFonts w:eastAsia="TimesNewRomanPSMT" w:cstheme="minorHAnsi"/>
          <w:sz w:val="24"/>
          <w:szCs w:val="24"/>
        </w:rPr>
      </w:pPr>
      <w:r>
        <w:rPr>
          <w:sz w:val="24"/>
        </w:rPr>
        <w:t>Kapitel 7</w:t>
      </w:r>
    </w:p>
    <w:p w14:paraId="6F04C861" w14:textId="77777777" w:rsidR="00BB6654" w:rsidRPr="00704E6A" w:rsidRDefault="00BB6654" w:rsidP="00704E6A">
      <w:pPr>
        <w:keepNext/>
        <w:keepLines/>
        <w:autoSpaceDE w:val="0"/>
        <w:autoSpaceDN w:val="0"/>
        <w:adjustRightInd w:val="0"/>
        <w:spacing w:after="0" w:line="240" w:lineRule="auto"/>
        <w:jc w:val="center"/>
        <w:rPr>
          <w:rFonts w:cstheme="minorHAnsi"/>
          <w:i/>
          <w:iCs/>
          <w:sz w:val="24"/>
          <w:szCs w:val="24"/>
        </w:rPr>
      </w:pPr>
      <w:r>
        <w:rPr>
          <w:i/>
          <w:sz w:val="24"/>
        </w:rPr>
        <w:t>Inkrafttreten</w:t>
      </w:r>
    </w:p>
    <w:p w14:paraId="25882109" w14:textId="77777777" w:rsidR="00BB6654" w:rsidRPr="00704E6A" w:rsidRDefault="00BB6654" w:rsidP="00704E6A">
      <w:pPr>
        <w:keepNext/>
        <w:keepLines/>
        <w:autoSpaceDE w:val="0"/>
        <w:autoSpaceDN w:val="0"/>
        <w:adjustRightInd w:val="0"/>
        <w:spacing w:after="0" w:line="240" w:lineRule="auto"/>
        <w:rPr>
          <w:rFonts w:cstheme="minorHAnsi"/>
          <w:b/>
          <w:bCs/>
          <w:sz w:val="24"/>
          <w:szCs w:val="24"/>
        </w:rPr>
      </w:pPr>
    </w:p>
    <w:p w14:paraId="7268211F" w14:textId="77777777" w:rsidR="00BB6654" w:rsidRPr="00704E6A" w:rsidRDefault="00BB6654" w:rsidP="00BB6654">
      <w:pPr>
        <w:autoSpaceDE w:val="0"/>
        <w:autoSpaceDN w:val="0"/>
        <w:adjustRightInd w:val="0"/>
        <w:spacing w:after="0" w:line="240" w:lineRule="auto"/>
        <w:rPr>
          <w:rFonts w:eastAsia="TimesNewRomanPSMT" w:cstheme="minorHAnsi"/>
          <w:sz w:val="24"/>
          <w:szCs w:val="24"/>
        </w:rPr>
      </w:pPr>
      <w:r>
        <w:rPr>
          <w:b/>
          <w:sz w:val="24"/>
        </w:rPr>
        <w:t xml:space="preserve">§ 8. </w:t>
      </w:r>
      <w:r>
        <w:rPr>
          <w:sz w:val="24"/>
        </w:rPr>
        <w:t>Die Verordnung tritt am 1. April 2021 in Kraft.</w:t>
      </w:r>
    </w:p>
    <w:p w14:paraId="1FCB8DB6"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F0844E0" w14:textId="77777777" w:rsidR="00BB6654" w:rsidRPr="00704E6A" w:rsidRDefault="00BB6654" w:rsidP="00BB6654">
      <w:pPr>
        <w:autoSpaceDE w:val="0"/>
        <w:autoSpaceDN w:val="0"/>
        <w:adjustRightInd w:val="0"/>
        <w:spacing w:after="0" w:line="240" w:lineRule="auto"/>
        <w:rPr>
          <w:rFonts w:cstheme="minorHAnsi"/>
          <w:i/>
          <w:iCs/>
          <w:sz w:val="24"/>
          <w:szCs w:val="24"/>
        </w:rPr>
      </w:pPr>
    </w:p>
    <w:p w14:paraId="5B472355" w14:textId="77777777" w:rsidR="00BB6654" w:rsidRPr="00704E6A" w:rsidRDefault="00BB6654" w:rsidP="00BB6654">
      <w:pPr>
        <w:autoSpaceDE w:val="0"/>
        <w:autoSpaceDN w:val="0"/>
        <w:adjustRightInd w:val="0"/>
        <w:spacing w:after="0" w:line="240" w:lineRule="auto"/>
        <w:jc w:val="center"/>
        <w:rPr>
          <w:rFonts w:cstheme="minorHAnsi"/>
          <w:i/>
          <w:iCs/>
          <w:sz w:val="24"/>
          <w:szCs w:val="24"/>
        </w:rPr>
      </w:pPr>
      <w:r>
        <w:rPr>
          <w:i/>
          <w:sz w:val="24"/>
        </w:rPr>
        <w:t>Ministerium für Gesundheit und Senioren, den</w:t>
      </w:r>
    </w:p>
    <w:p w14:paraId="53236B8A"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10E16A0C"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32AE0AD4"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p>
    <w:p w14:paraId="59E230E5" w14:textId="77777777" w:rsidR="00BB6654" w:rsidRPr="00704E6A" w:rsidRDefault="00BB6654" w:rsidP="00BB6654">
      <w:pPr>
        <w:autoSpaceDE w:val="0"/>
        <w:autoSpaceDN w:val="0"/>
        <w:adjustRightInd w:val="0"/>
        <w:spacing w:after="0" w:line="240" w:lineRule="auto"/>
        <w:jc w:val="center"/>
        <w:rPr>
          <w:rFonts w:eastAsia="TimesNewRomanPSMT" w:cstheme="minorHAnsi"/>
          <w:sz w:val="24"/>
          <w:szCs w:val="24"/>
        </w:rPr>
      </w:pPr>
      <w:r>
        <w:rPr>
          <w:sz w:val="24"/>
        </w:rPr>
        <w:t>Magnus Heunicke</w:t>
      </w:r>
    </w:p>
    <w:p w14:paraId="557A9EC7" w14:textId="77777777" w:rsidR="00BB6654" w:rsidRPr="00704E6A" w:rsidRDefault="00BB6654" w:rsidP="00BB6654">
      <w:pPr>
        <w:autoSpaceDE w:val="0"/>
        <w:autoSpaceDN w:val="0"/>
        <w:adjustRightInd w:val="0"/>
        <w:spacing w:after="0" w:line="240" w:lineRule="auto"/>
        <w:ind w:left="2608" w:firstLine="1304"/>
        <w:jc w:val="center"/>
        <w:rPr>
          <w:rFonts w:eastAsia="TimesNewRomanPSMT" w:cstheme="minorHAnsi"/>
          <w:sz w:val="24"/>
          <w:szCs w:val="24"/>
        </w:rPr>
      </w:pPr>
      <w:r>
        <w:rPr>
          <w:sz w:val="24"/>
        </w:rPr>
        <w:t>/ Mie Saabye</w:t>
      </w:r>
    </w:p>
    <w:p w14:paraId="5C2A0D1C" w14:textId="77777777" w:rsidR="00BB6654" w:rsidRPr="00704E6A" w:rsidRDefault="00BB6654" w:rsidP="00BB6654">
      <w:pPr>
        <w:autoSpaceDE w:val="0"/>
        <w:autoSpaceDN w:val="0"/>
        <w:adjustRightInd w:val="0"/>
        <w:spacing w:after="0" w:line="240" w:lineRule="auto"/>
        <w:rPr>
          <w:rFonts w:eastAsia="TimesNewRomanPSMT" w:cstheme="minorHAnsi"/>
          <w:sz w:val="20"/>
          <w:szCs w:val="20"/>
        </w:rPr>
      </w:pPr>
    </w:p>
    <w:p w14:paraId="5445DCB0" w14:textId="77777777" w:rsidR="00BB6654" w:rsidRPr="00704E6A" w:rsidRDefault="00BB6654" w:rsidP="00BB6654"/>
    <w:p w14:paraId="17302CE6" w14:textId="77777777" w:rsidR="00BB6654" w:rsidRPr="00704E6A" w:rsidRDefault="00BB6654" w:rsidP="00BB6654"/>
    <w:p w14:paraId="2E3728AE" w14:textId="77777777" w:rsidR="00BB6654" w:rsidRPr="00704E6A" w:rsidRDefault="00BB6654" w:rsidP="00BB6654"/>
    <w:p w14:paraId="15206CBC" w14:textId="77777777" w:rsidR="00BB6654" w:rsidRPr="00704E6A" w:rsidRDefault="00BB6654" w:rsidP="00BB6654"/>
    <w:p w14:paraId="17F833C1" w14:textId="77777777" w:rsidR="00D47ADF" w:rsidRPr="00704E6A" w:rsidRDefault="00A02E60"/>
    <w:sectPr w:rsidR="00D47ADF" w:rsidRPr="00704E6A">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NewRomanPSMT">
    <w:altName w:val="MS Gothic"/>
    <w:charset w:val="80"/>
    <w:family w:val="auto"/>
    <w:pitch w:val="default"/>
    <w:sig w:usb0="00000003" w:usb1="08070000" w:usb2="00000010" w:usb3="00000000" w:csb0="0002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7067C54"/>
    <w:multiLevelType w:val="hybridMultilevel"/>
    <w:tmpl w:val="5B123D56"/>
    <w:lvl w:ilvl="0" w:tplc="04060011">
      <w:start w:val="1"/>
      <w:numFmt w:val="decimal"/>
      <w:lvlText w:val="%1)"/>
      <w:lvlJc w:val="left"/>
      <w:pPr>
        <w:ind w:left="1920" w:hanging="360"/>
      </w:pPr>
      <w:rPr>
        <w:rFonts w:hint="default"/>
        <w:color w:val="auto"/>
      </w:rPr>
    </w:lvl>
    <w:lvl w:ilvl="1" w:tplc="04060019" w:tentative="1">
      <w:start w:val="1"/>
      <w:numFmt w:val="lowerLetter"/>
      <w:lvlText w:val="%2."/>
      <w:lvlJc w:val="left"/>
      <w:pPr>
        <w:ind w:left="2640" w:hanging="360"/>
      </w:pPr>
    </w:lvl>
    <w:lvl w:ilvl="2" w:tplc="0406001B" w:tentative="1">
      <w:start w:val="1"/>
      <w:numFmt w:val="lowerRoman"/>
      <w:lvlText w:val="%3."/>
      <w:lvlJc w:val="right"/>
      <w:pPr>
        <w:ind w:left="3360" w:hanging="180"/>
      </w:pPr>
    </w:lvl>
    <w:lvl w:ilvl="3" w:tplc="0406000F" w:tentative="1">
      <w:start w:val="1"/>
      <w:numFmt w:val="decimal"/>
      <w:lvlText w:val="%4."/>
      <w:lvlJc w:val="left"/>
      <w:pPr>
        <w:ind w:left="4080" w:hanging="360"/>
      </w:pPr>
    </w:lvl>
    <w:lvl w:ilvl="4" w:tplc="04060019" w:tentative="1">
      <w:start w:val="1"/>
      <w:numFmt w:val="lowerLetter"/>
      <w:lvlText w:val="%5."/>
      <w:lvlJc w:val="left"/>
      <w:pPr>
        <w:ind w:left="4800" w:hanging="360"/>
      </w:pPr>
    </w:lvl>
    <w:lvl w:ilvl="5" w:tplc="0406001B" w:tentative="1">
      <w:start w:val="1"/>
      <w:numFmt w:val="lowerRoman"/>
      <w:lvlText w:val="%6."/>
      <w:lvlJc w:val="right"/>
      <w:pPr>
        <w:ind w:left="5520" w:hanging="180"/>
      </w:pPr>
    </w:lvl>
    <w:lvl w:ilvl="6" w:tplc="0406000F" w:tentative="1">
      <w:start w:val="1"/>
      <w:numFmt w:val="decimal"/>
      <w:lvlText w:val="%7."/>
      <w:lvlJc w:val="left"/>
      <w:pPr>
        <w:ind w:left="6240" w:hanging="360"/>
      </w:pPr>
    </w:lvl>
    <w:lvl w:ilvl="7" w:tplc="04060019" w:tentative="1">
      <w:start w:val="1"/>
      <w:numFmt w:val="lowerLetter"/>
      <w:lvlText w:val="%8."/>
      <w:lvlJc w:val="left"/>
      <w:pPr>
        <w:ind w:left="6960" w:hanging="360"/>
      </w:pPr>
    </w:lvl>
    <w:lvl w:ilvl="8" w:tplc="0406001B" w:tentative="1">
      <w:start w:val="1"/>
      <w:numFmt w:val="lowerRoman"/>
      <w:lvlText w:val="%9."/>
      <w:lvlJc w:val="right"/>
      <w:pPr>
        <w:ind w:left="7680" w:hanging="180"/>
      </w:pPr>
    </w:lvl>
  </w:abstractNum>
  <w:abstractNum w:abstractNumId="1" w15:restartNumberingAfterBreak="0">
    <w:nsid w:val="1D1E47AC"/>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2D6706E4"/>
    <w:multiLevelType w:val="hybridMultilevel"/>
    <w:tmpl w:val="38929066"/>
    <w:lvl w:ilvl="0" w:tplc="E1982418">
      <w:start w:val="1"/>
      <w:numFmt w:val="decimal"/>
      <w:lvlText w:val="%1)"/>
      <w:lvlJc w:val="left"/>
      <w:pPr>
        <w:ind w:left="720" w:hanging="360"/>
      </w:pPr>
      <w:rPr>
        <w:rFonts w:hint="default"/>
        <w:color w:val="000000" w:themeColor="text1"/>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EE704DB"/>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82343B8"/>
    <w:multiLevelType w:val="hybridMultilevel"/>
    <w:tmpl w:val="6C706CCE"/>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42073F46"/>
    <w:multiLevelType w:val="hybridMultilevel"/>
    <w:tmpl w:val="53FE952A"/>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5A077970"/>
    <w:multiLevelType w:val="hybridMultilevel"/>
    <w:tmpl w:val="9FBA178A"/>
    <w:lvl w:ilvl="0" w:tplc="04060017">
      <w:start w:val="1"/>
      <w:numFmt w:val="lowerLetter"/>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7" w15:restartNumberingAfterBreak="0">
    <w:nsid w:val="78DB43B6"/>
    <w:multiLevelType w:val="hybridMultilevel"/>
    <w:tmpl w:val="76089548"/>
    <w:lvl w:ilvl="0" w:tplc="04060011">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5"/>
  </w:num>
  <w:num w:numId="2">
    <w:abstractNumId w:val="0"/>
  </w:num>
  <w:num w:numId="3">
    <w:abstractNumId w:val="6"/>
  </w:num>
  <w:num w:numId="4">
    <w:abstractNumId w:val="2"/>
  </w:num>
  <w:num w:numId="5">
    <w:abstractNumId w:val="1"/>
  </w:num>
  <w:num w:numId="6">
    <w:abstractNumId w:val="3"/>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oofState w:spelling="clean" w:grammar="clean"/>
  <w:defaultTabStop w:val="1304"/>
  <w:hyphenationZone w:val="425"/>
  <w:doNotHyphenateCaps/>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654"/>
    <w:rsid w:val="000F2720"/>
    <w:rsid w:val="001129D3"/>
    <w:rsid w:val="00133423"/>
    <w:rsid w:val="003072BA"/>
    <w:rsid w:val="0054510B"/>
    <w:rsid w:val="00704E6A"/>
    <w:rsid w:val="007253E1"/>
    <w:rsid w:val="007A2FDC"/>
    <w:rsid w:val="0099201C"/>
    <w:rsid w:val="00A02E60"/>
    <w:rsid w:val="00A332B7"/>
    <w:rsid w:val="00BB6654"/>
    <w:rsid w:val="00C9352B"/>
    <w:rsid w:val="00D543FF"/>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70DFC7"/>
  <w15:chartTrackingRefBased/>
  <w15:docId w15:val="{E1CEF491-932A-45F5-AB06-C716DEF9C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665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lid-translation">
    <w:name w:val="tlid-translation"/>
    <w:basedOn w:val="DefaultParagraphFont"/>
    <w:rsid w:val="00BB6654"/>
  </w:style>
  <w:style w:type="paragraph" w:styleId="ListParagraph">
    <w:name w:val="List Paragraph"/>
    <w:basedOn w:val="Normal"/>
    <w:uiPriority w:val="34"/>
    <w:qFormat/>
    <w:rsid w:val="00BB6654"/>
    <w:pPr>
      <w:ind w:left="720"/>
      <w:contextualSpacing/>
    </w:pPr>
  </w:style>
  <w:style w:type="character" w:styleId="CommentReference">
    <w:name w:val="annotation reference"/>
    <w:basedOn w:val="DefaultParagraphFont"/>
    <w:uiPriority w:val="99"/>
    <w:semiHidden/>
    <w:unhideWhenUsed/>
    <w:rsid w:val="00BB6654"/>
    <w:rPr>
      <w:sz w:val="16"/>
      <w:szCs w:val="16"/>
    </w:rPr>
  </w:style>
  <w:style w:type="paragraph" w:styleId="CommentText">
    <w:name w:val="annotation text"/>
    <w:basedOn w:val="Normal"/>
    <w:link w:val="CommentTextChar"/>
    <w:uiPriority w:val="99"/>
    <w:unhideWhenUsed/>
    <w:rsid w:val="00BB6654"/>
    <w:pPr>
      <w:spacing w:line="240" w:lineRule="auto"/>
    </w:pPr>
    <w:rPr>
      <w:sz w:val="20"/>
      <w:szCs w:val="20"/>
    </w:rPr>
  </w:style>
  <w:style w:type="character" w:customStyle="1" w:styleId="CommentTextChar">
    <w:name w:val="Comment Text Char"/>
    <w:basedOn w:val="DefaultParagraphFont"/>
    <w:link w:val="CommentText"/>
    <w:uiPriority w:val="99"/>
    <w:rsid w:val="00BB6654"/>
    <w:rPr>
      <w:sz w:val="20"/>
      <w:szCs w:val="20"/>
    </w:rPr>
  </w:style>
  <w:style w:type="paragraph" w:styleId="BalloonText">
    <w:name w:val="Balloon Text"/>
    <w:basedOn w:val="Normal"/>
    <w:link w:val="BalloonTextChar"/>
    <w:uiPriority w:val="99"/>
    <w:semiHidden/>
    <w:unhideWhenUsed/>
    <w:rsid w:val="00BB66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B66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2009</Words>
  <Characters>11456</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Sundhedsdatastyrelsen</Company>
  <LinksUpToDate>false</LinksUpToDate>
  <CharactersWithSpaces>13439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Christina Ersbøll Ross</dc:creator>
  <cp:keywords/>
  <dc:description/>
  <cp:lastModifiedBy>Diana STOICA</cp:lastModifiedBy>
  <cp:revision>3</cp:revision>
  <dcterms:created xsi:type="dcterms:W3CDTF">2020-09-30T11:28:00Z</dcterms:created>
  <dcterms:modified xsi:type="dcterms:W3CDTF">2020-10-07T11:49:00Z</dcterms:modified>
</cp:coreProperties>
</file>