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A838D" w14:textId="77777777" w:rsidR="00803DA4" w:rsidRDefault="00803DA4" w:rsidP="006D1C1E">
      <w:pPr>
        <w:pStyle w:val="Omslagundertitel-F"/>
        <w:rPr>
          <w:rFonts w:ascii="Calibri Light" w:hAnsi="Calibri Light"/>
          <w:sz w:val="64"/>
          <w:szCs w:val="64"/>
        </w:rPr>
      </w:pPr>
    </w:p>
    <w:p w14:paraId="65985033" w14:textId="2CF84054" w:rsidR="006D1C1E" w:rsidRDefault="00B061E3" w:rsidP="006D1C1E">
      <w:pPr>
        <w:pStyle w:val="Omslagundertitel-F"/>
        <w:rPr>
          <w:rFonts w:ascii="Calibri Light" w:hAnsi="Calibri Light"/>
          <w:sz w:val="64"/>
          <w:szCs w:val="64"/>
        </w:rPr>
      </w:pPr>
      <w:r>
        <w:rPr>
          <w:rFonts w:ascii="Calibri Light" w:hAnsi="Calibri Light"/>
          <w:sz w:val="64"/>
        </w:rPr>
        <w:t xml:space="preserve">The Swedish Food Agency’s Regulations on food supplements </w:t>
      </w:r>
    </w:p>
    <w:p w14:paraId="676BD8C3" w14:textId="4BD2118F" w:rsidR="006A0F79" w:rsidRDefault="00B67F0F" w:rsidP="00C77072">
      <w:pPr>
        <w:pStyle w:val="Omslagundertitel-F"/>
      </w:pPr>
      <w:r>
        <w:t>Impact assessment May 2022</w:t>
      </w:r>
    </w:p>
    <w:p w14:paraId="2F679E9C" w14:textId="354F25A4" w:rsidR="001736A0" w:rsidRPr="00872952" w:rsidRDefault="00BE6A20" w:rsidP="001736A0">
      <w:pPr>
        <w:pStyle w:val="Omslagfrfattare"/>
      </w:pPr>
      <w:sdt>
        <w:sdt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1470DF">
            <w:t>Livsmedelsverket</w:t>
          </w:r>
          <w:proofErr w:type="spellEnd"/>
        </w:sdtContent>
      </w:sdt>
    </w:p>
    <w:p w14:paraId="353CA47C" w14:textId="77777777" w:rsidR="00A24366" w:rsidRDefault="00A24366">
      <w:pPr>
        <w:rPr>
          <w:rFonts w:ascii="Calibri" w:eastAsiaTheme="majorEastAsia" w:hAnsi="Calibri" w:cstheme="majorHAnsi"/>
          <w:b/>
          <w:bCs/>
          <w:sz w:val="26"/>
        </w:rPr>
      </w:pPr>
      <w:r>
        <w:br w:type="page"/>
      </w:r>
    </w:p>
    <w:bookmarkStart w:id="0" w:name="_Toc33773665" w:displacedByCustomXml="next"/>
    <w:sdt>
      <w:sdtPr>
        <w:rPr>
          <w:rFonts w:asciiTheme="minorHAnsi" w:hAnsiTheme="minorHAnsi" w:cstheme="minorBidi"/>
          <w:sz w:val="22"/>
          <w:szCs w:val="22"/>
          <w:lang w:eastAsia="en-US"/>
        </w:rPr>
        <w:id w:val="-890189390"/>
        <w:docPartObj>
          <w:docPartGallery w:val="Table of Contents"/>
          <w:docPartUnique/>
        </w:docPartObj>
      </w:sdtPr>
      <w:sdtEndPr>
        <w:rPr>
          <w:b/>
          <w:bCs/>
        </w:rPr>
      </w:sdtEndPr>
      <w:sdtContent>
        <w:p w14:paraId="5E21273E" w14:textId="4A25C97B" w:rsidR="00096EEA" w:rsidRDefault="00096EEA">
          <w:pPr>
            <w:pStyle w:val="TOCHeading"/>
          </w:pPr>
          <w:r>
            <w:t>Contents</w:t>
          </w:r>
        </w:p>
        <w:p w14:paraId="1637587C" w14:textId="40AC984F" w:rsidR="00BE6A20" w:rsidRDefault="00096EEA">
          <w:pPr>
            <w:pStyle w:val="TOC1"/>
            <w:tabs>
              <w:tab w:val="left" w:pos="442"/>
            </w:tabs>
            <w:rPr>
              <w:rFonts w:asciiTheme="minorHAnsi" w:eastAsiaTheme="minorEastAsia" w:hAnsiTheme="minorHAnsi"/>
              <w:lang w:val="en-US"/>
            </w:rPr>
          </w:pPr>
          <w:r>
            <w:fldChar w:fldCharType="begin"/>
          </w:r>
          <w:r>
            <w:instrText xml:space="preserve"> TOC \o "1-3" \h \z \u </w:instrText>
          </w:r>
          <w:r>
            <w:fldChar w:fldCharType="separate"/>
          </w:r>
          <w:hyperlink w:anchor="_Toc106024856" w:history="1">
            <w:r w:rsidR="00BE6A20" w:rsidRPr="008311DC">
              <w:rPr>
                <w:rStyle w:val="Hyperlink"/>
                <w14:scene3d>
                  <w14:camera w14:prst="orthographicFront"/>
                  <w14:lightRig w14:rig="threePt" w14:dir="t">
                    <w14:rot w14:lat="0" w14:lon="0" w14:rev="0"/>
                  </w14:lightRig>
                </w14:scene3d>
              </w:rPr>
              <w:t>1.</w:t>
            </w:r>
            <w:r w:rsidR="00BE6A20">
              <w:rPr>
                <w:rFonts w:asciiTheme="minorHAnsi" w:eastAsiaTheme="minorEastAsia" w:hAnsiTheme="minorHAnsi"/>
                <w:lang w:val="en-US"/>
              </w:rPr>
              <w:tab/>
            </w:r>
            <w:r w:rsidR="00BE6A20" w:rsidRPr="008311DC">
              <w:rPr>
                <w:rStyle w:val="Hyperlink"/>
              </w:rPr>
              <w:t>Background</w:t>
            </w:r>
            <w:r w:rsidR="00BE6A20">
              <w:rPr>
                <w:webHidden/>
              </w:rPr>
              <w:tab/>
            </w:r>
            <w:r w:rsidR="00BE6A20">
              <w:rPr>
                <w:webHidden/>
              </w:rPr>
              <w:fldChar w:fldCharType="begin"/>
            </w:r>
            <w:r w:rsidR="00BE6A20">
              <w:rPr>
                <w:webHidden/>
              </w:rPr>
              <w:instrText xml:space="preserve"> PAGEREF _Toc106024856 \h </w:instrText>
            </w:r>
            <w:r w:rsidR="00BE6A20">
              <w:rPr>
                <w:webHidden/>
              </w:rPr>
            </w:r>
            <w:r w:rsidR="00BE6A20">
              <w:rPr>
                <w:webHidden/>
              </w:rPr>
              <w:fldChar w:fldCharType="separate"/>
            </w:r>
            <w:r w:rsidR="00BE6A20">
              <w:rPr>
                <w:webHidden/>
              </w:rPr>
              <w:t>3</w:t>
            </w:r>
            <w:r w:rsidR="00BE6A20">
              <w:rPr>
                <w:webHidden/>
              </w:rPr>
              <w:fldChar w:fldCharType="end"/>
            </w:r>
          </w:hyperlink>
        </w:p>
        <w:p w14:paraId="644A3CED" w14:textId="025F476B" w:rsidR="00BE6A20" w:rsidRDefault="00BE6A20">
          <w:pPr>
            <w:pStyle w:val="TOC2"/>
            <w:tabs>
              <w:tab w:val="left" w:pos="879"/>
              <w:tab w:val="right" w:leader="dot" w:pos="9062"/>
            </w:tabs>
            <w:rPr>
              <w:rFonts w:asciiTheme="minorHAnsi" w:eastAsiaTheme="minorEastAsia" w:hAnsiTheme="minorHAnsi"/>
              <w:noProof/>
              <w:lang w:val="en-US"/>
            </w:rPr>
          </w:pPr>
          <w:hyperlink w:anchor="_Toc106024857" w:history="1">
            <w:r w:rsidRPr="008311DC">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lang w:val="en-US"/>
              </w:rPr>
              <w:tab/>
            </w:r>
            <w:r w:rsidRPr="008311DC">
              <w:rPr>
                <w:rStyle w:val="Hyperlink"/>
                <w:noProof/>
              </w:rPr>
              <w:t>Remit and scope</w:t>
            </w:r>
            <w:r>
              <w:rPr>
                <w:noProof/>
                <w:webHidden/>
              </w:rPr>
              <w:tab/>
            </w:r>
            <w:r>
              <w:rPr>
                <w:noProof/>
                <w:webHidden/>
              </w:rPr>
              <w:fldChar w:fldCharType="begin"/>
            </w:r>
            <w:r>
              <w:rPr>
                <w:noProof/>
                <w:webHidden/>
              </w:rPr>
              <w:instrText xml:space="preserve"> PAGEREF _Toc106024857 \h </w:instrText>
            </w:r>
            <w:r>
              <w:rPr>
                <w:noProof/>
                <w:webHidden/>
              </w:rPr>
            </w:r>
            <w:r>
              <w:rPr>
                <w:noProof/>
                <w:webHidden/>
              </w:rPr>
              <w:fldChar w:fldCharType="separate"/>
            </w:r>
            <w:r>
              <w:rPr>
                <w:noProof/>
                <w:webHidden/>
              </w:rPr>
              <w:t>3</w:t>
            </w:r>
            <w:r>
              <w:rPr>
                <w:noProof/>
                <w:webHidden/>
              </w:rPr>
              <w:fldChar w:fldCharType="end"/>
            </w:r>
          </w:hyperlink>
        </w:p>
        <w:p w14:paraId="0F102C90" w14:textId="3893D7C1" w:rsidR="00BE6A20" w:rsidRDefault="00BE6A20">
          <w:pPr>
            <w:pStyle w:val="TOC2"/>
            <w:tabs>
              <w:tab w:val="left" w:pos="879"/>
              <w:tab w:val="right" w:leader="dot" w:pos="9062"/>
            </w:tabs>
            <w:rPr>
              <w:rFonts w:asciiTheme="minorHAnsi" w:eastAsiaTheme="minorEastAsia" w:hAnsiTheme="minorHAnsi"/>
              <w:noProof/>
              <w:lang w:val="en-US"/>
            </w:rPr>
          </w:pPr>
          <w:hyperlink w:anchor="_Toc106024858" w:history="1">
            <w:r w:rsidRPr="008311DC">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lang w:val="en-US"/>
              </w:rPr>
              <w:tab/>
            </w:r>
            <w:r w:rsidRPr="008311DC">
              <w:rPr>
                <w:rStyle w:val="Hyperlink"/>
                <w:noProof/>
              </w:rPr>
              <w:t>Implementation</w:t>
            </w:r>
            <w:r>
              <w:rPr>
                <w:noProof/>
                <w:webHidden/>
              </w:rPr>
              <w:tab/>
            </w:r>
            <w:r>
              <w:rPr>
                <w:noProof/>
                <w:webHidden/>
              </w:rPr>
              <w:fldChar w:fldCharType="begin"/>
            </w:r>
            <w:r>
              <w:rPr>
                <w:noProof/>
                <w:webHidden/>
              </w:rPr>
              <w:instrText xml:space="preserve"> PAGEREF _Toc106024858 \h </w:instrText>
            </w:r>
            <w:r>
              <w:rPr>
                <w:noProof/>
                <w:webHidden/>
              </w:rPr>
            </w:r>
            <w:r>
              <w:rPr>
                <w:noProof/>
                <w:webHidden/>
              </w:rPr>
              <w:fldChar w:fldCharType="separate"/>
            </w:r>
            <w:r>
              <w:rPr>
                <w:noProof/>
                <w:webHidden/>
              </w:rPr>
              <w:t>3</w:t>
            </w:r>
            <w:r>
              <w:rPr>
                <w:noProof/>
                <w:webHidden/>
              </w:rPr>
              <w:fldChar w:fldCharType="end"/>
            </w:r>
          </w:hyperlink>
        </w:p>
        <w:p w14:paraId="7A8A4954" w14:textId="79A81486" w:rsidR="00BE6A20" w:rsidRDefault="00BE6A20">
          <w:pPr>
            <w:pStyle w:val="TOC2"/>
            <w:tabs>
              <w:tab w:val="left" w:pos="879"/>
              <w:tab w:val="right" w:leader="dot" w:pos="9062"/>
            </w:tabs>
            <w:rPr>
              <w:rFonts w:asciiTheme="minorHAnsi" w:eastAsiaTheme="minorEastAsia" w:hAnsiTheme="minorHAnsi"/>
              <w:noProof/>
              <w:lang w:val="en-US"/>
            </w:rPr>
          </w:pPr>
          <w:hyperlink w:anchor="_Toc106024859" w:history="1">
            <w:r w:rsidRPr="008311DC">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lang w:val="en-US"/>
              </w:rPr>
              <w:tab/>
            </w:r>
            <w:r w:rsidRPr="008311DC">
              <w:rPr>
                <w:rStyle w:val="Hyperlink"/>
                <w:noProof/>
              </w:rPr>
              <w:t>Vitamins and minerals in food supplements</w:t>
            </w:r>
            <w:r>
              <w:rPr>
                <w:noProof/>
                <w:webHidden/>
              </w:rPr>
              <w:tab/>
            </w:r>
            <w:r>
              <w:rPr>
                <w:noProof/>
                <w:webHidden/>
              </w:rPr>
              <w:fldChar w:fldCharType="begin"/>
            </w:r>
            <w:r>
              <w:rPr>
                <w:noProof/>
                <w:webHidden/>
              </w:rPr>
              <w:instrText xml:space="preserve"> PAGEREF _Toc106024859 \h </w:instrText>
            </w:r>
            <w:r>
              <w:rPr>
                <w:noProof/>
                <w:webHidden/>
              </w:rPr>
            </w:r>
            <w:r>
              <w:rPr>
                <w:noProof/>
                <w:webHidden/>
              </w:rPr>
              <w:fldChar w:fldCharType="separate"/>
            </w:r>
            <w:r>
              <w:rPr>
                <w:noProof/>
                <w:webHidden/>
              </w:rPr>
              <w:t>4</w:t>
            </w:r>
            <w:r>
              <w:rPr>
                <w:noProof/>
                <w:webHidden/>
              </w:rPr>
              <w:fldChar w:fldCharType="end"/>
            </w:r>
          </w:hyperlink>
        </w:p>
        <w:p w14:paraId="262C247D" w14:textId="06DC68A6" w:rsidR="00BE6A20" w:rsidRDefault="00BE6A20">
          <w:pPr>
            <w:pStyle w:val="TOC2"/>
            <w:tabs>
              <w:tab w:val="left" w:pos="879"/>
              <w:tab w:val="right" w:leader="dot" w:pos="9062"/>
            </w:tabs>
            <w:rPr>
              <w:rFonts w:asciiTheme="minorHAnsi" w:eastAsiaTheme="minorEastAsia" w:hAnsiTheme="minorHAnsi"/>
              <w:noProof/>
              <w:lang w:val="en-US"/>
            </w:rPr>
          </w:pPr>
          <w:hyperlink w:anchor="_Toc106024860" w:history="1">
            <w:r w:rsidRPr="008311DC">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lang w:val="en-US"/>
              </w:rPr>
              <w:tab/>
            </w:r>
            <w:r w:rsidRPr="008311DC">
              <w:rPr>
                <w:rStyle w:val="Hyperlink"/>
                <w:noProof/>
              </w:rPr>
              <w:t>Risks posed by high levels</w:t>
            </w:r>
            <w:r>
              <w:rPr>
                <w:noProof/>
                <w:webHidden/>
              </w:rPr>
              <w:tab/>
            </w:r>
            <w:r>
              <w:rPr>
                <w:noProof/>
                <w:webHidden/>
              </w:rPr>
              <w:fldChar w:fldCharType="begin"/>
            </w:r>
            <w:r>
              <w:rPr>
                <w:noProof/>
                <w:webHidden/>
              </w:rPr>
              <w:instrText xml:space="preserve"> PAGEREF _Toc106024860 \h </w:instrText>
            </w:r>
            <w:r>
              <w:rPr>
                <w:noProof/>
                <w:webHidden/>
              </w:rPr>
            </w:r>
            <w:r>
              <w:rPr>
                <w:noProof/>
                <w:webHidden/>
              </w:rPr>
              <w:fldChar w:fldCharType="separate"/>
            </w:r>
            <w:r>
              <w:rPr>
                <w:noProof/>
                <w:webHidden/>
              </w:rPr>
              <w:t>6</w:t>
            </w:r>
            <w:r>
              <w:rPr>
                <w:noProof/>
                <w:webHidden/>
              </w:rPr>
              <w:fldChar w:fldCharType="end"/>
            </w:r>
          </w:hyperlink>
        </w:p>
        <w:p w14:paraId="06808463" w14:textId="0724B43E" w:rsidR="00BE6A20" w:rsidRDefault="00BE6A20">
          <w:pPr>
            <w:pStyle w:val="TOC2"/>
            <w:tabs>
              <w:tab w:val="left" w:pos="879"/>
              <w:tab w:val="right" w:leader="dot" w:pos="9062"/>
            </w:tabs>
            <w:rPr>
              <w:rFonts w:asciiTheme="minorHAnsi" w:eastAsiaTheme="minorEastAsia" w:hAnsiTheme="minorHAnsi"/>
              <w:noProof/>
              <w:lang w:val="en-US"/>
            </w:rPr>
          </w:pPr>
          <w:hyperlink w:anchor="_Toc106024861" w:history="1">
            <w:r w:rsidRPr="008311DC">
              <w:rPr>
                <w:rStyle w:val="Hyperlink"/>
                <w:noProof/>
                <w14:scene3d>
                  <w14:camera w14:prst="orthographicFront"/>
                  <w14:lightRig w14:rig="threePt" w14:dir="t">
                    <w14:rot w14:lat="0" w14:lon="0" w14:rev="0"/>
                  </w14:lightRig>
                </w14:scene3d>
              </w:rPr>
              <w:t>1.5</w:t>
            </w:r>
            <w:r>
              <w:rPr>
                <w:rFonts w:asciiTheme="minorHAnsi" w:eastAsiaTheme="minorEastAsia" w:hAnsiTheme="minorHAnsi"/>
                <w:noProof/>
                <w:lang w:val="en-US"/>
              </w:rPr>
              <w:tab/>
            </w:r>
            <w:r w:rsidRPr="008311DC">
              <w:rPr>
                <w:rStyle w:val="Hyperlink"/>
                <w:noProof/>
              </w:rPr>
              <w:t>Prevalence of food supplements containing high levels</w:t>
            </w:r>
            <w:r>
              <w:rPr>
                <w:noProof/>
                <w:webHidden/>
              </w:rPr>
              <w:tab/>
            </w:r>
            <w:r>
              <w:rPr>
                <w:noProof/>
                <w:webHidden/>
              </w:rPr>
              <w:fldChar w:fldCharType="begin"/>
            </w:r>
            <w:r>
              <w:rPr>
                <w:noProof/>
                <w:webHidden/>
              </w:rPr>
              <w:instrText xml:space="preserve"> PAGEREF _Toc106024861 \h </w:instrText>
            </w:r>
            <w:r>
              <w:rPr>
                <w:noProof/>
                <w:webHidden/>
              </w:rPr>
            </w:r>
            <w:r>
              <w:rPr>
                <w:noProof/>
                <w:webHidden/>
              </w:rPr>
              <w:fldChar w:fldCharType="separate"/>
            </w:r>
            <w:r>
              <w:rPr>
                <w:noProof/>
                <w:webHidden/>
              </w:rPr>
              <w:t>7</w:t>
            </w:r>
            <w:r>
              <w:rPr>
                <w:noProof/>
                <w:webHidden/>
              </w:rPr>
              <w:fldChar w:fldCharType="end"/>
            </w:r>
          </w:hyperlink>
        </w:p>
        <w:p w14:paraId="0B638D8E" w14:textId="44A6EF7B" w:rsidR="00BE6A20" w:rsidRDefault="00BE6A20">
          <w:pPr>
            <w:pStyle w:val="TOC2"/>
            <w:tabs>
              <w:tab w:val="left" w:pos="879"/>
              <w:tab w:val="right" w:leader="dot" w:pos="9062"/>
            </w:tabs>
            <w:rPr>
              <w:rFonts w:asciiTheme="minorHAnsi" w:eastAsiaTheme="minorEastAsia" w:hAnsiTheme="minorHAnsi"/>
              <w:noProof/>
              <w:lang w:val="en-US"/>
            </w:rPr>
          </w:pPr>
          <w:hyperlink w:anchor="_Toc106024862" w:history="1">
            <w:r w:rsidRPr="008311DC">
              <w:rPr>
                <w:rStyle w:val="Hyperlink"/>
                <w:noProof/>
                <w14:scene3d>
                  <w14:camera w14:prst="orthographicFront"/>
                  <w14:lightRig w14:rig="threePt" w14:dir="t">
                    <w14:rot w14:lat="0" w14:lon="0" w14:rev="0"/>
                  </w14:lightRig>
                </w14:scene3d>
              </w:rPr>
              <w:t>1.6</w:t>
            </w:r>
            <w:r>
              <w:rPr>
                <w:rFonts w:asciiTheme="minorHAnsi" w:eastAsiaTheme="minorEastAsia" w:hAnsiTheme="minorHAnsi"/>
                <w:noProof/>
                <w:lang w:val="en-US"/>
              </w:rPr>
              <w:tab/>
            </w:r>
            <w:r w:rsidRPr="008311DC">
              <w:rPr>
                <w:rStyle w:val="Hyperlink"/>
                <w:noProof/>
              </w:rPr>
              <w:t>Current regulation</w:t>
            </w:r>
            <w:r>
              <w:rPr>
                <w:noProof/>
                <w:webHidden/>
              </w:rPr>
              <w:tab/>
            </w:r>
            <w:r>
              <w:rPr>
                <w:noProof/>
                <w:webHidden/>
              </w:rPr>
              <w:fldChar w:fldCharType="begin"/>
            </w:r>
            <w:r>
              <w:rPr>
                <w:noProof/>
                <w:webHidden/>
              </w:rPr>
              <w:instrText xml:space="preserve"> PAGEREF _Toc106024862 \h </w:instrText>
            </w:r>
            <w:r>
              <w:rPr>
                <w:noProof/>
                <w:webHidden/>
              </w:rPr>
            </w:r>
            <w:r>
              <w:rPr>
                <w:noProof/>
                <w:webHidden/>
              </w:rPr>
              <w:fldChar w:fldCharType="separate"/>
            </w:r>
            <w:r>
              <w:rPr>
                <w:noProof/>
                <w:webHidden/>
              </w:rPr>
              <w:t>8</w:t>
            </w:r>
            <w:r>
              <w:rPr>
                <w:noProof/>
                <w:webHidden/>
              </w:rPr>
              <w:fldChar w:fldCharType="end"/>
            </w:r>
          </w:hyperlink>
        </w:p>
        <w:p w14:paraId="053A2DEC" w14:textId="6B296AC7" w:rsidR="00BE6A20" w:rsidRDefault="00BE6A20">
          <w:pPr>
            <w:pStyle w:val="TOC1"/>
            <w:tabs>
              <w:tab w:val="left" w:pos="442"/>
            </w:tabs>
            <w:rPr>
              <w:rFonts w:asciiTheme="minorHAnsi" w:eastAsiaTheme="minorEastAsia" w:hAnsiTheme="minorHAnsi"/>
              <w:lang w:val="en-US"/>
            </w:rPr>
          </w:pPr>
          <w:hyperlink w:anchor="_Toc106024863" w:history="1">
            <w:r w:rsidRPr="008311DC">
              <w:rPr>
                <w:rStyle w:val="Hyperlink"/>
                <w14:scene3d>
                  <w14:camera w14:prst="orthographicFront"/>
                  <w14:lightRig w14:rig="threePt" w14:dir="t">
                    <w14:rot w14:lat="0" w14:lon="0" w14:rev="0"/>
                  </w14:lightRig>
                </w14:scene3d>
              </w:rPr>
              <w:t>2.</w:t>
            </w:r>
            <w:r>
              <w:rPr>
                <w:rFonts w:asciiTheme="minorHAnsi" w:eastAsiaTheme="minorEastAsia" w:hAnsiTheme="minorHAnsi"/>
                <w:lang w:val="en-US"/>
              </w:rPr>
              <w:tab/>
            </w:r>
            <w:r w:rsidRPr="008311DC">
              <w:rPr>
                <w:rStyle w:val="Hyperlink"/>
              </w:rPr>
              <w:t>Proposed measures</w:t>
            </w:r>
            <w:r>
              <w:rPr>
                <w:webHidden/>
              </w:rPr>
              <w:tab/>
            </w:r>
            <w:r>
              <w:rPr>
                <w:webHidden/>
              </w:rPr>
              <w:fldChar w:fldCharType="begin"/>
            </w:r>
            <w:r>
              <w:rPr>
                <w:webHidden/>
              </w:rPr>
              <w:instrText xml:space="preserve"> PAGEREF _Toc106024863 \h </w:instrText>
            </w:r>
            <w:r>
              <w:rPr>
                <w:webHidden/>
              </w:rPr>
            </w:r>
            <w:r>
              <w:rPr>
                <w:webHidden/>
              </w:rPr>
              <w:fldChar w:fldCharType="separate"/>
            </w:r>
            <w:r>
              <w:rPr>
                <w:webHidden/>
              </w:rPr>
              <w:t>9</w:t>
            </w:r>
            <w:r>
              <w:rPr>
                <w:webHidden/>
              </w:rPr>
              <w:fldChar w:fldCharType="end"/>
            </w:r>
          </w:hyperlink>
        </w:p>
        <w:p w14:paraId="24006617" w14:textId="131709E6" w:rsidR="00BE6A20" w:rsidRDefault="00BE6A20">
          <w:pPr>
            <w:pStyle w:val="TOC2"/>
            <w:tabs>
              <w:tab w:val="left" w:pos="879"/>
              <w:tab w:val="right" w:leader="dot" w:pos="9062"/>
            </w:tabs>
            <w:rPr>
              <w:rFonts w:asciiTheme="minorHAnsi" w:eastAsiaTheme="minorEastAsia" w:hAnsiTheme="minorHAnsi"/>
              <w:noProof/>
              <w:lang w:val="en-US"/>
            </w:rPr>
          </w:pPr>
          <w:hyperlink w:anchor="_Toc106024864" w:history="1">
            <w:r w:rsidRPr="008311DC">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lang w:val="en-US"/>
              </w:rPr>
              <w:tab/>
            </w:r>
            <w:r w:rsidRPr="008311DC">
              <w:rPr>
                <w:rStyle w:val="Hyperlink"/>
                <w:noProof/>
              </w:rPr>
              <w:t>Maximum values for vitamin D and iodine</w:t>
            </w:r>
            <w:r>
              <w:rPr>
                <w:noProof/>
                <w:webHidden/>
              </w:rPr>
              <w:tab/>
            </w:r>
            <w:r>
              <w:rPr>
                <w:noProof/>
                <w:webHidden/>
              </w:rPr>
              <w:fldChar w:fldCharType="begin"/>
            </w:r>
            <w:r>
              <w:rPr>
                <w:noProof/>
                <w:webHidden/>
              </w:rPr>
              <w:instrText xml:space="preserve"> PAGEREF _Toc106024864 \h </w:instrText>
            </w:r>
            <w:r>
              <w:rPr>
                <w:noProof/>
                <w:webHidden/>
              </w:rPr>
            </w:r>
            <w:r>
              <w:rPr>
                <w:noProof/>
                <w:webHidden/>
              </w:rPr>
              <w:fldChar w:fldCharType="separate"/>
            </w:r>
            <w:r>
              <w:rPr>
                <w:noProof/>
                <w:webHidden/>
              </w:rPr>
              <w:t>9</w:t>
            </w:r>
            <w:r>
              <w:rPr>
                <w:noProof/>
                <w:webHidden/>
              </w:rPr>
              <w:fldChar w:fldCharType="end"/>
            </w:r>
          </w:hyperlink>
        </w:p>
        <w:p w14:paraId="3E595267" w14:textId="681F7388" w:rsidR="00BE6A20" w:rsidRDefault="00BE6A20">
          <w:pPr>
            <w:pStyle w:val="TOC2"/>
            <w:tabs>
              <w:tab w:val="left" w:pos="879"/>
              <w:tab w:val="right" w:leader="dot" w:pos="9062"/>
            </w:tabs>
            <w:rPr>
              <w:rFonts w:asciiTheme="minorHAnsi" w:eastAsiaTheme="minorEastAsia" w:hAnsiTheme="minorHAnsi"/>
              <w:noProof/>
              <w:lang w:val="en-US"/>
            </w:rPr>
          </w:pPr>
          <w:hyperlink w:anchor="_Toc106024865" w:history="1">
            <w:r w:rsidRPr="008311DC">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lang w:val="en-US"/>
              </w:rPr>
              <w:tab/>
            </w:r>
            <w:r w:rsidRPr="008311DC">
              <w:rPr>
                <w:rStyle w:val="Hyperlink"/>
                <w:noProof/>
              </w:rPr>
              <w:t>Transitional period and exemptions</w:t>
            </w:r>
            <w:r>
              <w:rPr>
                <w:noProof/>
                <w:webHidden/>
              </w:rPr>
              <w:tab/>
            </w:r>
            <w:r>
              <w:rPr>
                <w:noProof/>
                <w:webHidden/>
              </w:rPr>
              <w:fldChar w:fldCharType="begin"/>
            </w:r>
            <w:r>
              <w:rPr>
                <w:noProof/>
                <w:webHidden/>
              </w:rPr>
              <w:instrText xml:space="preserve"> PAGEREF _Toc106024865 \h </w:instrText>
            </w:r>
            <w:r>
              <w:rPr>
                <w:noProof/>
                <w:webHidden/>
              </w:rPr>
            </w:r>
            <w:r>
              <w:rPr>
                <w:noProof/>
                <w:webHidden/>
              </w:rPr>
              <w:fldChar w:fldCharType="separate"/>
            </w:r>
            <w:r>
              <w:rPr>
                <w:noProof/>
                <w:webHidden/>
              </w:rPr>
              <w:t>11</w:t>
            </w:r>
            <w:r>
              <w:rPr>
                <w:noProof/>
                <w:webHidden/>
              </w:rPr>
              <w:fldChar w:fldCharType="end"/>
            </w:r>
          </w:hyperlink>
        </w:p>
        <w:p w14:paraId="03BB0F4A" w14:textId="7459C7E5" w:rsidR="00BE6A20" w:rsidRDefault="00BE6A20">
          <w:pPr>
            <w:pStyle w:val="TOC2"/>
            <w:tabs>
              <w:tab w:val="left" w:pos="879"/>
              <w:tab w:val="right" w:leader="dot" w:pos="9062"/>
            </w:tabs>
            <w:rPr>
              <w:rFonts w:asciiTheme="minorHAnsi" w:eastAsiaTheme="minorEastAsia" w:hAnsiTheme="minorHAnsi"/>
              <w:noProof/>
              <w:lang w:val="en-US"/>
            </w:rPr>
          </w:pPr>
          <w:hyperlink w:anchor="_Toc106024866" w:history="1">
            <w:r w:rsidRPr="008311DC">
              <w:rPr>
                <w:rStyle w:val="Hyperlink"/>
                <w:noProof/>
                <w14:scene3d>
                  <w14:camera w14:prst="orthographicFront"/>
                  <w14:lightRig w14:rig="threePt" w14:dir="t">
                    <w14:rot w14:lat="0" w14:lon="0" w14:rev="0"/>
                  </w14:lightRig>
                </w14:scene3d>
              </w:rPr>
              <w:t>2.3</w:t>
            </w:r>
            <w:r>
              <w:rPr>
                <w:rFonts w:asciiTheme="minorHAnsi" w:eastAsiaTheme="minorEastAsia" w:hAnsiTheme="minorHAnsi"/>
                <w:noProof/>
                <w:lang w:val="en-US"/>
              </w:rPr>
              <w:tab/>
            </w:r>
            <w:r w:rsidRPr="008311DC">
              <w:rPr>
                <w:rStyle w:val="Hyperlink"/>
                <w:noProof/>
              </w:rPr>
              <w:t>Legal conditions and enabling powers</w:t>
            </w:r>
            <w:r>
              <w:rPr>
                <w:noProof/>
                <w:webHidden/>
              </w:rPr>
              <w:tab/>
            </w:r>
            <w:r>
              <w:rPr>
                <w:noProof/>
                <w:webHidden/>
              </w:rPr>
              <w:fldChar w:fldCharType="begin"/>
            </w:r>
            <w:r>
              <w:rPr>
                <w:noProof/>
                <w:webHidden/>
              </w:rPr>
              <w:instrText xml:space="preserve"> PAGEREF _Toc106024866 \h </w:instrText>
            </w:r>
            <w:r>
              <w:rPr>
                <w:noProof/>
                <w:webHidden/>
              </w:rPr>
            </w:r>
            <w:r>
              <w:rPr>
                <w:noProof/>
                <w:webHidden/>
              </w:rPr>
              <w:fldChar w:fldCharType="separate"/>
            </w:r>
            <w:r>
              <w:rPr>
                <w:noProof/>
                <w:webHidden/>
              </w:rPr>
              <w:t>11</w:t>
            </w:r>
            <w:r>
              <w:rPr>
                <w:noProof/>
                <w:webHidden/>
              </w:rPr>
              <w:fldChar w:fldCharType="end"/>
            </w:r>
          </w:hyperlink>
        </w:p>
        <w:p w14:paraId="3A464381" w14:textId="08EBA9D5" w:rsidR="00BE6A20" w:rsidRDefault="00BE6A20">
          <w:pPr>
            <w:pStyle w:val="TOC2"/>
            <w:tabs>
              <w:tab w:val="left" w:pos="879"/>
              <w:tab w:val="right" w:leader="dot" w:pos="9062"/>
            </w:tabs>
            <w:rPr>
              <w:rFonts w:asciiTheme="minorHAnsi" w:eastAsiaTheme="minorEastAsia" w:hAnsiTheme="minorHAnsi"/>
              <w:noProof/>
              <w:lang w:val="en-US"/>
            </w:rPr>
          </w:pPr>
          <w:hyperlink w:anchor="_Toc106024867" w:history="1">
            <w:r w:rsidRPr="008311DC">
              <w:rPr>
                <w:rStyle w:val="Hyperlink"/>
                <w:noProof/>
                <w14:scene3d>
                  <w14:camera w14:prst="orthographicFront"/>
                  <w14:lightRig w14:rig="threePt" w14:dir="t">
                    <w14:rot w14:lat="0" w14:lon="0" w14:rev="0"/>
                  </w14:lightRig>
                </w14:scene3d>
              </w:rPr>
              <w:t>2.4</w:t>
            </w:r>
            <w:r>
              <w:rPr>
                <w:rFonts w:asciiTheme="minorHAnsi" w:eastAsiaTheme="minorEastAsia" w:hAnsiTheme="minorHAnsi"/>
                <w:noProof/>
                <w:lang w:val="en-US"/>
              </w:rPr>
              <w:tab/>
            </w:r>
            <w:r w:rsidRPr="008311DC">
              <w:rPr>
                <w:rStyle w:val="Hyperlink"/>
                <w:noProof/>
              </w:rPr>
              <w:t>Alternative measures</w:t>
            </w:r>
            <w:r>
              <w:rPr>
                <w:noProof/>
                <w:webHidden/>
              </w:rPr>
              <w:tab/>
            </w:r>
            <w:r>
              <w:rPr>
                <w:noProof/>
                <w:webHidden/>
              </w:rPr>
              <w:fldChar w:fldCharType="begin"/>
            </w:r>
            <w:r>
              <w:rPr>
                <w:noProof/>
                <w:webHidden/>
              </w:rPr>
              <w:instrText xml:space="preserve"> PAGEREF _Toc106024867 \h </w:instrText>
            </w:r>
            <w:r>
              <w:rPr>
                <w:noProof/>
                <w:webHidden/>
              </w:rPr>
            </w:r>
            <w:r>
              <w:rPr>
                <w:noProof/>
                <w:webHidden/>
              </w:rPr>
              <w:fldChar w:fldCharType="separate"/>
            </w:r>
            <w:r>
              <w:rPr>
                <w:noProof/>
                <w:webHidden/>
              </w:rPr>
              <w:t>12</w:t>
            </w:r>
            <w:r>
              <w:rPr>
                <w:noProof/>
                <w:webHidden/>
              </w:rPr>
              <w:fldChar w:fldCharType="end"/>
            </w:r>
          </w:hyperlink>
        </w:p>
        <w:p w14:paraId="3498797D" w14:textId="720B07E3" w:rsidR="00BE6A20" w:rsidRDefault="00BE6A20">
          <w:pPr>
            <w:pStyle w:val="TOC1"/>
            <w:tabs>
              <w:tab w:val="left" w:pos="442"/>
            </w:tabs>
            <w:rPr>
              <w:rFonts w:asciiTheme="minorHAnsi" w:eastAsiaTheme="minorEastAsia" w:hAnsiTheme="minorHAnsi"/>
              <w:lang w:val="en-US"/>
            </w:rPr>
          </w:pPr>
          <w:hyperlink w:anchor="_Toc106024868" w:history="1">
            <w:r w:rsidRPr="008311DC">
              <w:rPr>
                <w:rStyle w:val="Hyperlink"/>
                <w14:scene3d>
                  <w14:camera w14:prst="orthographicFront"/>
                  <w14:lightRig w14:rig="threePt" w14:dir="t">
                    <w14:rot w14:lat="0" w14:lon="0" w14:rev="0"/>
                  </w14:lightRig>
                </w14:scene3d>
              </w:rPr>
              <w:t>3.</w:t>
            </w:r>
            <w:r>
              <w:rPr>
                <w:rFonts w:asciiTheme="minorHAnsi" w:eastAsiaTheme="minorEastAsia" w:hAnsiTheme="minorHAnsi"/>
                <w:lang w:val="en-US"/>
              </w:rPr>
              <w:tab/>
            </w:r>
            <w:r w:rsidRPr="008311DC">
              <w:rPr>
                <w:rStyle w:val="Hyperlink"/>
              </w:rPr>
              <w:t>Impact</w:t>
            </w:r>
            <w:r>
              <w:rPr>
                <w:webHidden/>
              </w:rPr>
              <w:tab/>
            </w:r>
            <w:r>
              <w:rPr>
                <w:webHidden/>
              </w:rPr>
              <w:fldChar w:fldCharType="begin"/>
            </w:r>
            <w:r>
              <w:rPr>
                <w:webHidden/>
              </w:rPr>
              <w:instrText xml:space="preserve"> PAGEREF _Toc106024868 \h </w:instrText>
            </w:r>
            <w:r>
              <w:rPr>
                <w:webHidden/>
              </w:rPr>
            </w:r>
            <w:r>
              <w:rPr>
                <w:webHidden/>
              </w:rPr>
              <w:fldChar w:fldCharType="separate"/>
            </w:r>
            <w:r>
              <w:rPr>
                <w:webHidden/>
              </w:rPr>
              <w:t>14</w:t>
            </w:r>
            <w:r>
              <w:rPr>
                <w:webHidden/>
              </w:rPr>
              <w:fldChar w:fldCharType="end"/>
            </w:r>
          </w:hyperlink>
        </w:p>
        <w:p w14:paraId="58799124" w14:textId="4BCED1B0" w:rsidR="00BE6A20" w:rsidRDefault="00BE6A20">
          <w:pPr>
            <w:pStyle w:val="TOC2"/>
            <w:tabs>
              <w:tab w:val="left" w:pos="879"/>
              <w:tab w:val="right" w:leader="dot" w:pos="9062"/>
            </w:tabs>
            <w:rPr>
              <w:rFonts w:asciiTheme="minorHAnsi" w:eastAsiaTheme="minorEastAsia" w:hAnsiTheme="minorHAnsi"/>
              <w:noProof/>
              <w:lang w:val="en-US"/>
            </w:rPr>
          </w:pPr>
          <w:hyperlink w:anchor="_Toc106024869" w:history="1">
            <w:r w:rsidRPr="008311DC">
              <w:rPr>
                <w:rStyle w:val="Hyperlink"/>
                <w:noProof/>
                <w14:scene3d>
                  <w14:camera w14:prst="orthographicFront"/>
                  <w14:lightRig w14:rig="threePt" w14:dir="t">
                    <w14:rot w14:lat="0" w14:lon="0" w14:rev="0"/>
                  </w14:lightRig>
                </w14:scene3d>
              </w:rPr>
              <w:t>3.1</w:t>
            </w:r>
            <w:r>
              <w:rPr>
                <w:rFonts w:asciiTheme="minorHAnsi" w:eastAsiaTheme="minorEastAsia" w:hAnsiTheme="minorHAnsi"/>
                <w:noProof/>
                <w:lang w:val="en-US"/>
              </w:rPr>
              <w:tab/>
            </w:r>
            <w:r w:rsidRPr="008311DC">
              <w:rPr>
                <w:rStyle w:val="Hyperlink"/>
                <w:noProof/>
              </w:rPr>
              <w:t>Impact on consumers</w:t>
            </w:r>
            <w:r>
              <w:rPr>
                <w:noProof/>
                <w:webHidden/>
              </w:rPr>
              <w:tab/>
            </w:r>
            <w:r>
              <w:rPr>
                <w:noProof/>
                <w:webHidden/>
              </w:rPr>
              <w:fldChar w:fldCharType="begin"/>
            </w:r>
            <w:r>
              <w:rPr>
                <w:noProof/>
                <w:webHidden/>
              </w:rPr>
              <w:instrText xml:space="preserve"> PAGEREF _Toc106024869 \h </w:instrText>
            </w:r>
            <w:r>
              <w:rPr>
                <w:noProof/>
                <w:webHidden/>
              </w:rPr>
            </w:r>
            <w:r>
              <w:rPr>
                <w:noProof/>
                <w:webHidden/>
              </w:rPr>
              <w:fldChar w:fldCharType="separate"/>
            </w:r>
            <w:r>
              <w:rPr>
                <w:noProof/>
                <w:webHidden/>
              </w:rPr>
              <w:t>14</w:t>
            </w:r>
            <w:r>
              <w:rPr>
                <w:noProof/>
                <w:webHidden/>
              </w:rPr>
              <w:fldChar w:fldCharType="end"/>
            </w:r>
          </w:hyperlink>
        </w:p>
        <w:p w14:paraId="4AC1FF06" w14:textId="098597C3" w:rsidR="00BE6A20" w:rsidRDefault="00BE6A20">
          <w:pPr>
            <w:pStyle w:val="TOC2"/>
            <w:tabs>
              <w:tab w:val="left" w:pos="879"/>
              <w:tab w:val="right" w:leader="dot" w:pos="9062"/>
            </w:tabs>
            <w:rPr>
              <w:rFonts w:asciiTheme="minorHAnsi" w:eastAsiaTheme="minorEastAsia" w:hAnsiTheme="minorHAnsi"/>
              <w:noProof/>
              <w:lang w:val="en-US"/>
            </w:rPr>
          </w:pPr>
          <w:hyperlink w:anchor="_Toc106024870" w:history="1">
            <w:r w:rsidRPr="008311DC">
              <w:rPr>
                <w:rStyle w:val="Hyperlink"/>
                <w:noProof/>
                <w14:scene3d>
                  <w14:camera w14:prst="orthographicFront"/>
                  <w14:lightRig w14:rig="threePt" w14:dir="t">
                    <w14:rot w14:lat="0" w14:lon="0" w14:rev="0"/>
                  </w14:lightRig>
                </w14:scene3d>
              </w:rPr>
              <w:t>3.2</w:t>
            </w:r>
            <w:r>
              <w:rPr>
                <w:rFonts w:asciiTheme="minorHAnsi" w:eastAsiaTheme="minorEastAsia" w:hAnsiTheme="minorHAnsi"/>
                <w:noProof/>
                <w:lang w:val="en-US"/>
              </w:rPr>
              <w:tab/>
            </w:r>
            <w:r w:rsidRPr="008311DC">
              <w:rPr>
                <w:rStyle w:val="Hyperlink"/>
                <w:noProof/>
              </w:rPr>
              <w:t>Impact on businesses affected</w:t>
            </w:r>
            <w:r>
              <w:rPr>
                <w:noProof/>
                <w:webHidden/>
              </w:rPr>
              <w:tab/>
            </w:r>
            <w:r>
              <w:rPr>
                <w:noProof/>
                <w:webHidden/>
              </w:rPr>
              <w:fldChar w:fldCharType="begin"/>
            </w:r>
            <w:r>
              <w:rPr>
                <w:noProof/>
                <w:webHidden/>
              </w:rPr>
              <w:instrText xml:space="preserve"> PAGEREF _Toc106024870 \h </w:instrText>
            </w:r>
            <w:r>
              <w:rPr>
                <w:noProof/>
                <w:webHidden/>
              </w:rPr>
            </w:r>
            <w:r>
              <w:rPr>
                <w:noProof/>
                <w:webHidden/>
              </w:rPr>
              <w:fldChar w:fldCharType="separate"/>
            </w:r>
            <w:r>
              <w:rPr>
                <w:noProof/>
                <w:webHidden/>
              </w:rPr>
              <w:t>14</w:t>
            </w:r>
            <w:r>
              <w:rPr>
                <w:noProof/>
                <w:webHidden/>
              </w:rPr>
              <w:fldChar w:fldCharType="end"/>
            </w:r>
          </w:hyperlink>
        </w:p>
        <w:p w14:paraId="0F616711" w14:textId="77059B5C" w:rsidR="00BE6A20" w:rsidRDefault="00BE6A20">
          <w:pPr>
            <w:pStyle w:val="TOC2"/>
            <w:tabs>
              <w:tab w:val="left" w:pos="879"/>
              <w:tab w:val="right" w:leader="dot" w:pos="9062"/>
            </w:tabs>
            <w:rPr>
              <w:rFonts w:asciiTheme="minorHAnsi" w:eastAsiaTheme="minorEastAsia" w:hAnsiTheme="minorHAnsi"/>
              <w:noProof/>
              <w:lang w:val="en-US"/>
            </w:rPr>
          </w:pPr>
          <w:hyperlink w:anchor="_Toc106024871" w:history="1">
            <w:r w:rsidRPr="008311DC">
              <w:rPr>
                <w:rStyle w:val="Hyperlink"/>
                <w:noProof/>
                <w14:scene3d>
                  <w14:camera w14:prst="orthographicFront"/>
                  <w14:lightRig w14:rig="threePt" w14:dir="t">
                    <w14:rot w14:lat="0" w14:lon="0" w14:rev="0"/>
                  </w14:lightRig>
                </w14:scene3d>
              </w:rPr>
              <w:t>3.3</w:t>
            </w:r>
            <w:r>
              <w:rPr>
                <w:rFonts w:asciiTheme="minorHAnsi" w:eastAsiaTheme="minorEastAsia" w:hAnsiTheme="minorHAnsi"/>
                <w:noProof/>
                <w:lang w:val="en-US"/>
              </w:rPr>
              <w:tab/>
            </w:r>
            <w:r w:rsidRPr="008311DC">
              <w:rPr>
                <w:rStyle w:val="Hyperlink"/>
                <w:noProof/>
              </w:rPr>
              <w:t>Impact on the public sector</w:t>
            </w:r>
            <w:r>
              <w:rPr>
                <w:noProof/>
                <w:webHidden/>
              </w:rPr>
              <w:tab/>
            </w:r>
            <w:r>
              <w:rPr>
                <w:noProof/>
                <w:webHidden/>
              </w:rPr>
              <w:fldChar w:fldCharType="begin"/>
            </w:r>
            <w:r>
              <w:rPr>
                <w:noProof/>
                <w:webHidden/>
              </w:rPr>
              <w:instrText xml:space="preserve"> PAGEREF _Toc106024871 \h </w:instrText>
            </w:r>
            <w:r>
              <w:rPr>
                <w:noProof/>
                <w:webHidden/>
              </w:rPr>
            </w:r>
            <w:r>
              <w:rPr>
                <w:noProof/>
                <w:webHidden/>
              </w:rPr>
              <w:fldChar w:fldCharType="separate"/>
            </w:r>
            <w:r>
              <w:rPr>
                <w:noProof/>
                <w:webHidden/>
              </w:rPr>
              <w:t>16</w:t>
            </w:r>
            <w:r>
              <w:rPr>
                <w:noProof/>
                <w:webHidden/>
              </w:rPr>
              <w:fldChar w:fldCharType="end"/>
            </w:r>
          </w:hyperlink>
        </w:p>
        <w:p w14:paraId="26BBC182" w14:textId="77B78A34" w:rsidR="00BE6A20" w:rsidRDefault="00BE6A20">
          <w:pPr>
            <w:pStyle w:val="TOC2"/>
            <w:tabs>
              <w:tab w:val="left" w:pos="879"/>
              <w:tab w:val="right" w:leader="dot" w:pos="9062"/>
            </w:tabs>
            <w:rPr>
              <w:rFonts w:asciiTheme="minorHAnsi" w:eastAsiaTheme="minorEastAsia" w:hAnsiTheme="minorHAnsi"/>
              <w:noProof/>
              <w:lang w:val="en-US"/>
            </w:rPr>
          </w:pPr>
          <w:hyperlink w:anchor="_Toc106024872" w:history="1">
            <w:r w:rsidRPr="008311DC">
              <w:rPr>
                <w:rStyle w:val="Hyperlink"/>
                <w:noProof/>
                <w14:scene3d>
                  <w14:camera w14:prst="orthographicFront"/>
                  <w14:lightRig w14:rig="threePt" w14:dir="t">
                    <w14:rot w14:lat="0" w14:lon="0" w14:rev="0"/>
                  </w14:lightRig>
                </w14:scene3d>
              </w:rPr>
              <w:t>3.4</w:t>
            </w:r>
            <w:r>
              <w:rPr>
                <w:rFonts w:asciiTheme="minorHAnsi" w:eastAsiaTheme="minorEastAsia" w:hAnsiTheme="minorHAnsi"/>
                <w:noProof/>
                <w:lang w:val="en-US"/>
              </w:rPr>
              <w:tab/>
            </w:r>
            <w:r w:rsidRPr="008311DC">
              <w:rPr>
                <w:rStyle w:val="Hyperlink"/>
                <w:noProof/>
              </w:rPr>
              <w:t>Overall assessment</w:t>
            </w:r>
            <w:r>
              <w:rPr>
                <w:noProof/>
                <w:webHidden/>
              </w:rPr>
              <w:tab/>
            </w:r>
            <w:r>
              <w:rPr>
                <w:noProof/>
                <w:webHidden/>
              </w:rPr>
              <w:fldChar w:fldCharType="begin"/>
            </w:r>
            <w:r>
              <w:rPr>
                <w:noProof/>
                <w:webHidden/>
              </w:rPr>
              <w:instrText xml:space="preserve"> PAGEREF _Toc106024872 \h </w:instrText>
            </w:r>
            <w:r>
              <w:rPr>
                <w:noProof/>
                <w:webHidden/>
              </w:rPr>
            </w:r>
            <w:r>
              <w:rPr>
                <w:noProof/>
                <w:webHidden/>
              </w:rPr>
              <w:fldChar w:fldCharType="separate"/>
            </w:r>
            <w:r>
              <w:rPr>
                <w:noProof/>
                <w:webHidden/>
              </w:rPr>
              <w:t>16</w:t>
            </w:r>
            <w:r>
              <w:rPr>
                <w:noProof/>
                <w:webHidden/>
              </w:rPr>
              <w:fldChar w:fldCharType="end"/>
            </w:r>
          </w:hyperlink>
        </w:p>
        <w:p w14:paraId="38EB5FFF" w14:textId="0BFB52E6" w:rsidR="00096EEA" w:rsidRDefault="00096EEA">
          <w:r>
            <w:rPr>
              <w:b/>
            </w:rPr>
            <w:fldChar w:fldCharType="end"/>
          </w:r>
        </w:p>
      </w:sdtContent>
    </w:sdt>
    <w:p w14:paraId="43A2BC77" w14:textId="33160CC4" w:rsidR="00B67F0F" w:rsidRDefault="00747673" w:rsidP="00B67F0F">
      <w:pPr>
        <w:pStyle w:val="Heading1"/>
      </w:pPr>
      <w:bookmarkStart w:id="1" w:name="_Toc106024856"/>
      <w:r>
        <w:lastRenderedPageBreak/>
        <w:t>Background</w:t>
      </w:r>
      <w:bookmarkEnd w:id="0"/>
      <w:bookmarkEnd w:id="1"/>
    </w:p>
    <w:p w14:paraId="6FF48C33" w14:textId="335D4283" w:rsidR="002B3C9C" w:rsidRPr="002B3C9C" w:rsidRDefault="002B3C9C" w:rsidP="002B3C9C">
      <w:pPr>
        <w:pStyle w:val="Rubrik2-F-direktunderrubrik1"/>
      </w:pPr>
      <w:bookmarkStart w:id="2" w:name="_Toc33773666"/>
      <w:bookmarkStart w:id="3" w:name="_Toc106024857"/>
      <w:r>
        <w:t>Remit and scope</w:t>
      </w:r>
      <w:bookmarkEnd w:id="2"/>
      <w:bookmarkEnd w:id="3"/>
    </w:p>
    <w:p w14:paraId="2A5981DB" w14:textId="774F6D6F" w:rsidR="009D39BF" w:rsidRDefault="000563A4" w:rsidP="00723BB4">
      <w:pPr>
        <w:pStyle w:val="BodyText"/>
      </w:pPr>
      <w:r>
        <w:t>In 2017, the Swedish Food Agency was tasked by the government to conduct an inquiry and, if necessary, introduce national regulations on maximum daily intakes of vitamins and minerals in food supplements.</w:t>
      </w:r>
      <w:r w:rsidRPr="00386750">
        <w:rPr>
          <w:rStyle w:val="FootnoteReference"/>
        </w:rPr>
        <w:footnoteReference w:id="2"/>
      </w:r>
      <w:r>
        <w:t xml:space="preserve"> In March 2020, the Food Agency put out a consultation document, proposing the introduction of several maximum values. However, </w:t>
      </w:r>
      <w:proofErr w:type="gramStart"/>
      <w:r>
        <w:t>the majority of</w:t>
      </w:r>
      <w:proofErr w:type="gramEnd"/>
      <w:r>
        <w:t xml:space="preserve"> the consultation bodies, in particular industry representatives, were critical of the proposal, citing, among other things, the lack of scientific evidence on the risks posed by the UL values drawn up by EFSA. </w:t>
      </w:r>
    </w:p>
    <w:p w14:paraId="270004DA" w14:textId="5853EC1A" w:rsidR="002D4ABC" w:rsidRDefault="008605C4" w:rsidP="00744D09">
      <w:pPr>
        <w:pStyle w:val="BodyText"/>
      </w:pPr>
      <w:r>
        <w:t xml:space="preserve">The Food Agency subsequently chose to limit the proposal to maximum levels only for vitamin D and iodine. This was done </w:t>
      </w:r>
      <w:proofErr w:type="gramStart"/>
      <w:r>
        <w:t>in light of the fact that</w:t>
      </w:r>
      <w:proofErr w:type="gramEnd"/>
      <w:r>
        <w:t xml:space="preserve"> over-consumption of vitamin D and iodine poses significant risks to the health of the general population. These risks have been substantiated by scientific studies, and both substances are present at high levels in food supplements on the market. The proposal makes it possible for food business operators to apply for a derogation from the proposed maximum levels with respect to individual products. For such a derogation to be granted, the company must be able to demonstrate, </w:t>
      </w:r>
      <w:proofErr w:type="gramStart"/>
      <w:r>
        <w:t>on the basis of</w:t>
      </w:r>
      <w:proofErr w:type="gramEnd"/>
      <w:r>
        <w:t xml:space="preserve"> scientific evidence, that the product does not pose a safety risk to human health.</w:t>
      </w:r>
    </w:p>
    <w:p w14:paraId="3FB1D6D9" w14:textId="1F1EBF12" w:rsidR="00DB4E52" w:rsidRDefault="00DB4E52" w:rsidP="00723BB4">
      <w:pPr>
        <w:pStyle w:val="BodyText"/>
      </w:pPr>
      <w:r>
        <w:t xml:space="preserve">In conjunction with the Food Agency’s inquiry into the need to introduce maximum levels for vitamins and minerals in food supplements, the Agency’s Regulations (LIVSFS 2003:9) on food supplements have also been revised in their entirety. </w:t>
      </w:r>
    </w:p>
    <w:p w14:paraId="369B5720" w14:textId="364204B9" w:rsidR="00DB4E52" w:rsidRDefault="008A2C29" w:rsidP="007668AA">
      <w:pPr>
        <w:pStyle w:val="Heading2"/>
      </w:pPr>
      <w:bookmarkStart w:id="4" w:name="_Toc33773667"/>
      <w:bookmarkStart w:id="5" w:name="_Toc106024858"/>
      <w:r>
        <w:t>Implementation</w:t>
      </w:r>
      <w:bookmarkEnd w:id="5"/>
      <w:r>
        <w:t xml:space="preserve"> </w:t>
      </w:r>
      <w:bookmarkEnd w:id="4"/>
    </w:p>
    <w:p w14:paraId="68F58385" w14:textId="77777777" w:rsidR="00096EEA" w:rsidRDefault="002B3C9C" w:rsidP="008F44DF">
      <w:pPr>
        <w:pStyle w:val="BodyText"/>
      </w:pPr>
      <w:r>
        <w:t xml:space="preserve">The establishment of maximum levels for vitamins and minerals requires separate risk assessments for each substance to determine those quantities of vitamins and minerals that may pose a risk to human health. In keeping with the principles of risk analysis, risk assessment and risk management were carried out separately. Considerations </w:t>
      </w:r>
      <w:proofErr w:type="gramStart"/>
      <w:r>
        <w:t>took into account</w:t>
      </w:r>
      <w:proofErr w:type="gramEnd"/>
      <w:r>
        <w:t xml:space="preserve"> the risk to the general population, the quality of scientific evidence with respect to the maximum value and the impact of the measure. </w:t>
      </w:r>
    </w:p>
    <w:p w14:paraId="6459B1E1" w14:textId="0A60F713" w:rsidR="008F44DF" w:rsidRDefault="008F44DF" w:rsidP="008F44DF">
      <w:pPr>
        <w:pStyle w:val="BodyText"/>
      </w:pPr>
      <w:r>
        <w:t>Considerations regarding the risk to the general population and the quality of scientific evidence were made during the risk assessment. The risk assessment resulted in amounts for a daily dose of the respective vitamin and mineral, which were considered safe to consume for the general, healthy, adult population for a long period of time. These values are based on compilations of the most up-to-date and reliable data from various authorities and scientific institutes dealing with safety, such as ULs</w:t>
      </w:r>
      <w:r w:rsidRPr="008F44DF">
        <w:rPr>
          <w:rStyle w:val="FootnoteReference"/>
        </w:rPr>
        <w:footnoteReference w:id="3"/>
      </w:r>
      <w:r>
        <w:t xml:space="preserve">. The UL refers to the dose an individual can ingest daily for a long period of time without risk of adverse effects. The UL usually refers to the limit for the total intake of the vitamin or mineral, </w:t>
      </w:r>
      <w:proofErr w:type="gramStart"/>
      <w:r>
        <w:t>i.e.</w:t>
      </w:r>
      <w:proofErr w:type="gramEnd"/>
      <w:r>
        <w:t xml:space="preserve"> from both diet and food supplements, but there are also instances where the UL is determined for intake only from food supplements. For risk assessment purposes, the dietary intake of consumers in </w:t>
      </w:r>
      <w:r>
        <w:lastRenderedPageBreak/>
        <w:t xml:space="preserve">Sweden was deducted from the UL value where the UL value related to the total intake (from diet and food supplements). Dietary intake is derived from national surveys on dietary habits, based on those consumers who consume the most (95th percentile of the population). </w:t>
      </w:r>
    </w:p>
    <w:p w14:paraId="07DB1443" w14:textId="4A7D7CEF" w:rsidR="008F44DF" w:rsidRDefault="008F44DF" w:rsidP="008F44DF">
      <w:pPr>
        <w:pStyle w:val="BodyText"/>
      </w:pPr>
      <w:r>
        <w:t xml:space="preserve">For risk management purposes, the impact of measures was considered. These were assessed primarily in terms of the impact of the measure on consumer safety. The impact on businesses was also </w:t>
      </w:r>
      <w:proofErr w:type="gramStart"/>
      <w:r>
        <w:t>taken into account</w:t>
      </w:r>
      <w:proofErr w:type="gramEnd"/>
      <w:r>
        <w:t xml:space="preserve"> to the extent that safety for consumers can still be guaranteed. </w:t>
      </w:r>
    </w:p>
    <w:p w14:paraId="7AA4F440" w14:textId="77777777" w:rsidR="008F44DF" w:rsidRDefault="008F44DF" w:rsidP="008F44DF">
      <w:pPr>
        <w:pStyle w:val="BodyText"/>
      </w:pPr>
      <w:r>
        <w:t xml:space="preserve">Factors </w:t>
      </w:r>
      <w:proofErr w:type="gramStart"/>
      <w:r>
        <w:t>taken into account</w:t>
      </w:r>
      <w:proofErr w:type="gramEnd"/>
      <w:r>
        <w:t xml:space="preserve"> with respect to risk management are:</w:t>
      </w:r>
    </w:p>
    <w:p w14:paraId="253B3802" w14:textId="77777777" w:rsidR="008F44DF" w:rsidRDefault="008F44DF" w:rsidP="00744D09">
      <w:pPr>
        <w:pStyle w:val="BodyText"/>
        <w:numPr>
          <w:ilvl w:val="0"/>
          <w:numId w:val="6"/>
        </w:numPr>
      </w:pPr>
      <w:r>
        <w:t xml:space="preserve">severity of the impact on consumer health from high levels of substances and the proportion of the population that may be affected; </w:t>
      </w:r>
    </w:p>
    <w:p w14:paraId="6BE068D6" w14:textId="44F35517" w:rsidR="008F44DF" w:rsidRDefault="008F44DF" w:rsidP="00744D09">
      <w:pPr>
        <w:pStyle w:val="BodyText"/>
        <w:numPr>
          <w:ilvl w:val="0"/>
          <w:numId w:val="6"/>
        </w:numPr>
      </w:pPr>
      <w:r>
        <w:t>market prevalence of supplements having high levels of vitamin D and iodine; and</w:t>
      </w:r>
    </w:p>
    <w:p w14:paraId="1B22B7DB" w14:textId="6274E38B" w:rsidR="008F44DF" w:rsidRDefault="007D5485" w:rsidP="00744D09">
      <w:pPr>
        <w:pStyle w:val="BodyText"/>
        <w:numPr>
          <w:ilvl w:val="0"/>
          <w:numId w:val="6"/>
        </w:numPr>
      </w:pPr>
      <w:r>
        <w:t>the impact of the measures on consumers.</w:t>
      </w:r>
    </w:p>
    <w:p w14:paraId="4E1A818F" w14:textId="77777777" w:rsidR="002B3C9C" w:rsidRPr="003E66C5" w:rsidRDefault="002B3C9C" w:rsidP="00E762C3">
      <w:pPr>
        <w:pStyle w:val="Heading2"/>
      </w:pPr>
      <w:bookmarkStart w:id="6" w:name="_Toc33773669"/>
      <w:bookmarkStart w:id="7" w:name="_Toc106024859"/>
      <w:r>
        <w:t>Vitamins and minerals in food supplements</w:t>
      </w:r>
      <w:bookmarkEnd w:id="6"/>
      <w:bookmarkEnd w:id="7"/>
    </w:p>
    <w:p w14:paraId="04FFC1C2" w14:textId="7B31BD99" w:rsidR="0077129D" w:rsidRDefault="002B3C9C" w:rsidP="002B3C9C">
      <w:pPr>
        <w:pStyle w:val="BodyText"/>
      </w:pPr>
      <w:r>
        <w:t>Food supplements often contain vitamins and minerals, which are groups of nutrients necessary for the body to function. As these are not produced in the body (</w:t>
      </w:r>
      <w:proofErr w:type="gramStart"/>
      <w:r>
        <w:t>with the exception of</w:t>
      </w:r>
      <w:proofErr w:type="gramEnd"/>
      <w:r>
        <w:t xml:space="preserve"> vitamin D produced when exposed to sunlight), our bodies need to obtain them from food. Most people get all the nutrients they need by eating a varied diet.</w:t>
      </w:r>
    </w:p>
    <w:p w14:paraId="69E91CFE" w14:textId="6ED3ECB9" w:rsidR="002B3C9C" w:rsidRDefault="002B3C9C" w:rsidP="002B3C9C">
      <w:pPr>
        <w:pStyle w:val="BodyText"/>
      </w:pPr>
      <w:r>
        <w:t>For some groups of the Swedish population, such as pregnant and elderly people, the need for vitamins or minerals is not always covered by diet alone and some substances may therefore need to come from food supplements.</w:t>
      </w:r>
    </w:p>
    <w:p w14:paraId="6FB868A4" w14:textId="5133C478" w:rsidR="0026355E" w:rsidRDefault="0026355E" w:rsidP="0026355E">
      <w:r>
        <w:t>The need for vitamins and minerals for Nordic consumers has been set out in the Nordic Nutrition Recommendations (NNR)</w:t>
      </w:r>
      <w:r>
        <w:rPr>
          <w:rStyle w:val="FootnoteReference"/>
        </w:rPr>
        <w:footnoteReference w:id="4"/>
      </w:r>
      <w:r>
        <w:t xml:space="preserve">, in the form of a recommended intake (RI). RI is determined </w:t>
      </w:r>
      <w:proofErr w:type="gramStart"/>
      <w:r>
        <w:t>on the basis of</w:t>
      </w:r>
      <w:proofErr w:type="gramEnd"/>
      <w:r>
        <w:t xml:space="preserve"> the average need and then adding a margin to cover the needs of practically the whole population or the group to which the recommendation refers. RI refers to the sum of dietary and food supplement intakes. The recommended intake for the general, healthy, adult population is achieved by eating a varied diet and normally food supplements are not needed to cover this.</w:t>
      </w:r>
    </w:p>
    <w:p w14:paraId="58FAB179" w14:textId="4DED9F0D" w:rsidR="00546E16" w:rsidRDefault="00E30D08" w:rsidP="00E762C3">
      <w:pPr>
        <w:pStyle w:val="BodyText"/>
      </w:pPr>
      <w:r>
        <w:t xml:space="preserve">The recommended intake of vitamins and minerals may vary according to age and sex. The recommended intake of some vitamins and minerals is higher for pregnant and breast-feeding women to meet the nutritional needs of the foetus or the child. </w:t>
      </w:r>
    </w:p>
    <w:p w14:paraId="1CD58179" w14:textId="3C156FF5" w:rsidR="009B55E0" w:rsidRPr="00204DA9" w:rsidRDefault="009B55E0" w:rsidP="009B55E0">
      <w:pPr>
        <w:pStyle w:val="BodyText"/>
        <w:rPr>
          <w:i/>
        </w:rPr>
      </w:pPr>
      <w:r>
        <w:rPr>
          <w:i/>
        </w:rPr>
        <w:t>Vitamin D</w:t>
      </w:r>
    </w:p>
    <w:p w14:paraId="22039EF8" w14:textId="0D45803F" w:rsidR="009B55E0" w:rsidRDefault="009B55E0" w:rsidP="009B55E0">
      <w:pPr>
        <w:pStyle w:val="BodyText"/>
      </w:pPr>
      <w:r>
        <w:t xml:space="preserve">Vitamin D is needed to regulate the calcium balance in teeth and bones, and iodine plays a central role in the body’s metabolism. Fish, </w:t>
      </w:r>
      <w:proofErr w:type="gramStart"/>
      <w:r>
        <w:t>eggs</w:t>
      </w:r>
      <w:proofErr w:type="gramEnd"/>
      <w:r>
        <w:t xml:space="preserve"> and foods fortified with vitamin D are important sources of vitamin D. Vitamin D is also produced in the skin when we are out in the sun. </w:t>
      </w:r>
    </w:p>
    <w:p w14:paraId="2A33F40B" w14:textId="55DD603E" w:rsidR="009B55E0" w:rsidRDefault="00B370D3" w:rsidP="009B55E0">
      <w:r>
        <w:lastRenderedPageBreak/>
        <w:t>The recommended intake (RI) for vitamin D varies. For the general, healthy, adult population, consuming 10 micrograms of vitamin D per day, from food and supplements combined, is sufficient. Adults over 75 years of age or those with limited exposure to the sun need to consume 20 micrograms per day.</w:t>
      </w:r>
    </w:p>
    <w:p w14:paraId="6C781DFB" w14:textId="1B78A5EA" w:rsidR="009B55E0" w:rsidRDefault="002B2CF9" w:rsidP="00204DA9">
      <w:pPr>
        <w:pStyle w:val="BodyText"/>
      </w:pPr>
      <w:r>
        <w:t xml:space="preserve">Those who eat fish and foods fortified with vitamin D usually get enough vitamin D from their food. Vegans, the </w:t>
      </w:r>
      <w:proofErr w:type="gramStart"/>
      <w:r>
        <w:t>elderly</w:t>
      </w:r>
      <w:proofErr w:type="gramEnd"/>
      <w:r>
        <w:t xml:space="preserve"> and people who are not exposed to sunlight may need supplements.</w:t>
      </w:r>
    </w:p>
    <w:p w14:paraId="036E2DE9" w14:textId="77777777" w:rsidR="009B55E0" w:rsidRDefault="009B55E0" w:rsidP="009B55E0">
      <w:pPr>
        <w:pStyle w:val="BodyText"/>
        <w:rPr>
          <w:i/>
        </w:rPr>
      </w:pPr>
      <w:r>
        <w:rPr>
          <w:i/>
        </w:rPr>
        <w:t>Iodine</w:t>
      </w:r>
    </w:p>
    <w:p w14:paraId="32440727" w14:textId="411ABB4D" w:rsidR="009B55E0" w:rsidRDefault="009B55E0" w:rsidP="009B55E0">
      <w:pPr>
        <w:pStyle w:val="BodyText"/>
      </w:pPr>
      <w:r>
        <w:t xml:space="preserve">The main source of iodine is iodised salt, but iodine is also found in milk, eggs, </w:t>
      </w:r>
      <w:proofErr w:type="gramStart"/>
      <w:r>
        <w:t>fish</w:t>
      </w:r>
      <w:proofErr w:type="gramEnd"/>
      <w:r>
        <w:t xml:space="preserve"> and seafood. Three grams of iodised salt corresponds to the recommended daily intake of iodine for adults. </w:t>
      </w:r>
    </w:p>
    <w:p w14:paraId="6BEBBA21" w14:textId="7600ED61" w:rsidR="009B55E0" w:rsidRDefault="00B370D3" w:rsidP="00204DA9">
      <w:pPr>
        <w:pStyle w:val="BodyText"/>
      </w:pPr>
      <w:r>
        <w:t xml:space="preserve">The recommended intake (RI) for iodine varies. For the general, healthy, adult population, consuming 150 micrograms of iodine a day, from food and supplements combined, is sufficient. Pregnant and breast-feeding women need more; 175 and 200 micrograms a day, respectively. </w:t>
      </w:r>
    </w:p>
    <w:p w14:paraId="3CC0226C" w14:textId="671C30A6" w:rsidR="002B2CF9" w:rsidRDefault="002B2CF9" w:rsidP="002B2CF9">
      <w:pPr>
        <w:pStyle w:val="BodyText"/>
      </w:pPr>
      <w:r>
        <w:t xml:space="preserve">Consumers of iodised salt usually get enough iodine from their food. Those who don’t, may need supplements. There is a very small margin between the amount of iodine required </w:t>
      </w:r>
      <w:proofErr w:type="gramStart"/>
      <w:r>
        <w:t>so as to</w:t>
      </w:r>
      <w:proofErr w:type="gramEnd"/>
      <w:r>
        <w:t xml:space="preserve"> avoid harm from being deficient and the amount that can cause harm due to being too high, especially for the groups with greatest need. Having a well-balanced intake of iodine is therefore important.</w:t>
      </w:r>
    </w:p>
    <w:p w14:paraId="286CA42B" w14:textId="77777777" w:rsidR="00C44D56" w:rsidRDefault="00C44D56" w:rsidP="00E762C3"/>
    <w:p w14:paraId="049DCEDB" w14:textId="313DBC46" w:rsidR="001E21E5" w:rsidRDefault="00895B8F" w:rsidP="00E762C3">
      <w:r>
        <w:t>While we do need to ingest vitamins and minerals, the intake of large amounts can be harmful.</w:t>
      </w:r>
      <w:bookmarkStart w:id="8" w:name="_Ref31617911"/>
      <w:bookmarkStart w:id="9" w:name="_Ref31618446"/>
      <w:bookmarkStart w:id="10" w:name="_Ref31618884"/>
      <w:bookmarkStart w:id="11" w:name="_Toc33773670"/>
      <w:r>
        <w:t xml:space="preserve"> Anyone taking several different supplements that contain the same nutrients is at risk of getting too much.</w:t>
      </w:r>
    </w:p>
    <w:p w14:paraId="54C79054" w14:textId="799C7802" w:rsidR="00E762C3" w:rsidRDefault="00E762C3" w:rsidP="00E762C3">
      <w:r>
        <w:t xml:space="preserve">There is no precise data on the number of people who consume supplements in Sweden. The Food Agency regularly carries out nationwide surveys on the eating habits of the Swedish population and these surveys include questions on food supplements. According to the </w:t>
      </w:r>
      <w:proofErr w:type="spellStart"/>
      <w:r>
        <w:t>Riksmaten</w:t>
      </w:r>
      <w:proofErr w:type="spellEnd"/>
      <w:r>
        <w:t xml:space="preserve"> survey for adults, 21 per cent of participants took dietary supplements, and more women (27 %) than men (15 %) did so.</w:t>
      </w:r>
      <w:r>
        <w:rPr>
          <w:rStyle w:val="FootnoteReference"/>
        </w:rPr>
        <w:footnoteReference w:id="5"/>
      </w:r>
      <w:r>
        <w:t xml:space="preserve"> The survey shows that most food supplements are consumed by consumers of working age. Sales statistics show that sales of all preparations in the food supplement sector have increased over time.</w:t>
      </w:r>
      <w:r>
        <w:rPr>
          <w:rStyle w:val="FootnoteReference"/>
        </w:rPr>
        <w:footnoteReference w:id="6"/>
      </w:r>
    </w:p>
    <w:p w14:paraId="06F8C754" w14:textId="51E28B1F" w:rsidR="00E762C3" w:rsidRDefault="00E762C3" w:rsidP="00E762C3">
      <w:r>
        <w:t xml:space="preserve">As it is relatively uncertain how many people take food supplements overall, there is considerable uncertainty as to the level of consumer demand for food supplements containing high doses of vitamin D and iodine. Women and young men are the primary groups of consumers that demand high levels of vitamins and minerals. In terms of supply on the market, the most common sales </w:t>
      </w:r>
      <w:proofErr w:type="gramStart"/>
      <w:r>
        <w:t>channels</w:t>
      </w:r>
      <w:proofErr w:type="gramEnd"/>
      <w:r>
        <w:t xml:space="preserve"> and an estimation of the proportion of companies marketing high doses, the proportion of consumers demanding high levels is likely to be a small percentage of the total number of food supplement consumers. It is estimated that some twenty companies in Sweden market preparations containing </w:t>
      </w:r>
      <w:r>
        <w:lastRenderedPageBreak/>
        <w:t>vitamins or minerals in doses that may be harmful. This corresponds to approximately 5 % of all companies selling food supplements.</w:t>
      </w:r>
    </w:p>
    <w:p w14:paraId="17897671" w14:textId="20105975" w:rsidR="00B67F0F" w:rsidRDefault="002D4ABC" w:rsidP="007668AA">
      <w:pPr>
        <w:pStyle w:val="Heading2"/>
      </w:pPr>
      <w:bookmarkStart w:id="12" w:name="_Toc106024860"/>
      <w:r>
        <w:t>Risks posed by high levels</w:t>
      </w:r>
      <w:bookmarkEnd w:id="12"/>
      <w:r>
        <w:t xml:space="preserve"> </w:t>
      </w:r>
      <w:bookmarkEnd w:id="8"/>
      <w:bookmarkEnd w:id="9"/>
      <w:bookmarkEnd w:id="10"/>
      <w:bookmarkEnd w:id="11"/>
    </w:p>
    <w:p w14:paraId="481E4B79" w14:textId="0FC73105" w:rsidR="00E44E68" w:rsidRDefault="00DC5A7F" w:rsidP="00365B7A">
      <w:r>
        <w:t>There are groups that may need extra supplements of a particular vitamin or mineral and therefore need food supplements to supplement the rest of their diet, but consumers do not benefit from levels of vitamins and minerals that are too high. High-level intake of vitamins and minerals can pose direct risks to consumers, often after long-term use, but acute cases also occur. The risks vary between substances. The amount of a vitamin or mineral that is considered safe can be determined by toxicological calculations, resulting in a Tolerable Upper Level (UL). The UL refers to the dose an individual can ingest daily for a long period of time without risk of adverse effects. EFSA has drawn up ULs for many vitamins and minerals. The UL often indicates the safe dose for the intake of the substance through diet and supplements combined. Therefore, when determining the safe dose for intake via food supplements, the intake of the substance through food should be deducted. In other cases, the UL indicates the safe dose for the intake of the substance through supplements alone.</w:t>
      </w:r>
    </w:p>
    <w:p w14:paraId="0967EDCB" w14:textId="655600D5" w:rsidR="00084C8D" w:rsidRDefault="00084C8D" w:rsidP="00365B7A">
      <w:r>
        <w:t>The daily dose of a vitamin or mineral that should not be exceeded over a longer period (UL) is usually significantly higher than the recommended intake (RI), as set out, for example, in the Nordic Nutrition Recommendations. The UL should only be considered as an upper limit, above which adverse effects may occur, and not as a guideline for the intake of food supplements.</w:t>
      </w:r>
    </w:p>
    <w:p w14:paraId="2CF1F527" w14:textId="77777777" w:rsidR="009B55E0" w:rsidRDefault="009B55E0" w:rsidP="009B55E0">
      <w:pPr>
        <w:pStyle w:val="BodyText"/>
        <w:rPr>
          <w:i/>
        </w:rPr>
      </w:pPr>
      <w:r>
        <w:rPr>
          <w:i/>
        </w:rPr>
        <w:t>Vitamin D</w:t>
      </w:r>
    </w:p>
    <w:p w14:paraId="595698DB" w14:textId="328D9707" w:rsidR="009B55E0" w:rsidRDefault="00E44E68" w:rsidP="009B55E0">
      <w:pPr>
        <w:pStyle w:val="BodyText"/>
      </w:pPr>
      <w:r>
        <w:t>Intaking large amounts of vitamin D for a long time can lead to excess calcium in the blood, calcium build-up in the kidneys and, in the worst case, kidney failure.</w:t>
      </w:r>
    </w:p>
    <w:p w14:paraId="12EAC183" w14:textId="729D5E08" w:rsidR="000B0BE2" w:rsidRDefault="00C766A2" w:rsidP="009B55E0">
      <w:pPr>
        <w:pStyle w:val="BodyText"/>
      </w:pPr>
      <w:r>
        <w:t xml:space="preserve">The UL for vitamin D is 100 micrograms. After deducting the intake of vitamin D via food in Sweden, the Food Agency considers that 80 micrograms of vitamin D </w:t>
      </w:r>
      <w:proofErr w:type="gramStart"/>
      <w:r>
        <w:t>is</w:t>
      </w:r>
      <w:proofErr w:type="gramEnd"/>
      <w:r>
        <w:t xml:space="preserve"> a safe daily dose in dietary supplements.</w:t>
      </w:r>
    </w:p>
    <w:p w14:paraId="345582D7" w14:textId="20AE6686" w:rsidR="000B0BE2" w:rsidRDefault="000B0BE2" w:rsidP="009B55E0">
      <w:pPr>
        <w:pStyle w:val="BodyText"/>
      </w:pPr>
      <w:r>
        <w:t>The recommended intake (RI) of vitamin D is 10–20 micrograms.</w:t>
      </w:r>
    </w:p>
    <w:p w14:paraId="177BA2E2" w14:textId="1A2D4A5A" w:rsidR="000B0BE2" w:rsidRDefault="000B0BE2" w:rsidP="009B55E0">
      <w:pPr>
        <w:pStyle w:val="BodyText"/>
      </w:pPr>
      <w:r>
        <w:t>Thus, consumers do not need more than 10–20 micrograms of vitamin D from food and supplements combined, but they should not take supplements containing more than 80 micrograms of vitamin D per day.</w:t>
      </w:r>
    </w:p>
    <w:p w14:paraId="6A32F288" w14:textId="77777777" w:rsidR="009B55E0" w:rsidRDefault="009B55E0" w:rsidP="009B55E0">
      <w:pPr>
        <w:pStyle w:val="BodyText"/>
        <w:rPr>
          <w:i/>
        </w:rPr>
      </w:pPr>
      <w:r>
        <w:rPr>
          <w:i/>
        </w:rPr>
        <w:t>Iodine</w:t>
      </w:r>
    </w:p>
    <w:p w14:paraId="258A9D4E" w14:textId="15FEA09B" w:rsidR="00E44E68" w:rsidRDefault="009B55E0" w:rsidP="00E44E68">
      <w:r>
        <w:t>Too much iodine can affect the thyroid gland and disrupt the hormone balance. If pregnant women get too much iodine, it can affect the mental and physical development of the foetus. Seaweed products can contain very high levels of iodine, which can be a particular problem when pregnant or breastfeeding.</w:t>
      </w:r>
    </w:p>
    <w:p w14:paraId="1B81D55F" w14:textId="717F5B01" w:rsidR="00C766A2" w:rsidRDefault="00C766A2" w:rsidP="00C766A2">
      <w:pPr>
        <w:pStyle w:val="BodyText"/>
      </w:pPr>
      <w:r>
        <w:t xml:space="preserve">The UL for iodine from food and supplements combined is 600 micrograms. After deducting the estimated intake of iodine from food in Sweden, the Food Agency considers that 200 micrograms of iodine </w:t>
      </w:r>
      <w:proofErr w:type="gramStart"/>
      <w:r>
        <w:t>is</w:t>
      </w:r>
      <w:proofErr w:type="gramEnd"/>
      <w:r>
        <w:t xml:space="preserve"> a safe daily dose in dietary supplements.</w:t>
      </w:r>
    </w:p>
    <w:p w14:paraId="5AF01748" w14:textId="3114490A" w:rsidR="00E44E68" w:rsidRPr="00204DA9" w:rsidRDefault="00723A6C" w:rsidP="00204DA9">
      <w:pPr>
        <w:pStyle w:val="BodyText"/>
      </w:pPr>
      <w:r>
        <w:t xml:space="preserve">The recommended intake (RI) of iodine for adults is between 150 and 200 micrograms per day. The lower figure, 150 micrograms, is for the general, healthy, adult population and higher levels are for </w:t>
      </w:r>
      <w:r>
        <w:lastRenderedPageBreak/>
        <w:t xml:space="preserve">groups with </w:t>
      </w:r>
      <w:proofErr w:type="gramStart"/>
      <w:r>
        <w:t>particular needs</w:t>
      </w:r>
      <w:proofErr w:type="gramEnd"/>
      <w:r>
        <w:t>, such as those who are pregnant (175 micrograms) or breast-feeding (200 micrograms).</w:t>
      </w:r>
    </w:p>
    <w:p w14:paraId="3936CFEF" w14:textId="51A83FE7" w:rsidR="00A575D1" w:rsidRDefault="00E44E68" w:rsidP="00365B7A">
      <w:r>
        <w:t xml:space="preserve">Thus, there is a very small margin between the amount of iodine required </w:t>
      </w:r>
      <w:proofErr w:type="gramStart"/>
      <w:r>
        <w:t>so as to</w:t>
      </w:r>
      <w:proofErr w:type="gramEnd"/>
      <w:r>
        <w:t xml:space="preserve"> avoid adverse effects from being deficient and the amount that can cause adverse effects due to being too high, especially for the groups with greatest need. Having a well-balanced intake of iodine is therefore important.</w:t>
      </w:r>
    </w:p>
    <w:p w14:paraId="10CBB957" w14:textId="3BE186CF" w:rsidR="00365B7A" w:rsidRDefault="00365B7A" w:rsidP="00365B7A"/>
    <w:p w14:paraId="6F076C6F" w14:textId="4B08AB6B" w:rsidR="00710689" w:rsidRDefault="00D924C9" w:rsidP="007668AA">
      <w:pPr>
        <w:pStyle w:val="Heading2"/>
      </w:pPr>
      <w:bookmarkStart w:id="13" w:name="_Ref31721354"/>
      <w:bookmarkStart w:id="14" w:name="_Toc33773671"/>
      <w:bookmarkStart w:id="15" w:name="_Toc106024861"/>
      <w:r>
        <w:t>Prevalence of f</w:t>
      </w:r>
      <w:bookmarkEnd w:id="13"/>
      <w:bookmarkEnd w:id="14"/>
      <w:r>
        <w:t>ood supplements containing high levels</w:t>
      </w:r>
      <w:bookmarkEnd w:id="15"/>
    </w:p>
    <w:p w14:paraId="27018AB1" w14:textId="55FD767C" w:rsidR="00C53C64" w:rsidRPr="00FA2EF4" w:rsidRDefault="00661288" w:rsidP="0050310D">
      <w:pPr>
        <w:rPr>
          <w:color w:val="27251F" w:themeColor="text1"/>
        </w:rPr>
      </w:pPr>
      <w:r>
        <w:t>To provide a picture of the extent to which food supplements containing high levels of vitamins and minerals are available, data from the Food Agency’s own survey on online sales of food supplements</w:t>
      </w:r>
      <w:r w:rsidRPr="00FA2EF4">
        <w:rPr>
          <w:rStyle w:val="FootnoteReference"/>
        </w:rPr>
        <w:footnoteReference w:id="7"/>
      </w:r>
      <w:r>
        <w:t xml:space="preserve"> and data from </w:t>
      </w:r>
      <w:proofErr w:type="spellStart"/>
      <w:r>
        <w:t>Svensk</w:t>
      </w:r>
      <w:proofErr w:type="spellEnd"/>
      <w:r>
        <w:t xml:space="preserve"> </w:t>
      </w:r>
      <w:proofErr w:type="spellStart"/>
      <w:r>
        <w:t>Egenvård</w:t>
      </w:r>
      <w:proofErr w:type="spellEnd"/>
      <w:r w:rsidRPr="00FA2EF4">
        <w:rPr>
          <w:rStyle w:val="FootnoteReference"/>
        </w:rPr>
        <w:footnoteReference w:id="8"/>
      </w:r>
      <w:r>
        <w:t xml:space="preserve"> and control authorities</w:t>
      </w:r>
      <w:r w:rsidRPr="00FA2EF4">
        <w:rPr>
          <w:rStyle w:val="FootnoteReference"/>
        </w:rPr>
        <w:footnoteReference w:id="9"/>
      </w:r>
      <w:r>
        <w:t xml:space="preserve"> were used. </w:t>
      </w:r>
      <w:r>
        <w:rPr>
          <w:color w:val="27251F" w:themeColor="text1"/>
        </w:rPr>
        <w:t>Overall, the data shows that food supplements containing high levels of vitamins or minerals are indeed marketed in Sweden, although most supplements do not have high levels. There is no specific data on the percentage of supplements containing high levels of vitamin D and iodine.</w:t>
      </w:r>
    </w:p>
    <w:p w14:paraId="3E055550" w14:textId="61B29697" w:rsidR="00FA2EF4" w:rsidRPr="00C53C64" w:rsidRDefault="00FA2EF4" w:rsidP="00FA2EF4">
      <w:r>
        <w:rPr>
          <w:color w:val="27251F" w:themeColor="text1"/>
        </w:rPr>
        <w:t xml:space="preserve">The Food Agency’s survey shows that high-dose food supplements are sold through both physical stores and through Swedish and foreign online operations. </w:t>
      </w:r>
      <w:r>
        <w:t xml:space="preserve">According to </w:t>
      </w:r>
      <w:proofErr w:type="spellStart"/>
      <w:r>
        <w:t>Svensk</w:t>
      </w:r>
      <w:proofErr w:type="spellEnd"/>
      <w:r>
        <w:t xml:space="preserve"> </w:t>
      </w:r>
      <w:proofErr w:type="spellStart"/>
      <w:r>
        <w:t>Egenvård</w:t>
      </w:r>
      <w:proofErr w:type="spellEnd"/>
      <w:r>
        <w:t xml:space="preserve">, high-dose </w:t>
      </w:r>
      <w:r>
        <w:rPr>
          <w:color w:val="27251F" w:themeColor="text1"/>
        </w:rPr>
        <w:t xml:space="preserve">food supplements </w:t>
      </w:r>
      <w:r>
        <w:t xml:space="preserve">are mainly sold through specialist health retailers, online outlets and, to some extent, pharmacies. Svenska </w:t>
      </w:r>
      <w:proofErr w:type="spellStart"/>
      <w:r>
        <w:t>Egenvård</w:t>
      </w:r>
      <w:proofErr w:type="spellEnd"/>
      <w:r>
        <w:t xml:space="preserve"> also states that there is both manufacturing in Sweden and imports of high-dose supplements. According to the control authorities consulted, sales are mainly through online outlets and specialist health retailers. Pharmacies were found to be more restrictive when it comes to stocking products with exceeded UL values. </w:t>
      </w:r>
      <w:proofErr w:type="gramStart"/>
      <w:r>
        <w:t>This is why</w:t>
      </w:r>
      <w:proofErr w:type="gramEnd"/>
      <w:r>
        <w:t xml:space="preserve"> such sales were seen to be less common through that channel. </w:t>
      </w:r>
    </w:p>
    <w:p w14:paraId="2CBED554" w14:textId="77B7513B" w:rsidR="004734CB" w:rsidRDefault="00710689" w:rsidP="00710689">
      <w:r>
        <w:t xml:space="preserve">The Food Agency’s survey of online outlets offering food supplements to consumers in Swedish shows that there is a range of dietary supplements where the </w:t>
      </w:r>
      <w:proofErr w:type="gramStart"/>
      <w:r>
        <w:t>amount</w:t>
      </w:r>
      <w:proofErr w:type="gramEnd"/>
      <w:r>
        <w:t xml:space="preserve"> of vitamins and minerals is equal to or higher than the UL set out by EFSA. More than 200 products containing high doses of vitamins and minerals were found during a one-day search on internet sites aimed at Swedish consumers. Of these, some products were equal to or exceeded the ULs for several substances. The Food Agency would like to point out, however, that the survey does not provide a complete picture of the number of high-level supplements. </w:t>
      </w:r>
    </w:p>
    <w:p w14:paraId="6D88232D" w14:textId="77785E40" w:rsidR="00275450" w:rsidRDefault="006B0E8A" w:rsidP="00694667">
      <w:proofErr w:type="spellStart"/>
      <w:r>
        <w:t>Svensk</w:t>
      </w:r>
      <w:proofErr w:type="spellEnd"/>
      <w:r>
        <w:t xml:space="preserve"> </w:t>
      </w:r>
      <w:proofErr w:type="spellStart"/>
      <w:r>
        <w:t>Egenvård</w:t>
      </w:r>
      <w:proofErr w:type="spellEnd"/>
      <w:r>
        <w:t xml:space="preserve"> has identified </w:t>
      </w:r>
      <w:proofErr w:type="gramStart"/>
      <w:r>
        <w:t>a number of</w:t>
      </w:r>
      <w:proofErr w:type="gramEnd"/>
      <w:r>
        <w:t xml:space="preserve"> trends in the food supplement industry that have driven demand for food supplements containing high doses of vitamins and minerals. For example, it is common for therapists in areas such as health or beauty to use and/or sell vitamin and mineral supplements in high doses. The Food Agency’s survey shows, however, that food supplements containing very high doses are more often marketed by operators other than therapists, for example in </w:t>
      </w:r>
      <w:r>
        <w:lastRenderedPageBreak/>
        <w:t xml:space="preserve">stores with a clear focus on exercise or in stores targeting a wider target group in both exercise and beauty. </w:t>
      </w:r>
    </w:p>
    <w:p w14:paraId="4E7BEF02" w14:textId="351BB020" w:rsidR="00944485" w:rsidRDefault="00D924C9" w:rsidP="0082498B">
      <w:pPr>
        <w:pStyle w:val="Heading2"/>
      </w:pPr>
      <w:bookmarkStart w:id="16" w:name="_Ref31960474"/>
      <w:bookmarkStart w:id="17" w:name="_Ref31964542"/>
      <w:bookmarkStart w:id="18" w:name="_Toc33773672"/>
      <w:bookmarkStart w:id="19" w:name="_Toc106024862"/>
      <w:r>
        <w:t>Current regulation</w:t>
      </w:r>
      <w:bookmarkEnd w:id="16"/>
      <w:bookmarkEnd w:id="17"/>
      <w:bookmarkEnd w:id="18"/>
      <w:bookmarkEnd w:id="19"/>
    </w:p>
    <w:p w14:paraId="414F0EA1" w14:textId="5BA8CF10" w:rsidR="00434DDD" w:rsidRDefault="00434DDD" w:rsidP="002B3C9C">
      <w:pPr>
        <w:pStyle w:val="BodyText"/>
      </w:pPr>
      <w:r>
        <w:t xml:space="preserve">Food supplements are foodstuffs and are regulated under food legislation. Vitamins and minerals permitted in food supplements are laid down at EU level by Directive 2002/46/EC of the European Parliament and of the Council of 10 June 2002 on the approximation of the laws of the Member States relating to food supplements. The legislation does not, however, prescribe any maximum values. National regulation of maximum values is allowed </w:t>
      </w:r>
      <w:proofErr w:type="gramStart"/>
      <w:r>
        <w:t>as long as</w:t>
      </w:r>
      <w:proofErr w:type="gramEnd"/>
      <w:r>
        <w:t xml:space="preserve"> these are not regulated at EU level.</w:t>
      </w:r>
      <w:r w:rsidR="002B3C9C">
        <w:rPr>
          <w:rStyle w:val="FootnoteReference"/>
        </w:rPr>
        <w:footnoteReference w:id="10"/>
      </w:r>
      <w:r>
        <w:t xml:space="preserve"> </w:t>
      </w:r>
    </w:p>
    <w:p w14:paraId="66924A35" w14:textId="6CC71C75" w:rsidR="002B3C9C" w:rsidRPr="00B83BA6" w:rsidRDefault="002B3C9C" w:rsidP="002B3C9C">
      <w:pPr>
        <w:pStyle w:val="BodyText"/>
        <w:rPr>
          <w:strike/>
        </w:rPr>
      </w:pPr>
      <w:r>
        <w:t>In Sweden, there is currently no national regulation of maximum levels of vitamins and minerals in food supplements. There are, however, examples of national regulations and indicative values from other Member States.</w:t>
      </w:r>
      <w:r>
        <w:rPr>
          <w:rStyle w:val="FootnoteReference"/>
        </w:rPr>
        <w:footnoteReference w:id="11"/>
      </w:r>
      <w:r>
        <w:t xml:space="preserve"> The absence of national regulation of maximum values means that it up to the manufacturers to determine how high to make the content of vitamins and minerals in their food supplements. The ways in which controls are carried out and the assessments of a potential need for measures to be taken varies among the Member States that have no maximum values. </w:t>
      </w:r>
    </w:p>
    <w:p w14:paraId="16E9A63E" w14:textId="27B30D0E" w:rsidR="002B3C9C" w:rsidRPr="002B3C9C" w:rsidRDefault="002B3C9C" w:rsidP="002B3C9C">
      <w:pPr>
        <w:pStyle w:val="BodyText"/>
      </w:pPr>
      <w:r>
        <w:t xml:space="preserve">In its judgment of 13 November 2018, Case No 3160-17, the Supreme Administrative Court ruled that the control authorities cannot intervene by banning the sale of food supplements because of high levels of vitamins or minerals. According to the Court, this was </w:t>
      </w:r>
      <w:proofErr w:type="gramStart"/>
      <w:r>
        <w:t>based on the fact that</w:t>
      </w:r>
      <w:proofErr w:type="gramEnd"/>
      <w:r>
        <w:t xml:space="preserve"> the Food Supplements Directive lays down the requirements for the safety of the products. The Directive stipulates </w:t>
      </w:r>
      <w:proofErr w:type="gramStart"/>
      <w:r>
        <w:t>that maximum levels</w:t>
      </w:r>
      <w:proofErr w:type="gramEnd"/>
      <w:r>
        <w:t xml:space="preserve"> are to be established by the European Commission, but that pending the laying down of maximum values in the EU, Member States may introduce national legislation. As mentioned above, this has not been done in Sweden. If the European Commission has not laid down harmonised maximum levels for vitamins and minerals in food supplements, and national legislation has not been put in place, control authorities are unable to intervene, irrespective of the levels of vitamins or minerals contained in a food supplement.</w:t>
      </w:r>
    </w:p>
    <w:p w14:paraId="34B34249" w14:textId="269E272B" w:rsidR="00B67F0F" w:rsidRDefault="00D924C9" w:rsidP="00B67F0F">
      <w:pPr>
        <w:pStyle w:val="Heading1"/>
      </w:pPr>
      <w:bookmarkStart w:id="20" w:name="_Ref30162969"/>
      <w:bookmarkStart w:id="21" w:name="_Toc33773673"/>
      <w:bookmarkStart w:id="22" w:name="_Toc106024863"/>
      <w:r>
        <w:lastRenderedPageBreak/>
        <w:t>Proposed measures</w:t>
      </w:r>
      <w:bookmarkEnd w:id="20"/>
      <w:bookmarkEnd w:id="21"/>
      <w:bookmarkEnd w:id="22"/>
    </w:p>
    <w:p w14:paraId="35996B0B" w14:textId="1D90FFF6" w:rsidR="009A0978" w:rsidRDefault="009E3C00" w:rsidP="009A0978">
      <w:r>
        <w:t xml:space="preserve">The Swedish Food Agency transposed Directive 2002/46/EC of the European Parliament and of the Council on the approximation of the laws of the Member States relating to food supplements into the Food Agency’s Regulations (LIVSFS 2003:9) on food supplements. Since being introduced, the regulations have been amended several times. In conjunction with the current proposal to introduce maximum levels for vitamins and minerals in food supplements, the regulations have been revised in their entirety. </w:t>
      </w:r>
    </w:p>
    <w:p w14:paraId="0ACCDF61" w14:textId="23363FCC" w:rsidR="00982490" w:rsidRDefault="00036D43" w:rsidP="009A0978">
      <w:r>
        <w:t xml:space="preserve">Therefore, the adoption of new regulations on food supplements is proposed, thus replacing current regulations; LIVSFS 2003:9. The new regulations include new headings, the structure is being changed and references to legal acts are being updated. The content is essentially the same, though with some additions. The new provisions primarily consist of the introduction of maximum levels for vitamin D and iodine, and a procedure for food business operators to be granted a derogation from those maximum levels. </w:t>
      </w:r>
    </w:p>
    <w:p w14:paraId="2DE7F12B" w14:textId="082EE9D2" w:rsidR="00FC2657" w:rsidRPr="008F48DE" w:rsidRDefault="00EA6507" w:rsidP="00580B07">
      <w:pPr>
        <w:pStyle w:val="BodyText"/>
        <w:rPr>
          <w:color w:val="auto"/>
        </w:rPr>
      </w:pPr>
      <w:r>
        <w:rPr>
          <w:color w:val="auto"/>
        </w:rPr>
        <w:t xml:space="preserve">The addition of a provision on fees for examining applications for such derogations is also proposed for the Food Agency’s Regulations (LIVSFS 2021:8) on fees for official controls and other official activities. </w:t>
      </w:r>
    </w:p>
    <w:p w14:paraId="39CEE3AD" w14:textId="58EE7E46" w:rsidR="00036D43" w:rsidRPr="008F48DE" w:rsidRDefault="00036D43" w:rsidP="00FC2657">
      <w:pPr>
        <w:pStyle w:val="BodyText"/>
        <w:rPr>
          <w:color w:val="auto"/>
        </w:rPr>
      </w:pPr>
      <w:r>
        <w:rPr>
          <w:color w:val="auto"/>
        </w:rPr>
        <w:t>Apart from the introduction of the maximum values and the related derogation provisions, the amendments proposed in the regulations are not expected to have any direct impact. The impact assessment therefore focuses on the draft provisions concerning the introduction of maximum values.</w:t>
      </w:r>
    </w:p>
    <w:p w14:paraId="35C974E9" w14:textId="733A3492" w:rsidR="00093C96" w:rsidRDefault="00FC0A25" w:rsidP="0082498B">
      <w:pPr>
        <w:pStyle w:val="Heading2"/>
      </w:pPr>
      <w:bookmarkStart w:id="23" w:name="_Ref33708616"/>
      <w:bookmarkStart w:id="24" w:name="_Ref33708619"/>
      <w:bookmarkStart w:id="25" w:name="_Toc33773674"/>
      <w:bookmarkStart w:id="26" w:name="_Toc106024864"/>
      <w:r>
        <w:t>Maximum values</w:t>
      </w:r>
      <w:bookmarkEnd w:id="23"/>
      <w:bookmarkEnd w:id="24"/>
      <w:bookmarkEnd w:id="25"/>
      <w:r>
        <w:t xml:space="preserve"> for vitamin D and iodine</w:t>
      </w:r>
      <w:bookmarkEnd w:id="26"/>
    </w:p>
    <w:p w14:paraId="5421DE06" w14:textId="5B94F4FB" w:rsidR="008F44DF" w:rsidRDefault="004102D5" w:rsidP="002D4ABC">
      <w:pPr>
        <w:pStyle w:val="BodyText"/>
      </w:pPr>
      <w:r>
        <w:t xml:space="preserve">The proposal is to introduce into the Regulations a maximum value of 80 micrograms for vitamin D and 200 micrograms for iodine with respect to a recommended daily dose of a food supplement. The recommended daily dose of the food supplement relates to how much of the product the manufacturer recommends that the consumer ingest; </w:t>
      </w:r>
      <w:proofErr w:type="gramStart"/>
      <w:r>
        <w:t>e.g.</w:t>
      </w:r>
      <w:proofErr w:type="gramEnd"/>
      <w:r>
        <w:t xml:space="preserve"> one tablet or five drops per day. This is a mandatory labelling requirement. If the company indicates a recommended daily dose of a food supplement as one tablet, the proposal means that the tablet must not contain more than 80 micrograms of vitamin D or 200 micrograms of iodine. </w:t>
      </w:r>
    </w:p>
    <w:p w14:paraId="1D1A37EA" w14:textId="1335FA18" w:rsidR="00471F4E" w:rsidRDefault="008F44DF" w:rsidP="002D4ABC">
      <w:pPr>
        <w:pStyle w:val="BodyText"/>
      </w:pPr>
      <w:r>
        <w:t xml:space="preserve">The Food Agency, in the risk management, has assessed this measure by </w:t>
      </w:r>
      <w:proofErr w:type="gramStart"/>
      <w:r>
        <w:t>taking into account</w:t>
      </w:r>
      <w:proofErr w:type="gramEnd"/>
      <w:r>
        <w:t xml:space="preserve"> the following: </w:t>
      </w:r>
    </w:p>
    <w:p w14:paraId="79AABFEE" w14:textId="4F8D69E1" w:rsidR="00471F4E" w:rsidRDefault="00471F4E" w:rsidP="00744D09">
      <w:pPr>
        <w:pStyle w:val="BodyText"/>
        <w:numPr>
          <w:ilvl w:val="0"/>
          <w:numId w:val="7"/>
        </w:numPr>
      </w:pPr>
      <w:r>
        <w:t xml:space="preserve">the risks to the </w:t>
      </w:r>
      <w:proofErr w:type="gramStart"/>
      <w:r>
        <w:t>general public</w:t>
      </w:r>
      <w:proofErr w:type="gramEnd"/>
      <w:r>
        <w:t xml:space="preserve"> arising from the consumption of large amounts of vitamins and minerals over a long period of time;</w:t>
      </w:r>
    </w:p>
    <w:p w14:paraId="1C626E60" w14:textId="64B723E1" w:rsidR="00471F4E" w:rsidRDefault="00471F4E" w:rsidP="00744D09">
      <w:pPr>
        <w:pStyle w:val="BodyText"/>
        <w:numPr>
          <w:ilvl w:val="0"/>
          <w:numId w:val="7"/>
        </w:numPr>
      </w:pPr>
      <w:r>
        <w:t>the quality of existing scientific data;</w:t>
      </w:r>
    </w:p>
    <w:p w14:paraId="0D64774D" w14:textId="756B821C" w:rsidR="00471F4E" w:rsidRDefault="008F44DF" w:rsidP="00744D09">
      <w:pPr>
        <w:pStyle w:val="BodyText"/>
        <w:numPr>
          <w:ilvl w:val="0"/>
          <w:numId w:val="7"/>
        </w:numPr>
      </w:pPr>
      <w:r>
        <w:t>the market prevalence of high-dose food supplements and thus the effect that a maximum value will have;</w:t>
      </w:r>
    </w:p>
    <w:p w14:paraId="4D49D47B" w14:textId="746C3F56" w:rsidR="00471F4E" w:rsidRDefault="008F44DF" w:rsidP="00744D09">
      <w:pPr>
        <w:pStyle w:val="BodyText"/>
        <w:numPr>
          <w:ilvl w:val="0"/>
          <w:numId w:val="7"/>
        </w:numPr>
      </w:pPr>
      <w:r>
        <w:t>how the authority reaches out with the information and thus protects the consumer;</w:t>
      </w:r>
    </w:p>
    <w:p w14:paraId="5972E393" w14:textId="77777777" w:rsidR="002D4ABC" w:rsidRDefault="008F44DF" w:rsidP="00744D09">
      <w:pPr>
        <w:pStyle w:val="BodyText"/>
        <w:numPr>
          <w:ilvl w:val="0"/>
          <w:numId w:val="7"/>
        </w:numPr>
      </w:pPr>
      <w:r>
        <w:lastRenderedPageBreak/>
        <w:t>the impact of the measure on businesses in so far as the safety of the consumer is not compromised.</w:t>
      </w:r>
    </w:p>
    <w:p w14:paraId="0B293D74" w14:textId="1EA00BE6" w:rsidR="008166A5" w:rsidRDefault="002D4ABC" w:rsidP="008166A5">
      <w:pPr>
        <w:pStyle w:val="BodyText"/>
      </w:pPr>
      <w:r>
        <w:t xml:space="preserve">The purpose of regulated maximum values is to ensure that consumers have peace of mind that the food supplements made available on the Swedish market are safe. Science-based maximum values for vitamin D and iodine in national regulations will also provide greater clarity for manufacturers, </w:t>
      </w:r>
      <w:proofErr w:type="gramStart"/>
      <w:r>
        <w:t>marketers</w:t>
      </w:r>
      <w:proofErr w:type="gramEnd"/>
      <w:r>
        <w:t xml:space="preserve"> and control authorities in Sweden. The premise of the proposed maximum levels is that the regular intake of food supplements containing vitamin D and iodine shall not have any harmful effects on health for the general, healthy, adult population eating a varied diet. In addition, most consumers shall not be put at risk of being deficient in vitamin D and iodine due to the limited content of a recommended daily dose.</w:t>
      </w:r>
    </w:p>
    <w:p w14:paraId="6996D2A5" w14:textId="206176AE" w:rsidR="00FB7B3B" w:rsidRDefault="008166A5" w:rsidP="008166A5">
      <w:pPr>
        <w:pStyle w:val="BodyText"/>
      </w:pPr>
      <w:r>
        <w:t xml:space="preserve">However, where there is a small difference between required levels and risk levels, the maximum values provide the possibility to consume the levels that are needed. The proposed levels therefore allow consumers in Swedish stores to have access to a range of food supplements with safe levels of vitamin D and iodine while at the same time satisfying consumers’ needs for vitamin D and iodine. </w:t>
      </w:r>
    </w:p>
    <w:p w14:paraId="48273F5E" w14:textId="63A91BA7" w:rsidR="008166A5" w:rsidRDefault="00FB7B3B" w:rsidP="008166A5">
      <w:pPr>
        <w:pStyle w:val="BodyText"/>
      </w:pPr>
      <w:r>
        <w:t>However, consumers who have a greater need of these substances are still able to take a higher dose than that indicated in the recommended daily dose of the food supplement. Individuals who, due to illness, have a greater need for vitamins or minerals should consult a qualified healthcare professional. Products classified as medicinal products are not affected by food supplement regulations.</w:t>
      </w:r>
    </w:p>
    <w:p w14:paraId="4B1F3912" w14:textId="24B4E091" w:rsidR="00470370" w:rsidRPr="00470370" w:rsidRDefault="00BA3D86" w:rsidP="00470370">
      <w:pPr>
        <w:pStyle w:val="BodyText"/>
        <w:rPr>
          <w:i/>
        </w:rPr>
      </w:pPr>
      <w:r>
        <w:rPr>
          <w:i/>
        </w:rPr>
        <w:t>Vitamin D</w:t>
      </w:r>
    </w:p>
    <w:p w14:paraId="5ACA2588" w14:textId="4A17ECCC" w:rsidR="00470370" w:rsidRDefault="00470370" w:rsidP="00470370">
      <w:pPr>
        <w:pStyle w:val="BodyText"/>
      </w:pPr>
      <w:r>
        <w:t xml:space="preserve">Consumption of large amounts of vitamin D may have adverse effects on health, such as muscle weakness, </w:t>
      </w:r>
      <w:proofErr w:type="gramStart"/>
      <w:r>
        <w:t>nausea</w:t>
      </w:r>
      <w:proofErr w:type="gramEnd"/>
      <w:r>
        <w:t xml:space="preserve"> or arrhythmia. Longer-term consumption may result in several serious and irreversible conditions, such as impaired kidney function, cardiovascular </w:t>
      </w:r>
      <w:proofErr w:type="gramStart"/>
      <w:r>
        <w:t>disease</w:t>
      </w:r>
      <w:proofErr w:type="gramEnd"/>
      <w:r>
        <w:t xml:space="preserve"> or tissue calcification. Such effects can occur in an otherwise healthy, general population.</w:t>
      </w:r>
    </w:p>
    <w:p w14:paraId="09C9D255" w14:textId="7C873744" w:rsidR="00470370" w:rsidRDefault="00470370" w:rsidP="00470370">
      <w:pPr>
        <w:pStyle w:val="BodyText"/>
      </w:pPr>
      <w:r>
        <w:t xml:space="preserve">The Food Agency has deemed vitamin D to be one of the vitamins and minerals that has the most serious effects on the general population in the event of over-consumption. Based on scientific data, the Food Agency deems 80 micrograms of vitamin D in a recommended daily dose of a food supplement to be a safe dose for the general adult population. </w:t>
      </w:r>
    </w:p>
    <w:p w14:paraId="7257BE87" w14:textId="6A603618" w:rsidR="00FB7B3B" w:rsidRDefault="00FB7B3B" w:rsidP="00FB7B3B">
      <w:pPr>
        <w:pStyle w:val="BodyText"/>
      </w:pPr>
      <w:r>
        <w:t>As the recommended intake (RI) of vitamin D is 10 micrograms for the general adult population in Sweden and 20 micrograms for certain groups, the maximum value of 80 micrograms does not present any risk of deficiency in consumers.</w:t>
      </w:r>
    </w:p>
    <w:p w14:paraId="3BF7D6B5" w14:textId="7D1C0FD1" w:rsidR="00470370" w:rsidRDefault="002D4ABC" w:rsidP="00470370">
      <w:pPr>
        <w:pStyle w:val="NormalLST"/>
        <w:rPr>
          <w:i/>
        </w:rPr>
      </w:pPr>
      <w:r>
        <w:rPr>
          <w:i/>
        </w:rPr>
        <w:t>Iodine</w:t>
      </w:r>
    </w:p>
    <w:p w14:paraId="19E2C75B" w14:textId="1140935F" w:rsidR="002D4ABC" w:rsidRDefault="002D4ABC" w:rsidP="002D4ABC">
      <w:pPr>
        <w:pStyle w:val="BodyText"/>
      </w:pPr>
      <w:r>
        <w:t>Consumption of large amounts of iodine can disrupt thyroid hormone levels, which can lead to thyroid disease in healthy individuals. If pregnant or breast-feeding women consume large amounts of iodine, it can also affect the development of the foetus or child, which is irreversible.</w:t>
      </w:r>
    </w:p>
    <w:p w14:paraId="0D147580" w14:textId="70CA70EC" w:rsidR="00B13505" w:rsidRDefault="002D4ABC" w:rsidP="002D4ABC">
      <w:pPr>
        <w:pStyle w:val="BodyText"/>
      </w:pPr>
      <w:r>
        <w:t xml:space="preserve">The Food Agency has deemed iodine to be one of the vitamins and minerals that has the most serious effects on the general adult population in the event of over-consumption. Based on scientific data, the Food Agency deems 200 micrograms of iodine in a recommended daily dose of a food supplement to be a safe dose for the general healthy population. </w:t>
      </w:r>
    </w:p>
    <w:p w14:paraId="70B6FD11" w14:textId="6BD27DF4" w:rsidR="00B13505" w:rsidRDefault="00B13505" w:rsidP="00B13505">
      <w:pPr>
        <w:pStyle w:val="BodyText"/>
      </w:pPr>
      <w:r>
        <w:lastRenderedPageBreak/>
        <w:t>The recommended intake (RI) of iodine is 150 micrograms for the general, healthy, adult population in Sweden and the maximum value of 200 micrograms thus does not present any risk of deficiency in those consumers.</w:t>
      </w:r>
    </w:p>
    <w:p w14:paraId="504CC513" w14:textId="4A058C01" w:rsidR="00B13505" w:rsidRDefault="00B13505" w:rsidP="00B370D3">
      <w:pPr>
        <w:pStyle w:val="BodyText"/>
      </w:pPr>
      <w:r>
        <w:t xml:space="preserve">However, </w:t>
      </w:r>
      <w:proofErr w:type="gramStart"/>
      <w:r>
        <w:t>pregnant</w:t>
      </w:r>
      <w:proofErr w:type="gramEnd"/>
      <w:r>
        <w:t xml:space="preserve"> and breast-feeding women have a greater need; up to 200 micrograms of iodine per day. Thus, there is a very small margin between the amount of iodine required </w:t>
      </w:r>
      <w:proofErr w:type="gramStart"/>
      <w:r>
        <w:t>so as to</w:t>
      </w:r>
      <w:proofErr w:type="gramEnd"/>
      <w:r>
        <w:t xml:space="preserve"> avoid adverse effects from being deficient and the amount that can cause adverse effects due to being too high, especially for the groups with greatest need.</w:t>
      </w:r>
    </w:p>
    <w:p w14:paraId="175C0504" w14:textId="20199118" w:rsidR="0091597E" w:rsidRDefault="0091597E" w:rsidP="00204DA9">
      <w:r>
        <w:t>Those in groups with a particular need for iodine can cover such need by eating fish and fortified salt. If they do not eat such, they can still ingest enough iodine under these Regulations as the maximum value is not below the recommended intake for the group.</w:t>
      </w:r>
    </w:p>
    <w:p w14:paraId="48D5E76E" w14:textId="20BF00E4" w:rsidR="002D4ABC" w:rsidRDefault="008166A5" w:rsidP="002D4ABC">
      <w:pPr>
        <w:pStyle w:val="Heading2"/>
      </w:pPr>
      <w:bookmarkStart w:id="27" w:name="_Toc106024865"/>
      <w:r>
        <w:t>Transitional period and exemptions</w:t>
      </w:r>
      <w:bookmarkEnd w:id="27"/>
      <w:r>
        <w:t xml:space="preserve"> </w:t>
      </w:r>
    </w:p>
    <w:p w14:paraId="02D6E003" w14:textId="3C3194FF" w:rsidR="008166A5" w:rsidRDefault="008166A5" w:rsidP="008166A5">
      <w:r>
        <w:t xml:space="preserve">The provisions on maximum values will require the composition, labelling and marketing of several products to be adjusted. A certain </w:t>
      </w:r>
      <w:proofErr w:type="gramStart"/>
      <w:r>
        <w:t>period of time</w:t>
      </w:r>
      <w:proofErr w:type="gramEnd"/>
      <w:r>
        <w:t xml:space="preserve"> is therefore necessary for businesses to adjust to the new requirements. In view of the risks faced by consumers pending full application of the rules, however, the transitional period should not be too long. The Food Agency considers a transitional period of 18 months, from the time the regulations are adopted, to be an appropriate </w:t>
      </w:r>
      <w:proofErr w:type="gramStart"/>
      <w:r>
        <w:t>period of time</w:t>
      </w:r>
      <w:proofErr w:type="gramEnd"/>
      <w:r>
        <w:t xml:space="preserve">. Companies are also being given the opportunity to run down their stocks, provided that the food supplements are placed on the market or labelled before the end of this period. </w:t>
      </w:r>
    </w:p>
    <w:p w14:paraId="21BFBB04" w14:textId="6A130EE7" w:rsidR="00122B06" w:rsidRDefault="00122B06" w:rsidP="00470370">
      <w:pPr>
        <w:pStyle w:val="BodyText"/>
      </w:pPr>
      <w:r>
        <w:t xml:space="preserve">Food business operators will also be able to apply for a derogation from the maximum levels if they can demonstrate, using scientific data, that the food supplement concerned is safe despite exceeding the maximum level. A fee will be charged for such applications. The fee will cover the costs of handling and assessing the application and will be at a fixed amount of SEK 20 000. The fee is calculated </w:t>
      </w:r>
      <w:proofErr w:type="gramStart"/>
      <w:r>
        <w:t>on the basis of</w:t>
      </w:r>
      <w:proofErr w:type="gramEnd"/>
      <w:r>
        <w:t xml:space="preserve"> an estimate of the processing time for handling the derogation application. Processing includes the administrative work that the application entails and the scientific risk assessment. The fee may be reduced or waived if there are special reasons for doing so.</w:t>
      </w:r>
    </w:p>
    <w:p w14:paraId="74290436" w14:textId="5F36D229" w:rsidR="008166A5" w:rsidRDefault="008166A5" w:rsidP="008166A5">
      <w:r>
        <w:t xml:space="preserve">Before the new provisions on maximum values enter into force, it is also important for the Food Agency to undertake measures to inform all interested parties. The Food Agency intends to communicate directly with the industry and make use of the established information channels, such as the Agency’s website, to disseminate information on the adopted maximum values, what the regulations mean for businesses, control authorities and consumers, and (especially) why such rules are being introduced. It will also be appropriate to ask trade and interest associations and other organisations to inform their stakeholders about the rules. </w:t>
      </w:r>
    </w:p>
    <w:p w14:paraId="14BB2BC7" w14:textId="77777777" w:rsidR="00093C96" w:rsidRDefault="00093C96" w:rsidP="00093C96">
      <w:pPr>
        <w:pStyle w:val="Heading2"/>
      </w:pPr>
      <w:bookmarkStart w:id="28" w:name="_Toc33773675"/>
      <w:bookmarkStart w:id="29" w:name="_Toc106024866"/>
      <w:r>
        <w:t>Legal conditions and enabling powers</w:t>
      </w:r>
      <w:bookmarkEnd w:id="28"/>
      <w:bookmarkEnd w:id="29"/>
    </w:p>
    <w:p w14:paraId="52D47040" w14:textId="77777777" w:rsidR="00F53763" w:rsidRDefault="00635B9A" w:rsidP="00093C96">
      <w:r>
        <w:t xml:space="preserve">The Food Agency’s power to make decisions is based on Sections 5 to 7 of the Food Ordinance. The draft regulations essentially transpose Directive 2002/46/EC and are thus consistent with EU law. </w:t>
      </w:r>
    </w:p>
    <w:p w14:paraId="6B8B3F24" w14:textId="56B758BF" w:rsidR="00093C96" w:rsidRDefault="00F96C8B" w:rsidP="00093C96">
      <w:r>
        <w:t xml:space="preserve">Article 5(4) of Directive 2002/46/EC requires the European Commission to introduce maximum levels for vitamins and minerals in food supplements. However, no such values have been adopted. The Court of Justice has held that the Member States remain competent to adopt provisions establishing maximum levels for vitamins and minerals that may be used in food supplements so long as the </w:t>
      </w:r>
      <w:r>
        <w:lastRenderedPageBreak/>
        <w:t>European Commission has not already done so. However, Member States are required to comply with Articles 34 and 36 of the Treaty on the Functioning of the European Union (TFEU) and to seek guidance from the criteria set out in Article 5(1) and (2) of the Directive, including the requirement for a risk assessment based on generally accepted scientific data.</w:t>
      </w:r>
      <w:r w:rsidR="00172DA2">
        <w:rPr>
          <w:rStyle w:val="FootnoteReference"/>
        </w:rPr>
        <w:footnoteReference w:id="12"/>
      </w:r>
      <w:r>
        <w:t xml:space="preserve"> </w:t>
      </w:r>
    </w:p>
    <w:p w14:paraId="77EC9757" w14:textId="631D7F68" w:rsidR="00744D09" w:rsidRDefault="00744D09" w:rsidP="00DB06EC">
      <w:pPr>
        <w:pStyle w:val="Heading2"/>
      </w:pPr>
      <w:bookmarkStart w:id="30" w:name="_Toc33773682"/>
      <w:bookmarkStart w:id="31" w:name="_Toc106024867"/>
      <w:r>
        <w:t>Alternative measures</w:t>
      </w:r>
      <w:bookmarkEnd w:id="31"/>
    </w:p>
    <w:bookmarkEnd w:id="30"/>
    <w:p w14:paraId="4AD7C7D3" w14:textId="77777777" w:rsidR="00DA3AA7" w:rsidRDefault="00A66FFC" w:rsidP="00DB06EC">
      <w:pPr>
        <w:pStyle w:val="BodyText"/>
      </w:pPr>
      <w:r>
        <w:t xml:space="preserve">The Food Agency believes that harmonised EU legislation laying down maximum values would have been preferable to national regulation. Harmonised limits provide a level playing field, fair competition in trade between Member States and clarity for consumers, </w:t>
      </w:r>
      <w:proofErr w:type="gramStart"/>
      <w:r>
        <w:t>businesses</w:t>
      </w:r>
      <w:proofErr w:type="gramEnd"/>
      <w:r>
        <w:t xml:space="preserve"> and control authorities. It is also the solution that the industry deems to provide the most legal certainty and to promote free trade within the EU. </w:t>
      </w:r>
    </w:p>
    <w:p w14:paraId="1025D182" w14:textId="3E945A1B" w:rsidR="008C747F" w:rsidRDefault="00DA3AA7" w:rsidP="00DB06EC">
      <w:pPr>
        <w:pStyle w:val="BodyText"/>
      </w:pPr>
      <w:r>
        <w:t>Work on producing harmonised maximum values has commenced within the European Commission. Pending implementation of such, Sweden deems national regulation to be necessary.</w:t>
      </w:r>
    </w:p>
    <w:p w14:paraId="4BBD85F3" w14:textId="2F885B09" w:rsidR="005C3C72" w:rsidRDefault="005C3C72" w:rsidP="00DB06EC">
      <w:pPr>
        <w:pStyle w:val="BodyText"/>
      </w:pPr>
      <w:r>
        <w:t xml:space="preserve">An alternative measure could have been informational instruments targeting companies in the form of indicative maximum values. One advantage of indicative maximum values is that onerous or anti-competitive rules for businesses in Sweden can be avoided. Indicative maximum values provide a clear starting </w:t>
      </w:r>
      <w:proofErr w:type="gramStart"/>
      <w:r>
        <w:t>point, but</w:t>
      </w:r>
      <w:proofErr w:type="gramEnd"/>
      <w:r>
        <w:t xml:space="preserve"> allow companies to themselves decide whether products containing levels above the maximum values are safe. Denmark, for example, has introduced indicative maximum values. Companies in Denmark that choose not to observe the maximum values can instead demonstrate, using scientific evidence, that the content is safe.</w:t>
      </w:r>
      <w:r w:rsidR="00EF2E02">
        <w:rPr>
          <w:rStyle w:val="FootnoteReference"/>
        </w:rPr>
        <w:footnoteReference w:id="13"/>
      </w:r>
      <w:r>
        <w:t xml:space="preserve"> </w:t>
      </w:r>
    </w:p>
    <w:p w14:paraId="35E9A9B9" w14:textId="3A255400" w:rsidR="007C5AAB" w:rsidRPr="00B342AE" w:rsidRDefault="00B5544A" w:rsidP="00DB06EC">
      <w:pPr>
        <w:pStyle w:val="BodyText"/>
      </w:pPr>
      <w:r>
        <w:t xml:space="preserve">However, the Food Agency does not consider indicative maximum values to be an alternative to regulated maximum values because there is no possibility for control authorities to </w:t>
      </w:r>
      <w:proofErr w:type="gramStart"/>
      <w:r>
        <w:t>take action</w:t>
      </w:r>
      <w:proofErr w:type="gramEnd"/>
      <w:r>
        <w:t xml:space="preserve"> if the maximum values are merely indicative. In such a case, it would still be up to the companies themselves to determine how high to make the content of vitamin D and iodine in their food supplements, which could pose risks to consumers.</w:t>
      </w:r>
    </w:p>
    <w:p w14:paraId="1949CC54" w14:textId="3D7E8E94" w:rsidR="004552D6" w:rsidRDefault="008A7994" w:rsidP="005C3C72">
      <w:r>
        <w:t xml:space="preserve">The warning label on packaging is an informational instrument aimed at consumers. Provisions concerning warning labels can function as a complement or substitute for both indicative and regulated maximum values. Norway uses such warning labels for vulnerable groups, as a complement to maximum values. However, the Food Agency’s view is that such warning labels, as a substitute for regulated maximum values, are insufficient when it comes to high levels of substances in food supplements. This alternative would also still have the problematic absence of regulatory support for the control authorities to ban products containing high levels. </w:t>
      </w:r>
    </w:p>
    <w:p w14:paraId="12F33C42" w14:textId="3B3088DA" w:rsidR="004552D6" w:rsidRDefault="004552D6" w:rsidP="004552D6">
      <w:pPr>
        <w:pStyle w:val="BodyText"/>
      </w:pPr>
      <w:r>
        <w:t xml:space="preserve">Information is currently provided to consumers through the Food Agency’s advice on sustainable eating habits and advice on food supplements, on the website or via healthcare providers. As with warning labels, the Food Agency sees this informational instrument primarily as complementary to other possible instruments. Consumer information can potentially make some consumers more </w:t>
      </w:r>
      <w:r>
        <w:lastRenderedPageBreak/>
        <w:t>informed and make them more aware of the risks of over-consumption. However, with information alone, responsibility is placed on the individual consumer. This alternative would still have the problematic absence of regulatory support for the control authorities to take actions against products containing high levels.</w:t>
      </w:r>
    </w:p>
    <w:p w14:paraId="6BFEE3A6" w14:textId="5EABB807" w:rsidR="00B67F0F" w:rsidRDefault="00B67F0F" w:rsidP="00A35804">
      <w:pPr>
        <w:pStyle w:val="Heading1"/>
      </w:pPr>
      <w:bookmarkStart w:id="32" w:name="_Ref31711281"/>
      <w:bookmarkStart w:id="33" w:name="_Ref31711293"/>
      <w:bookmarkStart w:id="34" w:name="_Toc33773688"/>
      <w:bookmarkStart w:id="35" w:name="_Toc106024868"/>
      <w:r>
        <w:lastRenderedPageBreak/>
        <w:t>Impact</w:t>
      </w:r>
      <w:bookmarkEnd w:id="35"/>
      <w:r>
        <w:t xml:space="preserve"> </w:t>
      </w:r>
      <w:bookmarkEnd w:id="32"/>
      <w:bookmarkEnd w:id="33"/>
      <w:bookmarkEnd w:id="34"/>
    </w:p>
    <w:p w14:paraId="536B724D" w14:textId="68042558" w:rsidR="00B67F0F" w:rsidRDefault="004F1EBD" w:rsidP="004F1EBD">
      <w:pPr>
        <w:pStyle w:val="Heading2"/>
      </w:pPr>
      <w:bookmarkStart w:id="36" w:name="_Toc33773689"/>
      <w:bookmarkStart w:id="37" w:name="_Toc106024869"/>
      <w:r>
        <w:t>Impact on consumers</w:t>
      </w:r>
      <w:bookmarkEnd w:id="36"/>
      <w:bookmarkEnd w:id="37"/>
    </w:p>
    <w:p w14:paraId="3926D377" w14:textId="7ED026DB" w:rsidR="00553E8C" w:rsidRDefault="007051B6" w:rsidP="00553E8C">
      <w:pPr>
        <w:pStyle w:val="BodyText"/>
      </w:pPr>
      <w:r>
        <w:t>Imposing maximum levels for vitamin D and iodine in food supplements does not mean that the actual consumption of high levels is regulated. For example, an individual will be able to take several tablets of the maximum permitted dose. Some individuals who currently consume high levels may continue to do so even after regulation of maximum values. In such a case, these individuals may switch to shopping online from companies that are not registered in Sweden. Regulated maximum values may initially make it more complicated for consumers demanding high doses, but the Food Agency’s view is that the health risks to ‘risk-taking’ high-dose consumers are the same, with or without regulation.</w:t>
      </w:r>
    </w:p>
    <w:p w14:paraId="030BF222" w14:textId="126F9F77" w:rsidR="00553E8C" w:rsidRDefault="002503BD" w:rsidP="00553E8C">
      <w:pPr>
        <w:pStyle w:val="BodyText"/>
      </w:pPr>
      <w:r>
        <w:t xml:space="preserve">However, given the high level of confidence in the Food Agency, both in terms of its advice on good eating habits and scientific expertise, it is believed that </w:t>
      </w:r>
      <w:proofErr w:type="gramStart"/>
      <w:r>
        <w:t>the majority of</w:t>
      </w:r>
      <w:proofErr w:type="gramEnd"/>
      <w:r>
        <w:t xml:space="preserve"> consumers will observe the regulations. Most consumers take food supplements to feel good, and there is a certain degree of unawareness about the risks associated with high consumption of vitamins and minerals. Regulated maximum values are therefore likely to provide increased protection for most consumers. Many consumers will likely also have better peace of mind if the control authorities can start to control the levels of vitamin D and iodine in food supplements and </w:t>
      </w:r>
      <w:proofErr w:type="gramStart"/>
      <w:r>
        <w:t>take action</w:t>
      </w:r>
      <w:proofErr w:type="gramEnd"/>
      <w:r>
        <w:t xml:space="preserve"> against products containing high levels.</w:t>
      </w:r>
    </w:p>
    <w:p w14:paraId="7587D078" w14:textId="1ADE40E9" w:rsidR="00B67F0F" w:rsidRDefault="004F1EBD" w:rsidP="004F1EBD">
      <w:pPr>
        <w:pStyle w:val="Heading2"/>
      </w:pPr>
      <w:bookmarkStart w:id="38" w:name="_Ref29976826"/>
      <w:bookmarkStart w:id="39" w:name="_Ref29976871"/>
      <w:bookmarkStart w:id="40" w:name="_Ref29976903"/>
      <w:bookmarkStart w:id="41" w:name="_Ref30159712"/>
      <w:bookmarkStart w:id="42" w:name="_Ref31711067"/>
      <w:bookmarkStart w:id="43" w:name="_Ref31722378"/>
      <w:bookmarkStart w:id="44" w:name="_Toc33773695"/>
      <w:bookmarkStart w:id="45" w:name="_Toc106024870"/>
      <w:r>
        <w:t>Impact on businesses affected</w:t>
      </w:r>
      <w:bookmarkEnd w:id="38"/>
      <w:bookmarkEnd w:id="39"/>
      <w:bookmarkEnd w:id="40"/>
      <w:bookmarkEnd w:id="41"/>
      <w:bookmarkEnd w:id="42"/>
      <w:bookmarkEnd w:id="43"/>
      <w:bookmarkEnd w:id="44"/>
      <w:bookmarkEnd w:id="45"/>
    </w:p>
    <w:p w14:paraId="0C823CCE" w14:textId="5F454E1A" w:rsidR="00854981" w:rsidRDefault="00732002" w:rsidP="00871BD7">
      <w:r>
        <w:t xml:space="preserve">The food supplement industry is not uniform, so sales channels for food supplements vary. </w:t>
      </w:r>
      <w:proofErr w:type="spellStart"/>
      <w:r>
        <w:t>Svensk</w:t>
      </w:r>
      <w:proofErr w:type="spellEnd"/>
      <w:r>
        <w:t xml:space="preserve"> </w:t>
      </w:r>
      <w:proofErr w:type="spellStart"/>
      <w:r>
        <w:t>Egenvård</w:t>
      </w:r>
      <w:proofErr w:type="spellEnd"/>
      <w:r>
        <w:t xml:space="preserve"> sales statistics</w:t>
      </w:r>
      <w:r w:rsidR="0060064E" w:rsidRPr="008D6932">
        <w:rPr>
          <w:rStyle w:val="FootnoteReference"/>
        </w:rPr>
        <w:footnoteReference w:id="14"/>
      </w:r>
      <w:r>
        <w:t xml:space="preserve"> show that the most common sales channels for food supplements in 2018 were pharmacies (22 %), grocery stores (25 %) and specialist health retailers (20 %). Online stores accounted for 16 % of sales. </w:t>
      </w:r>
    </w:p>
    <w:p w14:paraId="4AC9A1D8" w14:textId="45A2ABAA" w:rsidR="0060064E" w:rsidRDefault="003B4BF2" w:rsidP="00871BD7">
      <w:r>
        <w:t xml:space="preserve">Operators selling food supplements via pharmacies are mainly from the medicinal products industry. In the medicinal products industry, there are several businesses that complement their range with food supplements and herbal medicines. Grocery stores mainly sell food supplements from operators in the Swedish food industry. The ability to market the products online also makes it easy to start a business. However, Swedish </w:t>
      </w:r>
      <w:proofErr w:type="spellStart"/>
      <w:r>
        <w:t>Egenvård</w:t>
      </w:r>
      <w:proofErr w:type="spellEnd"/>
      <w:r>
        <w:t xml:space="preserve"> states that consumers appreciate knowledge about the company and the ability to consult staff. The majority of micro or small enterprises therefore sell through specialist health retailers.</w:t>
      </w:r>
    </w:p>
    <w:p w14:paraId="37A17316" w14:textId="19F9DB7E" w:rsidR="00EC7CB8" w:rsidRDefault="00EC7CB8" w:rsidP="00EC7CB8">
      <w:r>
        <w:t xml:space="preserve">There is no data on the total number of companies marketing food supplements containing vitamins and minerals in Sweden. According to estimates by </w:t>
      </w:r>
      <w:proofErr w:type="spellStart"/>
      <w:r>
        <w:t>Svensk</w:t>
      </w:r>
      <w:proofErr w:type="spellEnd"/>
      <w:r>
        <w:t xml:space="preserve"> </w:t>
      </w:r>
      <w:proofErr w:type="spellStart"/>
      <w:r>
        <w:t>Egenvård</w:t>
      </w:r>
      <w:proofErr w:type="spellEnd"/>
      <w:r>
        <w:t>, it involves approximately 350 registered companies, and just over 200 companies are estimated to account for 95 % of sales to Swedish consumers.</w:t>
      </w:r>
      <w:r>
        <w:rPr>
          <w:rStyle w:val="FootnoteReference"/>
        </w:rPr>
        <w:footnoteReference w:id="15"/>
      </w:r>
      <w:r>
        <w:t xml:space="preserve"> Most of the companies (approximately 280) </w:t>
      </w:r>
      <w:proofErr w:type="gramStart"/>
      <w:r>
        <w:t>are considered to be</w:t>
      </w:r>
      <w:proofErr w:type="gramEnd"/>
      <w:r>
        <w:t xml:space="preserve"> micro or small </w:t>
      </w:r>
      <w:r>
        <w:lastRenderedPageBreak/>
        <w:t xml:space="preserve">enterprises with 0–20 employees. About fifty companies have more than 20 employees and a further 20 companies are global. </w:t>
      </w:r>
    </w:p>
    <w:p w14:paraId="4FDB0F3E" w14:textId="216624A1" w:rsidR="001D749C" w:rsidRDefault="00871BD7" w:rsidP="00871BD7">
      <w:r>
        <w:t xml:space="preserve">Svenska </w:t>
      </w:r>
      <w:proofErr w:type="spellStart"/>
      <w:r>
        <w:t>Egenvård</w:t>
      </w:r>
      <w:proofErr w:type="spellEnd"/>
      <w:r>
        <w:t xml:space="preserve"> estimates that around twenty companies in Sweden sell preparations containing high levels of vitamins or minerals; </w:t>
      </w:r>
      <w:proofErr w:type="gramStart"/>
      <w:r>
        <w:t>i.e.</w:t>
      </w:r>
      <w:proofErr w:type="gramEnd"/>
      <w:r>
        <w:t xml:space="preserve"> approximately 5 % of all companies that sell food supplements in Sweden. However, there is no data on how many of these companies market food supplements containing high levels of vitamin D and iodine.</w:t>
      </w:r>
    </w:p>
    <w:p w14:paraId="7EF8C179" w14:textId="6CA390B9" w:rsidR="00D0627B" w:rsidRDefault="00D0627B" w:rsidP="00AB3BA0">
      <w:pPr>
        <w:pStyle w:val="BodyText"/>
      </w:pPr>
      <w:r>
        <w:t xml:space="preserve">If the maximum values for vitamin D and iodine are regulated by legislation, then such is made clear to companies and all companies in Sweden can compete on a level playing field. Nevertheless, there is a conflict of objectives; between national regulation of maximum values and conditions for </w:t>
      </w:r>
      <w:r>
        <w:rPr>
          <w:rStyle w:val="Emphasis"/>
          <w:i w:val="0"/>
        </w:rPr>
        <w:t>Swedish</w:t>
      </w:r>
      <w:r>
        <w:t xml:space="preserve"> business growth and competitiveness. If high-dose food supplements are demanded by Swedish consumers, there is a risk that the market for these preparations will shift to foreign-based online channels after the regulations have been introduced. Swedish companies that manufacture or sell food supplements with high levels of vitamin D and iodine may therefore lose a certain customer base.</w:t>
      </w:r>
    </w:p>
    <w:p w14:paraId="5C7361D3" w14:textId="59F4000B" w:rsidR="00581498" w:rsidRDefault="003B4BA3" w:rsidP="003B4BA3">
      <w:pPr>
        <w:pStyle w:val="BodyText"/>
      </w:pPr>
      <w:r>
        <w:t>The inquiry found that most of the companies, which may be negatively affected by the regulated maximum values, are relatively small companies. However, most companies in the food supplement industry will not be affected because they do not market high levels of vitamin D and iodine. During the transitional period, the companies will also have time to make any necessary adjustments to affected parts of their operations, find new suppliers or market new products to their customer groups. The transitional rules also allow companies concerned to run down their stocks of products already placed on the market or labelled.</w:t>
      </w:r>
    </w:p>
    <w:p w14:paraId="2537C909" w14:textId="00B28323" w:rsidR="00527B66" w:rsidRDefault="0009601E" w:rsidP="00527B66">
      <w:pPr>
        <w:pStyle w:val="BodyText"/>
      </w:pPr>
      <w:r>
        <w:t xml:space="preserve">The regulation of maximum values may entail initial costs for any necessary adjustments to be made in the companies concerned. For example, there may be costs for changing product compositions, producing new packaging and revising information on websites. Companies concerned will also be able to apply for a derogation from the maximum levels for vitamin D and iodine. In addition to the costs of drafting supporting documents for the application, there will also be some administrative costs for applying for a derogation. The time required for an operator to fill in the application form is estimated to be approximately 15 minutes. The time taken to produce the required scientific evidence will vary greatly, but it </w:t>
      </w:r>
      <w:proofErr w:type="gramStart"/>
      <w:r>
        <w:t>is considered to be</w:t>
      </w:r>
      <w:proofErr w:type="gramEnd"/>
      <w:r>
        <w:t xml:space="preserve"> part of the company’s normal activities, as the company already needs to have that knowledge in order to determine the recommended daily dose. The fee for applying for a derogation will be a fixed amount of SEK 20 000. No adjustment costs will be incurred for products that are granted a derogation. </w:t>
      </w:r>
      <w:bookmarkStart w:id="46" w:name="_Ref31803602"/>
      <w:bookmarkStart w:id="47" w:name="_Ref31964698"/>
    </w:p>
    <w:bookmarkEnd w:id="46"/>
    <w:bookmarkEnd w:id="47"/>
    <w:p w14:paraId="52729A4B" w14:textId="5B5D80B9" w:rsidR="00DC7C3C" w:rsidRDefault="000A53F2" w:rsidP="002F2B28">
      <w:pPr>
        <w:pStyle w:val="BodyText"/>
      </w:pPr>
      <w:r>
        <w:t xml:space="preserve">National rules that increase requirements on companies in Sweden may hamper their ability to compete with companies that are outside the country and not subject to the same requirements. In contrast, it can be said that companies which continue to market food supplements on the Swedish market will have a more level playing field, as the maximum values will apply to all companies in Sweden. At present, it is up to the manufacturers themselves to decide the levels of vitamin D and iodine that should be included in a food supplement. Since the regulations provide regulatory support to control the levels in marketed food supplements, the conditions for equal assessment are created. Thus, it also promotes competition on a level playing field. </w:t>
      </w:r>
    </w:p>
    <w:p w14:paraId="061033D0" w14:textId="77777777" w:rsidR="00B60BB9" w:rsidRDefault="00B60BB9" w:rsidP="0082498B">
      <w:pPr>
        <w:pStyle w:val="Heading2"/>
      </w:pPr>
      <w:bookmarkStart w:id="48" w:name="_Toc33773704"/>
      <w:bookmarkStart w:id="49" w:name="_Toc106024871"/>
      <w:r>
        <w:lastRenderedPageBreak/>
        <w:t>Impact on the public sector</w:t>
      </w:r>
      <w:bookmarkEnd w:id="48"/>
      <w:bookmarkEnd w:id="49"/>
    </w:p>
    <w:p w14:paraId="3A620099" w14:textId="4408BF2A" w:rsidR="00D0627B" w:rsidRDefault="00D0627B" w:rsidP="00D0627B">
      <w:r>
        <w:t xml:space="preserve">Regulated maximum values enable controls to be imposed on the levels of vitamin D and iodine in food supplements and decisions to be taken to </w:t>
      </w:r>
      <w:proofErr w:type="gramStart"/>
      <w:r>
        <w:t>e.g.</w:t>
      </w:r>
      <w:proofErr w:type="gramEnd"/>
      <w:r>
        <w:t xml:space="preserve"> ban sales if food supplements are found to contain hazardous amounts. Simple and clear regulation will allow control authorities to carry out effective control and the conditions will also be improved for equal assessment and control measures to be taken. In </w:t>
      </w:r>
      <w:proofErr w:type="gramStart"/>
      <w:r>
        <w:t>the vast majority of</w:t>
      </w:r>
      <w:proofErr w:type="gramEnd"/>
      <w:r>
        <w:t xml:space="preserve"> cases, official controls on food supplements are conducted within the framework of municipal food controls. </w:t>
      </w:r>
    </w:p>
    <w:p w14:paraId="05A9678E" w14:textId="1E9A96DC" w:rsidR="00B60BB9" w:rsidRPr="00055235" w:rsidRDefault="00B60BB9" w:rsidP="00D0627B">
      <w:pPr>
        <w:rPr>
          <w:b/>
        </w:rPr>
      </w:pPr>
      <w:r>
        <w:t xml:space="preserve">For the Food Agency, there will initially be additional tasks to inform companies, control authorities and consumers about the new regulations. As it will also be possible for companies to apply for a derogation from the maximum values for vitamin D and iodine, the Food Agency also needs expertise in toxicology or equivalent </w:t>
      </w:r>
      <w:proofErr w:type="gramStart"/>
      <w:r>
        <w:t>in order to</w:t>
      </w:r>
      <w:proofErr w:type="gramEnd"/>
      <w:r>
        <w:t xml:space="preserve"> assess applications. The extent of resources that will be required in this respect is uncertain because it depends on the number and quality of applications. </w:t>
      </w:r>
    </w:p>
    <w:p w14:paraId="25761806" w14:textId="62A6CF77" w:rsidR="00B67F0F" w:rsidRDefault="00B67F0F" w:rsidP="0082498B">
      <w:pPr>
        <w:pStyle w:val="Heading2"/>
      </w:pPr>
      <w:bookmarkStart w:id="50" w:name="_Toc33773708"/>
      <w:bookmarkStart w:id="51" w:name="_Toc106024872"/>
      <w:r>
        <w:t>Overall assessment</w:t>
      </w:r>
      <w:bookmarkEnd w:id="50"/>
      <w:bookmarkEnd w:id="51"/>
    </w:p>
    <w:p w14:paraId="1DFAB526" w14:textId="4FFCF65E" w:rsidR="00F07D25" w:rsidRDefault="00C06F3E" w:rsidP="00C06F3E">
      <w:r>
        <w:t xml:space="preserve">Consumers demanding food supplements containing high levels of vitamin D and iodine and food business operators that manufacture and market such food supplements are directly affected by the regulated maximum levels. Companies registered in Sweden, whose turnover is largely focused on the manufacture or marketing of food supplements containing high levels of vitamin D and iodine, are </w:t>
      </w:r>
      <w:proofErr w:type="gramStart"/>
      <w:r>
        <w:t>affected in particular</w:t>
      </w:r>
      <w:proofErr w:type="gramEnd"/>
      <w:r>
        <w:t xml:space="preserve">. </w:t>
      </w:r>
    </w:p>
    <w:p w14:paraId="1DF521C6" w14:textId="734743F6" w:rsidR="00C06F3E" w:rsidRDefault="00C06F3E" w:rsidP="00C06F3E">
      <w:r>
        <w:t xml:space="preserve">Indirectly affected are all consumers of food supplements, people whose work involves the provision of nutrition advice (nutritional therapists, skin therapists, nutritionists, dieticians, nutrition advisers, </w:t>
      </w:r>
      <w:proofErr w:type="gramStart"/>
      <w:r>
        <w:t>physiotherapists</w:t>
      </w:r>
      <w:proofErr w:type="gramEnd"/>
      <w:r>
        <w:t xml:space="preserve"> and nurses), all companies marketing food supplements (including companies registered abroad), as well as the Food Agency and other control authorities in Sweden.</w:t>
      </w:r>
    </w:p>
    <w:p w14:paraId="192AD4A4" w14:textId="36846298" w:rsidR="00864D48" w:rsidRDefault="00A86366" w:rsidP="00390808">
      <w:pPr>
        <w:pStyle w:val="BodyText"/>
      </w:pPr>
      <w:r>
        <w:t xml:space="preserve">The overall assessment is that the introduction of maximum values for vitamin D and iodine in food supplements will mainly have a social impact (mainly health) and an economic impact (mainly effects on costs and competition). If more consumers start shopping for food supplements from foreign online providers, this may increase the distances involved in shipping packages. In such case, there is also an environmental impact. Greater consumer safety is the most important impact of the draft regulations. The ability to exercise control and, where necessary, to </w:t>
      </w:r>
      <w:proofErr w:type="gramStart"/>
      <w:r>
        <w:t>take action</w:t>
      </w:r>
      <w:proofErr w:type="gramEnd"/>
      <w:r>
        <w:t xml:space="preserve"> against products that are harmful to health is essential for food control and, ultimately, for consumers. </w:t>
      </w:r>
    </w:p>
    <w:sectPr w:rsidR="00864D48" w:rsidSect="008E3C4F">
      <w:footerReference w:type="even" r:id="rId8"/>
      <w:pgSz w:w="11906" w:h="16838"/>
      <w:pgMar w:top="1701" w:right="1416" w:bottom="1418" w:left="1418"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CB81B" w14:textId="77777777" w:rsidR="00E30D08" w:rsidRDefault="00E30D08" w:rsidP="000242FA">
      <w:pPr>
        <w:spacing w:after="0" w:line="240" w:lineRule="auto"/>
      </w:pPr>
      <w:r>
        <w:separator/>
      </w:r>
    </w:p>
    <w:p w14:paraId="444F8FF1" w14:textId="77777777" w:rsidR="00E30D08" w:rsidRDefault="00E30D08"/>
  </w:endnote>
  <w:endnote w:type="continuationSeparator" w:id="0">
    <w:p w14:paraId="5085B0E8" w14:textId="77777777" w:rsidR="00E30D08" w:rsidRDefault="00E30D08" w:rsidP="000242FA">
      <w:pPr>
        <w:spacing w:after="0" w:line="240" w:lineRule="auto"/>
      </w:pPr>
      <w:r>
        <w:continuationSeparator/>
      </w:r>
    </w:p>
    <w:p w14:paraId="33E08428" w14:textId="77777777" w:rsidR="00E30D08" w:rsidRDefault="00E30D08"/>
  </w:endnote>
  <w:endnote w:type="continuationNotice" w:id="1">
    <w:p w14:paraId="339D02C2" w14:textId="77777777" w:rsidR="00E30D08" w:rsidRDefault="00E30D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7DAB" w14:textId="5F2BEB6A" w:rsidR="00E30D08" w:rsidRDefault="00E30D08" w:rsidP="00DF03FF">
    <w:pPr>
      <w:autoSpaceDE w:val="0"/>
      <w:autoSpaceDN w:val="0"/>
      <w:adjustRightInd w:val="0"/>
      <w:spacing w:after="0" w:line="200" w:lineRule="atLeast"/>
      <w:ind w:right="-1701"/>
      <w:textAlignment w:val="center"/>
      <w:rPr>
        <w:rFonts w:ascii="Calibri" w:eastAsia="Times New Roman" w:hAnsi="Calibri" w:cs="Tahoma"/>
        <w:b/>
        <w:noProof/>
        <w:color w:val="000000"/>
        <w:sz w:val="14"/>
        <w:szCs w:val="14"/>
      </w:rPr>
    </w:pPr>
    <w:r>
      <w:rPr>
        <w:rFonts w:ascii="Calibri" w:hAnsi="Calibri"/>
        <w:color w:val="00000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BD17" w14:textId="77777777" w:rsidR="00E30D08" w:rsidRDefault="00E30D08" w:rsidP="000242FA">
      <w:pPr>
        <w:spacing w:after="0" w:line="240" w:lineRule="auto"/>
      </w:pPr>
      <w:r>
        <w:separator/>
      </w:r>
    </w:p>
    <w:p w14:paraId="0D2D065B" w14:textId="77777777" w:rsidR="00E30D08" w:rsidRDefault="00E30D08"/>
  </w:footnote>
  <w:footnote w:type="continuationSeparator" w:id="0">
    <w:p w14:paraId="6E71B417" w14:textId="77777777" w:rsidR="00E30D08" w:rsidRDefault="00E30D08" w:rsidP="000242FA">
      <w:pPr>
        <w:spacing w:after="0" w:line="240" w:lineRule="auto"/>
      </w:pPr>
      <w:r>
        <w:continuationSeparator/>
      </w:r>
    </w:p>
    <w:p w14:paraId="1B16D403" w14:textId="77777777" w:rsidR="00E30D08" w:rsidRDefault="00E30D08"/>
  </w:footnote>
  <w:footnote w:type="continuationNotice" w:id="1">
    <w:p w14:paraId="318465BE" w14:textId="77777777" w:rsidR="00E30D08" w:rsidRDefault="00E30D08">
      <w:pPr>
        <w:spacing w:before="0" w:after="0" w:line="240" w:lineRule="auto"/>
      </w:pPr>
    </w:p>
  </w:footnote>
  <w:footnote w:id="2">
    <w:p w14:paraId="757F1CA0" w14:textId="0E5CE873" w:rsidR="00E30D08" w:rsidRDefault="00E30D08" w:rsidP="000563A4">
      <w:pPr>
        <w:pStyle w:val="FootnoteText"/>
      </w:pPr>
      <w:r>
        <w:rPr>
          <w:rStyle w:val="FootnoteReference"/>
        </w:rPr>
        <w:footnoteRef/>
      </w:r>
      <w:r>
        <w:t xml:space="preserve"> Food Agency spending authorisation for the 2017 financial year, decision of 20 December 2016.</w:t>
      </w:r>
    </w:p>
  </w:footnote>
  <w:footnote w:id="3">
    <w:p w14:paraId="6009E0E6" w14:textId="77777777" w:rsidR="00E30D08" w:rsidRPr="00DD72DB" w:rsidRDefault="00E30D08" w:rsidP="008F44DF">
      <w:pPr>
        <w:pStyle w:val="FootnoteText"/>
      </w:pPr>
      <w:r>
        <w:rPr>
          <w:rStyle w:val="FootnoteReference"/>
        </w:rPr>
        <w:footnoteRef/>
      </w:r>
      <w:r>
        <w:t xml:space="preserve"> Tolerable upper intake level</w:t>
      </w:r>
    </w:p>
  </w:footnote>
  <w:footnote w:id="4">
    <w:p w14:paraId="1093454E" w14:textId="77777777" w:rsidR="00E30D08" w:rsidRPr="00DD72DB" w:rsidRDefault="00E30D08" w:rsidP="0026355E">
      <w:pPr>
        <w:pStyle w:val="FootnoteText"/>
      </w:pPr>
      <w:r>
        <w:rPr>
          <w:rStyle w:val="FootnoteReference"/>
        </w:rPr>
        <w:footnoteRef/>
      </w:r>
      <w:r>
        <w:t xml:space="preserve"> Nordic Nutrition Recommendations 2012: Integrating nutrition and physical activity. (2014) (5th edition). Copenhagen. https://doi.org/10.6027/Nord2014-002</w:t>
      </w:r>
    </w:p>
  </w:footnote>
  <w:footnote w:id="5">
    <w:p w14:paraId="2AD8ABBC" w14:textId="77777777" w:rsidR="00E30D08" w:rsidRDefault="00E30D08" w:rsidP="00E762C3">
      <w:pPr>
        <w:pStyle w:val="FootnoteText"/>
      </w:pPr>
      <w:r>
        <w:rPr>
          <w:rStyle w:val="FootnoteReference"/>
        </w:rPr>
        <w:footnoteRef/>
      </w:r>
      <w:r>
        <w:t xml:space="preserve"> Swedish Food Agency (2012). </w:t>
      </w:r>
      <w:proofErr w:type="spellStart"/>
      <w:r>
        <w:t>Riksmaten</w:t>
      </w:r>
      <w:proofErr w:type="spellEnd"/>
      <w:r>
        <w:t xml:space="preserve"> – Adults 2010-11, </w:t>
      </w:r>
      <w:proofErr w:type="gramStart"/>
      <w:r>
        <w:t>Food</w:t>
      </w:r>
      <w:proofErr w:type="gramEnd"/>
      <w:r>
        <w:t xml:space="preserve"> and nutrition intake among adults in Sweden. Swedish Food Agency, Uppsala September 2012.</w:t>
      </w:r>
    </w:p>
  </w:footnote>
  <w:footnote w:id="6">
    <w:p w14:paraId="510A383C" w14:textId="77777777" w:rsidR="00E30D08" w:rsidRPr="0050310D" w:rsidRDefault="00E30D08" w:rsidP="00E762C3">
      <w:pPr>
        <w:pStyle w:val="FootnoteText"/>
      </w:pPr>
      <w:r>
        <w:rPr>
          <w:rStyle w:val="FootnoteReference"/>
        </w:rPr>
        <w:footnoteRef/>
      </w:r>
      <w:r>
        <w:t xml:space="preserve"> </w:t>
      </w:r>
      <w:proofErr w:type="spellStart"/>
      <w:r>
        <w:t>Svensk</w:t>
      </w:r>
      <w:proofErr w:type="spellEnd"/>
      <w:r>
        <w:t xml:space="preserve"> </w:t>
      </w:r>
      <w:proofErr w:type="spellStart"/>
      <w:r>
        <w:t>Egenvård</w:t>
      </w:r>
      <w:proofErr w:type="spellEnd"/>
      <w:r>
        <w:t xml:space="preserve"> (2019). The self-care market 2018. Sales statistics on dietary supplements, vitamins, sports nutrition, weight loss products and herbal medicines in Sweden.</w:t>
      </w:r>
    </w:p>
  </w:footnote>
  <w:footnote w:id="7">
    <w:p w14:paraId="1935DACE" w14:textId="3262C712" w:rsidR="00E30D08" w:rsidRPr="007B59EF" w:rsidRDefault="00E30D08" w:rsidP="00661288">
      <w:pPr>
        <w:pStyle w:val="FootnoteText"/>
      </w:pPr>
      <w:r>
        <w:rPr>
          <w:rStyle w:val="FootnoteReference"/>
        </w:rPr>
        <w:footnoteRef/>
      </w:r>
      <w:r>
        <w:t xml:space="preserve"> The Food Agency’s survey of online sales was carried out in September 2019. </w:t>
      </w:r>
    </w:p>
  </w:footnote>
  <w:footnote w:id="8">
    <w:p w14:paraId="4217D40C" w14:textId="509168CC" w:rsidR="00E30D08" w:rsidRPr="007B59EF" w:rsidRDefault="00E30D08" w:rsidP="00661288">
      <w:pPr>
        <w:pStyle w:val="FootnoteText"/>
      </w:pPr>
      <w:r>
        <w:rPr>
          <w:rStyle w:val="FootnoteReference"/>
        </w:rPr>
        <w:footnoteRef/>
      </w:r>
      <w:r>
        <w:t xml:space="preserve"> </w:t>
      </w:r>
      <w:proofErr w:type="spellStart"/>
      <w:r>
        <w:t>Svensk</w:t>
      </w:r>
      <w:proofErr w:type="spellEnd"/>
      <w:r>
        <w:t xml:space="preserve"> </w:t>
      </w:r>
      <w:proofErr w:type="spellStart"/>
      <w:r>
        <w:t>Egenvård</w:t>
      </w:r>
      <w:proofErr w:type="spellEnd"/>
      <w:r>
        <w:t xml:space="preserve"> response to questions prior to the impact assessment for the introduction of national regulations on maximum limits of vitamins and minerals in food supplements, document ref. 2018/02027-7.</w:t>
      </w:r>
    </w:p>
  </w:footnote>
  <w:footnote w:id="9">
    <w:p w14:paraId="272EA794" w14:textId="45130F46" w:rsidR="00E30D08" w:rsidRDefault="00E30D08" w:rsidP="00661288">
      <w:pPr>
        <w:pStyle w:val="FootnoteText"/>
      </w:pPr>
      <w:r>
        <w:rPr>
          <w:rStyle w:val="FootnoteReference"/>
        </w:rPr>
        <w:footnoteRef/>
      </w:r>
      <w:r>
        <w:t xml:space="preserve"> In the context of the preparatory work for the regulations, seven control authorities were asked about, among other things, current controls on food supplements, consequences for control if maximum values were to be introduced and the situation on the market (document ref. 2018/02027-8).</w:t>
      </w:r>
    </w:p>
  </w:footnote>
  <w:footnote w:id="10">
    <w:p w14:paraId="604F84DF" w14:textId="77777777" w:rsidR="00E30D08" w:rsidRDefault="00E30D08" w:rsidP="002B3C9C">
      <w:pPr>
        <w:pStyle w:val="FootnoteText"/>
      </w:pPr>
      <w:r>
        <w:rPr>
          <w:rStyle w:val="FootnoteReference"/>
        </w:rPr>
        <w:footnoteRef/>
      </w:r>
      <w:r>
        <w:t xml:space="preserve"> The Court of Justice has held that the Member States remain competent to adopt national rules on maximum levels in food supplements so long as the European Commission has not already done so; see judgment of 29 April 2010, </w:t>
      </w:r>
      <w:proofErr w:type="spellStart"/>
      <w:r>
        <w:t>Solgar</w:t>
      </w:r>
      <w:proofErr w:type="spellEnd"/>
      <w:r>
        <w:t xml:space="preserve"> Vitamin’s France, C-446/08, EU:C:2010:233, paragraph 24. </w:t>
      </w:r>
    </w:p>
  </w:footnote>
  <w:footnote w:id="11">
    <w:p w14:paraId="65A94091" w14:textId="5E2A5785" w:rsidR="00E30D08" w:rsidRDefault="00E30D08" w:rsidP="002B3C9C">
      <w:pPr>
        <w:pStyle w:val="FootnoteText"/>
      </w:pPr>
      <w:r>
        <w:rPr>
          <w:rStyle w:val="FootnoteReference"/>
        </w:rPr>
        <w:footnoteRef/>
      </w:r>
      <w:r>
        <w:t xml:space="preserve"> For information about other Member States, see document ref. 2018/00401.</w:t>
      </w:r>
    </w:p>
  </w:footnote>
  <w:footnote w:id="12">
    <w:p w14:paraId="33492B0A" w14:textId="2AF42C2C" w:rsidR="00E30D08" w:rsidRDefault="00E30D08">
      <w:pPr>
        <w:pStyle w:val="FootnoteText"/>
      </w:pPr>
      <w:r>
        <w:rPr>
          <w:rStyle w:val="FootnoteReference"/>
        </w:rPr>
        <w:footnoteRef/>
      </w:r>
      <w:r>
        <w:t xml:space="preserve"> See judgments of 29 April 2010, </w:t>
      </w:r>
      <w:proofErr w:type="spellStart"/>
      <w:r>
        <w:t>Solgar</w:t>
      </w:r>
      <w:proofErr w:type="spellEnd"/>
      <w:r>
        <w:t xml:space="preserve"> Vitamin’s France, C-446/08, EU:C:2010:233, paragraphs 24 and 32, and of 27 April 2017, Noria Distribution SARL, C-672/15, EU:C:2017:310, paragraph 16.</w:t>
      </w:r>
    </w:p>
  </w:footnote>
  <w:footnote w:id="13">
    <w:p w14:paraId="5311163D" w14:textId="56DDE568" w:rsidR="00E30D08" w:rsidRPr="00DD72DB" w:rsidRDefault="00E30D08">
      <w:pPr>
        <w:pStyle w:val="FootnoteText"/>
      </w:pPr>
      <w:r>
        <w:rPr>
          <w:rStyle w:val="FootnoteReference"/>
        </w:rPr>
        <w:footnoteRef/>
      </w:r>
      <w:r>
        <w:t xml:space="preserve"> See page 12 of </w:t>
      </w:r>
      <w:proofErr w:type="spellStart"/>
      <w:r>
        <w:rPr>
          <w:i/>
          <w:iCs/>
        </w:rPr>
        <w:t>Fødevarestyrelsens</w:t>
      </w:r>
      <w:proofErr w:type="spellEnd"/>
      <w:r>
        <w:rPr>
          <w:i/>
          <w:iCs/>
        </w:rPr>
        <w:t xml:space="preserve"> </w:t>
      </w:r>
      <w:proofErr w:type="spellStart"/>
      <w:r>
        <w:rPr>
          <w:i/>
          <w:iCs/>
        </w:rPr>
        <w:t>Vejledning</w:t>
      </w:r>
      <w:proofErr w:type="spellEnd"/>
      <w:r>
        <w:rPr>
          <w:i/>
          <w:iCs/>
        </w:rPr>
        <w:t xml:space="preserve"> om </w:t>
      </w:r>
      <w:proofErr w:type="spellStart"/>
      <w:r>
        <w:rPr>
          <w:i/>
          <w:iCs/>
        </w:rPr>
        <w:t>kosttillskud</w:t>
      </w:r>
      <w:proofErr w:type="spellEnd"/>
      <w:r>
        <w:t xml:space="preserve"> (The Danish Veterinary and Food Administration’s Guidance on food supplements), </w:t>
      </w:r>
      <w:r>
        <w:rPr>
          <w:i/>
          <w:iCs/>
        </w:rPr>
        <w:t>VEJ no. 9965 of 08/11/2019.</w:t>
      </w:r>
    </w:p>
  </w:footnote>
  <w:footnote w:id="14">
    <w:p w14:paraId="10AB40A1" w14:textId="77777777" w:rsidR="00E30D08" w:rsidRDefault="00E30D08" w:rsidP="0060064E">
      <w:pPr>
        <w:pStyle w:val="FootnoteText"/>
      </w:pPr>
      <w:r>
        <w:rPr>
          <w:rStyle w:val="FootnoteReference"/>
        </w:rPr>
        <w:footnoteRef/>
      </w:r>
      <w:r>
        <w:t xml:space="preserve"> </w:t>
      </w:r>
      <w:proofErr w:type="spellStart"/>
      <w:r>
        <w:t>Svensk</w:t>
      </w:r>
      <w:proofErr w:type="spellEnd"/>
      <w:r>
        <w:t xml:space="preserve"> </w:t>
      </w:r>
      <w:proofErr w:type="spellStart"/>
      <w:r>
        <w:t>Egenvård</w:t>
      </w:r>
      <w:proofErr w:type="spellEnd"/>
      <w:r>
        <w:t xml:space="preserve"> (2019). The self-care market 2018. Sales statistics on dietary supplements, vitamins, sports nutrition, weight loss products and herbal medicines in Sweden.</w:t>
      </w:r>
    </w:p>
  </w:footnote>
  <w:footnote w:id="15">
    <w:p w14:paraId="47C8EA5C" w14:textId="185FF808" w:rsidR="00E30D08" w:rsidRDefault="00E30D08" w:rsidP="00EC7CB8">
      <w:pPr>
        <w:pStyle w:val="FootnoteText"/>
      </w:pPr>
      <w:r>
        <w:rPr>
          <w:rStyle w:val="FootnoteReference"/>
        </w:rPr>
        <w:footnoteRef/>
      </w:r>
      <w:r>
        <w:t xml:space="preserve"> </w:t>
      </w:r>
      <w:proofErr w:type="spellStart"/>
      <w:r>
        <w:t>Svensk</w:t>
      </w:r>
      <w:proofErr w:type="spellEnd"/>
      <w:r>
        <w:t xml:space="preserve"> </w:t>
      </w:r>
      <w:proofErr w:type="spellStart"/>
      <w:r>
        <w:t>Egenvård</w:t>
      </w:r>
      <w:proofErr w:type="spellEnd"/>
      <w:r>
        <w:t xml:space="preserve"> response to questions prior to the impact assessment for the introduction of national regulations on maximum limits of vitamins and minerals in food supplements, document ref. 2018/02027-7.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7E6"/>
    <w:multiLevelType w:val="multilevel"/>
    <w:tmpl w:val="4586A49A"/>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4150C3E"/>
    <w:multiLevelType w:val="hybridMultilevel"/>
    <w:tmpl w:val="2F0C5C7C"/>
    <w:lvl w:ilvl="0" w:tplc="8BA4B70C">
      <w:numFmt w:val="bullet"/>
      <w:pStyle w:val="streckpunkter"/>
      <w:lvlText w:val="-"/>
      <w:lvlJc w:val="left"/>
      <w:pPr>
        <w:ind w:left="720" w:hanging="360"/>
      </w:pPr>
      <w:rPr>
        <w:rFonts w:ascii="Times New Roman" w:eastAsiaTheme="minorHAnsi" w:hAnsi="Times New Roman" w:cs="Times New Roman" w:hint="default"/>
      </w:rPr>
    </w:lvl>
    <w:lvl w:ilvl="1" w:tplc="34AAD07C">
      <w:numFmt w:val="bullet"/>
      <w:lvlText w:val="•"/>
      <w:lvlJc w:val="left"/>
      <w:pPr>
        <w:ind w:left="2388" w:hanging="1308"/>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545776"/>
    <w:multiLevelType w:val="hybridMultilevel"/>
    <w:tmpl w:val="2E108C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86637E9"/>
    <w:multiLevelType w:val="hybridMultilevel"/>
    <w:tmpl w:val="391EAF6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E15FB1"/>
    <w:multiLevelType w:val="hybridMultilevel"/>
    <w:tmpl w:val="8F180C00"/>
    <w:lvl w:ilvl="0" w:tplc="0FD0030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B266315"/>
    <w:multiLevelType w:val="hybridMultilevel"/>
    <w:tmpl w:val="B3821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9905AE"/>
    <w:multiLevelType w:val="multilevel"/>
    <w:tmpl w:val="844A8A02"/>
    <w:lvl w:ilvl="0">
      <w:start w:val="1"/>
      <w:numFmt w:val="bullet"/>
      <w:pStyle w:val="ListBullet"/>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7" w15:restartNumberingAfterBreak="0">
    <w:nsid w:val="5824266E"/>
    <w:multiLevelType w:val="multilevel"/>
    <w:tmpl w:val="3C723158"/>
    <w:lvl w:ilvl="0">
      <w:start w:val="1"/>
      <w:numFmt w:val="decimal"/>
      <w:pStyle w:val="Nummerlista"/>
      <w:lvlText w:val="%1."/>
      <w:lvlJc w:val="right"/>
      <w:pPr>
        <w:ind w:left="357" w:hanging="68"/>
      </w:pPr>
      <w:rPr>
        <w:rFonts w:hint="default"/>
      </w:rPr>
    </w:lvl>
    <w:lvl w:ilvl="1">
      <w:start w:val="1"/>
      <w:numFmt w:val="decimal"/>
      <w:lvlText w:val="%2."/>
      <w:lvlJc w:val="left"/>
      <w:pPr>
        <w:ind w:left="788" w:hanging="68"/>
      </w:pPr>
      <w:rPr>
        <w:rFonts w:hint="default"/>
      </w:rPr>
    </w:lvl>
    <w:lvl w:ilvl="2">
      <w:start w:val="1"/>
      <w:numFmt w:val="decimal"/>
      <w:lvlText w:val="%3."/>
      <w:lvlJc w:val="right"/>
      <w:pPr>
        <w:ind w:left="1219" w:hanging="68"/>
      </w:pPr>
      <w:rPr>
        <w:rFonts w:hint="default"/>
      </w:rPr>
    </w:lvl>
    <w:lvl w:ilvl="3">
      <w:start w:val="1"/>
      <w:numFmt w:val="decimal"/>
      <w:lvlText w:val="%4."/>
      <w:lvlJc w:val="left"/>
      <w:pPr>
        <w:ind w:left="1650" w:hanging="68"/>
      </w:pPr>
      <w:rPr>
        <w:rFonts w:hint="default"/>
      </w:rPr>
    </w:lvl>
    <w:lvl w:ilvl="4">
      <w:start w:val="1"/>
      <w:numFmt w:val="decimal"/>
      <w:lvlText w:val="%5."/>
      <w:lvlJc w:val="left"/>
      <w:pPr>
        <w:ind w:left="2081" w:hanging="68"/>
      </w:pPr>
      <w:rPr>
        <w:rFonts w:hint="default"/>
      </w:rPr>
    </w:lvl>
    <w:lvl w:ilvl="5">
      <w:start w:val="1"/>
      <w:numFmt w:val="decimal"/>
      <w:lvlText w:val="%6."/>
      <w:lvlJc w:val="right"/>
      <w:pPr>
        <w:ind w:left="2512" w:hanging="68"/>
      </w:pPr>
      <w:rPr>
        <w:rFonts w:hint="default"/>
      </w:rPr>
    </w:lvl>
    <w:lvl w:ilvl="6">
      <w:start w:val="1"/>
      <w:numFmt w:val="decimal"/>
      <w:lvlText w:val="%7."/>
      <w:lvlJc w:val="left"/>
      <w:pPr>
        <w:ind w:left="2943" w:hanging="68"/>
      </w:pPr>
      <w:rPr>
        <w:rFonts w:hint="default"/>
      </w:rPr>
    </w:lvl>
    <w:lvl w:ilvl="7">
      <w:start w:val="1"/>
      <w:numFmt w:val="decimal"/>
      <w:lvlText w:val="%8."/>
      <w:lvlJc w:val="left"/>
      <w:pPr>
        <w:ind w:left="3374" w:hanging="68"/>
      </w:pPr>
      <w:rPr>
        <w:rFonts w:hint="default"/>
      </w:rPr>
    </w:lvl>
    <w:lvl w:ilvl="8">
      <w:start w:val="1"/>
      <w:numFmt w:val="decimal"/>
      <w:lvlText w:val="%9."/>
      <w:lvlJc w:val="right"/>
      <w:pPr>
        <w:ind w:left="3805" w:hanging="68"/>
      </w:pPr>
      <w:rPr>
        <w:rFonts w:hint="default"/>
      </w:rPr>
    </w:lvl>
  </w:abstractNum>
  <w:abstractNum w:abstractNumId="8" w15:restartNumberingAfterBreak="0">
    <w:nsid w:val="610B27F1"/>
    <w:multiLevelType w:val="hybridMultilevel"/>
    <w:tmpl w:val="E40C4C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095341"/>
    <w:multiLevelType w:val="multilevel"/>
    <w:tmpl w:val="01182EC6"/>
    <w:lvl w:ilvl="0">
      <w:start w:val="1"/>
      <w:numFmt w:val="decimal"/>
      <w:pStyle w:val="Rubrikbilagor-F"/>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5619672">
    <w:abstractNumId w:val="6"/>
  </w:num>
  <w:num w:numId="2" w16cid:durableId="710689882">
    <w:abstractNumId w:val="7"/>
  </w:num>
  <w:num w:numId="3" w16cid:durableId="201284705">
    <w:abstractNumId w:val="1"/>
  </w:num>
  <w:num w:numId="4" w16cid:durableId="21171191">
    <w:abstractNumId w:val="9"/>
  </w:num>
  <w:num w:numId="5" w16cid:durableId="1070426357">
    <w:abstractNumId w:val="0"/>
  </w:num>
  <w:num w:numId="6" w16cid:durableId="1456364546">
    <w:abstractNumId w:val="5"/>
  </w:num>
  <w:num w:numId="7" w16cid:durableId="1729844986">
    <w:abstractNumId w:val="2"/>
  </w:num>
  <w:num w:numId="8" w16cid:durableId="1237394946">
    <w:abstractNumId w:val="3"/>
  </w:num>
  <w:num w:numId="9" w16cid:durableId="1509632708">
    <w:abstractNumId w:val="8"/>
  </w:num>
  <w:num w:numId="10" w16cid:durableId="20139460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mailMerge>
    <w:mainDocumentType w:val="formLetters"/>
    <w:dataType w:val="textFile"/>
    <w:activeRecord w:val="-1"/>
    <w:odso/>
  </w:mailMerge>
  <w:defaultTabStop w:val="1304"/>
  <w:hyphenationZone w:val="425"/>
  <w:evenAndOddHeaders/>
  <w:drawingGridHorizontalSpacing w:val="110"/>
  <w:displayHorizontalDrawingGridEvery w:val="2"/>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Patrik Kroon"/>
  </w:docVars>
  <w:rsids>
    <w:rsidRoot w:val="00692FB8"/>
    <w:rsid w:val="00001179"/>
    <w:rsid w:val="000011AD"/>
    <w:rsid w:val="00001256"/>
    <w:rsid w:val="0000291C"/>
    <w:rsid w:val="0000383D"/>
    <w:rsid w:val="00004874"/>
    <w:rsid w:val="000053AC"/>
    <w:rsid w:val="00005452"/>
    <w:rsid w:val="00006FB2"/>
    <w:rsid w:val="0000798A"/>
    <w:rsid w:val="00010858"/>
    <w:rsid w:val="00012538"/>
    <w:rsid w:val="00013874"/>
    <w:rsid w:val="00014B1A"/>
    <w:rsid w:val="0001551B"/>
    <w:rsid w:val="00015818"/>
    <w:rsid w:val="00015F65"/>
    <w:rsid w:val="00017174"/>
    <w:rsid w:val="00017375"/>
    <w:rsid w:val="000173A9"/>
    <w:rsid w:val="000200E3"/>
    <w:rsid w:val="0002024A"/>
    <w:rsid w:val="00020955"/>
    <w:rsid w:val="000223B1"/>
    <w:rsid w:val="000242FA"/>
    <w:rsid w:val="0002438D"/>
    <w:rsid w:val="00025757"/>
    <w:rsid w:val="00025E35"/>
    <w:rsid w:val="00026C7C"/>
    <w:rsid w:val="00026F46"/>
    <w:rsid w:val="00027F6D"/>
    <w:rsid w:val="000312D0"/>
    <w:rsid w:val="00031B88"/>
    <w:rsid w:val="000332BF"/>
    <w:rsid w:val="00036D43"/>
    <w:rsid w:val="00036E36"/>
    <w:rsid w:val="000403DF"/>
    <w:rsid w:val="00041B01"/>
    <w:rsid w:val="00042E66"/>
    <w:rsid w:val="00043E4E"/>
    <w:rsid w:val="00045FC7"/>
    <w:rsid w:val="000471D9"/>
    <w:rsid w:val="000473D9"/>
    <w:rsid w:val="000515F2"/>
    <w:rsid w:val="0005384E"/>
    <w:rsid w:val="000547FF"/>
    <w:rsid w:val="00055235"/>
    <w:rsid w:val="0005544C"/>
    <w:rsid w:val="00055956"/>
    <w:rsid w:val="000563A4"/>
    <w:rsid w:val="00056527"/>
    <w:rsid w:val="00060280"/>
    <w:rsid w:val="00060CB0"/>
    <w:rsid w:val="0006148D"/>
    <w:rsid w:val="000614B8"/>
    <w:rsid w:val="000622F6"/>
    <w:rsid w:val="00062339"/>
    <w:rsid w:val="000643B5"/>
    <w:rsid w:val="00064722"/>
    <w:rsid w:val="00064AE0"/>
    <w:rsid w:val="000661F8"/>
    <w:rsid w:val="00066FC0"/>
    <w:rsid w:val="00070CFA"/>
    <w:rsid w:val="000712EC"/>
    <w:rsid w:val="00072CF9"/>
    <w:rsid w:val="00072EF9"/>
    <w:rsid w:val="00073D66"/>
    <w:rsid w:val="00075110"/>
    <w:rsid w:val="00077B1A"/>
    <w:rsid w:val="000805F4"/>
    <w:rsid w:val="00080E53"/>
    <w:rsid w:val="00081616"/>
    <w:rsid w:val="00081E99"/>
    <w:rsid w:val="0008258C"/>
    <w:rsid w:val="000839C9"/>
    <w:rsid w:val="00084C8D"/>
    <w:rsid w:val="00084DC1"/>
    <w:rsid w:val="00084E36"/>
    <w:rsid w:val="00085287"/>
    <w:rsid w:val="00090652"/>
    <w:rsid w:val="00090813"/>
    <w:rsid w:val="00091093"/>
    <w:rsid w:val="00093C95"/>
    <w:rsid w:val="00093C96"/>
    <w:rsid w:val="00095D25"/>
    <w:rsid w:val="0009601E"/>
    <w:rsid w:val="00096EEA"/>
    <w:rsid w:val="000973C9"/>
    <w:rsid w:val="0009782C"/>
    <w:rsid w:val="000A0804"/>
    <w:rsid w:val="000A0C2E"/>
    <w:rsid w:val="000A1105"/>
    <w:rsid w:val="000A194C"/>
    <w:rsid w:val="000A19D6"/>
    <w:rsid w:val="000A1FF3"/>
    <w:rsid w:val="000A2374"/>
    <w:rsid w:val="000A43E4"/>
    <w:rsid w:val="000A53F2"/>
    <w:rsid w:val="000A5B58"/>
    <w:rsid w:val="000A6045"/>
    <w:rsid w:val="000A6CF6"/>
    <w:rsid w:val="000A6FCF"/>
    <w:rsid w:val="000A7D91"/>
    <w:rsid w:val="000B0BE2"/>
    <w:rsid w:val="000B17DC"/>
    <w:rsid w:val="000B2C1F"/>
    <w:rsid w:val="000B309B"/>
    <w:rsid w:val="000B5DC4"/>
    <w:rsid w:val="000B6AF5"/>
    <w:rsid w:val="000B76F0"/>
    <w:rsid w:val="000C7C3C"/>
    <w:rsid w:val="000D0D62"/>
    <w:rsid w:val="000D1044"/>
    <w:rsid w:val="000D1590"/>
    <w:rsid w:val="000D1BFD"/>
    <w:rsid w:val="000D3A09"/>
    <w:rsid w:val="000D5C9C"/>
    <w:rsid w:val="000D6497"/>
    <w:rsid w:val="000D7C71"/>
    <w:rsid w:val="000E08A5"/>
    <w:rsid w:val="000E2284"/>
    <w:rsid w:val="000E2397"/>
    <w:rsid w:val="000E2DBC"/>
    <w:rsid w:val="000E3A4F"/>
    <w:rsid w:val="000E55DB"/>
    <w:rsid w:val="000E6537"/>
    <w:rsid w:val="000E7815"/>
    <w:rsid w:val="000F1500"/>
    <w:rsid w:val="000F44BA"/>
    <w:rsid w:val="000F4832"/>
    <w:rsid w:val="000F68F1"/>
    <w:rsid w:val="000F70AF"/>
    <w:rsid w:val="000F719F"/>
    <w:rsid w:val="000F7307"/>
    <w:rsid w:val="0010143D"/>
    <w:rsid w:val="0010170F"/>
    <w:rsid w:val="00103C71"/>
    <w:rsid w:val="00104311"/>
    <w:rsid w:val="00104D8D"/>
    <w:rsid w:val="00105535"/>
    <w:rsid w:val="00105670"/>
    <w:rsid w:val="00105AC7"/>
    <w:rsid w:val="00106255"/>
    <w:rsid w:val="001062D0"/>
    <w:rsid w:val="00107811"/>
    <w:rsid w:val="00107A4F"/>
    <w:rsid w:val="00107ABF"/>
    <w:rsid w:val="00110839"/>
    <w:rsid w:val="00111285"/>
    <w:rsid w:val="001112D4"/>
    <w:rsid w:val="0011215B"/>
    <w:rsid w:val="00116786"/>
    <w:rsid w:val="00116789"/>
    <w:rsid w:val="00117060"/>
    <w:rsid w:val="001174A4"/>
    <w:rsid w:val="00117D20"/>
    <w:rsid w:val="001202D2"/>
    <w:rsid w:val="001219EE"/>
    <w:rsid w:val="001219F1"/>
    <w:rsid w:val="0012248C"/>
    <w:rsid w:val="00122B06"/>
    <w:rsid w:val="00123835"/>
    <w:rsid w:val="00123A2E"/>
    <w:rsid w:val="00125264"/>
    <w:rsid w:val="001253B4"/>
    <w:rsid w:val="00126717"/>
    <w:rsid w:val="00126EF4"/>
    <w:rsid w:val="00127AE3"/>
    <w:rsid w:val="00131823"/>
    <w:rsid w:val="00131CE3"/>
    <w:rsid w:val="001327AB"/>
    <w:rsid w:val="001350FE"/>
    <w:rsid w:val="00135656"/>
    <w:rsid w:val="00135D8A"/>
    <w:rsid w:val="00137496"/>
    <w:rsid w:val="001400AF"/>
    <w:rsid w:val="00140FBD"/>
    <w:rsid w:val="001415D6"/>
    <w:rsid w:val="00141D59"/>
    <w:rsid w:val="00142960"/>
    <w:rsid w:val="001438E6"/>
    <w:rsid w:val="001439B6"/>
    <w:rsid w:val="001466E1"/>
    <w:rsid w:val="00146BEF"/>
    <w:rsid w:val="001470DF"/>
    <w:rsid w:val="00147A22"/>
    <w:rsid w:val="00151816"/>
    <w:rsid w:val="00151C5A"/>
    <w:rsid w:val="00151F66"/>
    <w:rsid w:val="00152802"/>
    <w:rsid w:val="00153668"/>
    <w:rsid w:val="00154BE1"/>
    <w:rsid w:val="001564F4"/>
    <w:rsid w:val="0015651B"/>
    <w:rsid w:val="001573C3"/>
    <w:rsid w:val="0015760F"/>
    <w:rsid w:val="001610A3"/>
    <w:rsid w:val="00164648"/>
    <w:rsid w:val="00166A6C"/>
    <w:rsid w:val="00166A83"/>
    <w:rsid w:val="0016716D"/>
    <w:rsid w:val="0016765E"/>
    <w:rsid w:val="001701DE"/>
    <w:rsid w:val="00170444"/>
    <w:rsid w:val="001708A9"/>
    <w:rsid w:val="00172651"/>
    <w:rsid w:val="00172DA2"/>
    <w:rsid w:val="0017324C"/>
    <w:rsid w:val="001736A0"/>
    <w:rsid w:val="00173A63"/>
    <w:rsid w:val="00173F9A"/>
    <w:rsid w:val="0017590C"/>
    <w:rsid w:val="00176061"/>
    <w:rsid w:val="00176C40"/>
    <w:rsid w:val="00176F3F"/>
    <w:rsid w:val="001772D9"/>
    <w:rsid w:val="00181990"/>
    <w:rsid w:val="001821EC"/>
    <w:rsid w:val="00182B52"/>
    <w:rsid w:val="00182D9E"/>
    <w:rsid w:val="00183611"/>
    <w:rsid w:val="001845D8"/>
    <w:rsid w:val="0018537B"/>
    <w:rsid w:val="0018558F"/>
    <w:rsid w:val="001859ED"/>
    <w:rsid w:val="00185C29"/>
    <w:rsid w:val="0018600E"/>
    <w:rsid w:val="00186690"/>
    <w:rsid w:val="001868F7"/>
    <w:rsid w:val="00186A3B"/>
    <w:rsid w:val="0018704F"/>
    <w:rsid w:val="0019047C"/>
    <w:rsid w:val="00190AFA"/>
    <w:rsid w:val="0019110B"/>
    <w:rsid w:val="001926A2"/>
    <w:rsid w:val="00193003"/>
    <w:rsid w:val="00194D16"/>
    <w:rsid w:val="0019519E"/>
    <w:rsid w:val="00197B55"/>
    <w:rsid w:val="001A0200"/>
    <w:rsid w:val="001A0245"/>
    <w:rsid w:val="001A0551"/>
    <w:rsid w:val="001A1125"/>
    <w:rsid w:val="001A1819"/>
    <w:rsid w:val="001A1933"/>
    <w:rsid w:val="001A285A"/>
    <w:rsid w:val="001A2CA7"/>
    <w:rsid w:val="001A38EC"/>
    <w:rsid w:val="001A43AB"/>
    <w:rsid w:val="001A6787"/>
    <w:rsid w:val="001A75E3"/>
    <w:rsid w:val="001B148D"/>
    <w:rsid w:val="001B2EA4"/>
    <w:rsid w:val="001B2FB8"/>
    <w:rsid w:val="001B3088"/>
    <w:rsid w:val="001B32F8"/>
    <w:rsid w:val="001B437E"/>
    <w:rsid w:val="001B4486"/>
    <w:rsid w:val="001B4866"/>
    <w:rsid w:val="001B4A24"/>
    <w:rsid w:val="001B6D96"/>
    <w:rsid w:val="001B6E99"/>
    <w:rsid w:val="001B7792"/>
    <w:rsid w:val="001B7FB4"/>
    <w:rsid w:val="001C144A"/>
    <w:rsid w:val="001C1FF2"/>
    <w:rsid w:val="001C2528"/>
    <w:rsid w:val="001C3AB2"/>
    <w:rsid w:val="001C78C6"/>
    <w:rsid w:val="001D1AB8"/>
    <w:rsid w:val="001D20B6"/>
    <w:rsid w:val="001D258A"/>
    <w:rsid w:val="001D39F7"/>
    <w:rsid w:val="001D3F47"/>
    <w:rsid w:val="001D48B8"/>
    <w:rsid w:val="001D5CB7"/>
    <w:rsid w:val="001D749C"/>
    <w:rsid w:val="001D769D"/>
    <w:rsid w:val="001E09E7"/>
    <w:rsid w:val="001E1276"/>
    <w:rsid w:val="001E1C04"/>
    <w:rsid w:val="001E1EBF"/>
    <w:rsid w:val="001E21E5"/>
    <w:rsid w:val="001E4928"/>
    <w:rsid w:val="001E4D19"/>
    <w:rsid w:val="001E5876"/>
    <w:rsid w:val="001E7EDE"/>
    <w:rsid w:val="001F03F5"/>
    <w:rsid w:val="001F17B8"/>
    <w:rsid w:val="001F1D97"/>
    <w:rsid w:val="001F2439"/>
    <w:rsid w:val="001F2D52"/>
    <w:rsid w:val="001F793D"/>
    <w:rsid w:val="00200FE2"/>
    <w:rsid w:val="002026CB"/>
    <w:rsid w:val="00202B8F"/>
    <w:rsid w:val="00202C69"/>
    <w:rsid w:val="00204DA9"/>
    <w:rsid w:val="002052FC"/>
    <w:rsid w:val="00205C48"/>
    <w:rsid w:val="00207C65"/>
    <w:rsid w:val="00211A25"/>
    <w:rsid w:val="002128A7"/>
    <w:rsid w:val="00214E1C"/>
    <w:rsid w:val="00215CE8"/>
    <w:rsid w:val="00216308"/>
    <w:rsid w:val="00216701"/>
    <w:rsid w:val="0021795D"/>
    <w:rsid w:val="00217EA5"/>
    <w:rsid w:val="00220A4D"/>
    <w:rsid w:val="00220CA1"/>
    <w:rsid w:val="00221B2E"/>
    <w:rsid w:val="0022240B"/>
    <w:rsid w:val="0022251B"/>
    <w:rsid w:val="00223214"/>
    <w:rsid w:val="00223E44"/>
    <w:rsid w:val="00224E8C"/>
    <w:rsid w:val="00224F23"/>
    <w:rsid w:val="00225248"/>
    <w:rsid w:val="002253C7"/>
    <w:rsid w:val="00225710"/>
    <w:rsid w:val="00225FF5"/>
    <w:rsid w:val="002263F3"/>
    <w:rsid w:val="00226EE5"/>
    <w:rsid w:val="002270FF"/>
    <w:rsid w:val="00227F09"/>
    <w:rsid w:val="00230604"/>
    <w:rsid w:val="0023077F"/>
    <w:rsid w:val="002310DD"/>
    <w:rsid w:val="002310E6"/>
    <w:rsid w:val="0023124D"/>
    <w:rsid w:val="0023462A"/>
    <w:rsid w:val="00234989"/>
    <w:rsid w:val="00235907"/>
    <w:rsid w:val="002369BB"/>
    <w:rsid w:val="00237DCA"/>
    <w:rsid w:val="00241A57"/>
    <w:rsid w:val="00241F30"/>
    <w:rsid w:val="00242838"/>
    <w:rsid w:val="00243A45"/>
    <w:rsid w:val="002448FB"/>
    <w:rsid w:val="00244A4D"/>
    <w:rsid w:val="00247BE1"/>
    <w:rsid w:val="0025027E"/>
    <w:rsid w:val="002503BD"/>
    <w:rsid w:val="002505A1"/>
    <w:rsid w:val="00251C1F"/>
    <w:rsid w:val="00253AB5"/>
    <w:rsid w:val="00253E7A"/>
    <w:rsid w:val="002560F5"/>
    <w:rsid w:val="00256655"/>
    <w:rsid w:val="0025679C"/>
    <w:rsid w:val="002606A2"/>
    <w:rsid w:val="00260E37"/>
    <w:rsid w:val="00261400"/>
    <w:rsid w:val="0026180B"/>
    <w:rsid w:val="00262ACC"/>
    <w:rsid w:val="0026355E"/>
    <w:rsid w:val="00263561"/>
    <w:rsid w:val="002648DF"/>
    <w:rsid w:val="002658FB"/>
    <w:rsid w:val="00265F3A"/>
    <w:rsid w:val="00266592"/>
    <w:rsid w:val="00267208"/>
    <w:rsid w:val="002674E0"/>
    <w:rsid w:val="002745F1"/>
    <w:rsid w:val="0027531A"/>
    <w:rsid w:val="00275450"/>
    <w:rsid w:val="00276CCC"/>
    <w:rsid w:val="00277207"/>
    <w:rsid w:val="002803EC"/>
    <w:rsid w:val="002815A7"/>
    <w:rsid w:val="00281D9C"/>
    <w:rsid w:val="002829CA"/>
    <w:rsid w:val="00283C0F"/>
    <w:rsid w:val="00283DD1"/>
    <w:rsid w:val="00283F94"/>
    <w:rsid w:val="00284273"/>
    <w:rsid w:val="002850D2"/>
    <w:rsid w:val="00285118"/>
    <w:rsid w:val="00285DE1"/>
    <w:rsid w:val="00286185"/>
    <w:rsid w:val="002871BD"/>
    <w:rsid w:val="0029174B"/>
    <w:rsid w:val="00292166"/>
    <w:rsid w:val="00293635"/>
    <w:rsid w:val="002939E8"/>
    <w:rsid w:val="00295C3F"/>
    <w:rsid w:val="00296AFC"/>
    <w:rsid w:val="00297ABA"/>
    <w:rsid w:val="00297EF5"/>
    <w:rsid w:val="002A0C7F"/>
    <w:rsid w:val="002A1467"/>
    <w:rsid w:val="002A2BAF"/>
    <w:rsid w:val="002A4DE5"/>
    <w:rsid w:val="002A6522"/>
    <w:rsid w:val="002A6D18"/>
    <w:rsid w:val="002B13CC"/>
    <w:rsid w:val="002B15BB"/>
    <w:rsid w:val="002B167F"/>
    <w:rsid w:val="002B29D5"/>
    <w:rsid w:val="002B2CF9"/>
    <w:rsid w:val="002B2F87"/>
    <w:rsid w:val="002B3371"/>
    <w:rsid w:val="002B38D8"/>
    <w:rsid w:val="002B3C9C"/>
    <w:rsid w:val="002B482B"/>
    <w:rsid w:val="002B7C0A"/>
    <w:rsid w:val="002C2C20"/>
    <w:rsid w:val="002C40AA"/>
    <w:rsid w:val="002C47F9"/>
    <w:rsid w:val="002C4F12"/>
    <w:rsid w:val="002C6134"/>
    <w:rsid w:val="002C63B4"/>
    <w:rsid w:val="002D09B6"/>
    <w:rsid w:val="002D3064"/>
    <w:rsid w:val="002D3216"/>
    <w:rsid w:val="002D387B"/>
    <w:rsid w:val="002D4508"/>
    <w:rsid w:val="002D4ABC"/>
    <w:rsid w:val="002D50B7"/>
    <w:rsid w:val="002D5EA6"/>
    <w:rsid w:val="002D64A4"/>
    <w:rsid w:val="002E0CA4"/>
    <w:rsid w:val="002E15B2"/>
    <w:rsid w:val="002E3C1B"/>
    <w:rsid w:val="002E49BC"/>
    <w:rsid w:val="002E5695"/>
    <w:rsid w:val="002E5953"/>
    <w:rsid w:val="002E6BCD"/>
    <w:rsid w:val="002F03AA"/>
    <w:rsid w:val="002F12F6"/>
    <w:rsid w:val="002F2B28"/>
    <w:rsid w:val="002F334E"/>
    <w:rsid w:val="002F3D37"/>
    <w:rsid w:val="002F4083"/>
    <w:rsid w:val="002F5A54"/>
    <w:rsid w:val="00300073"/>
    <w:rsid w:val="00300B1C"/>
    <w:rsid w:val="00300B86"/>
    <w:rsid w:val="00300F64"/>
    <w:rsid w:val="003014FD"/>
    <w:rsid w:val="00302956"/>
    <w:rsid w:val="0030631C"/>
    <w:rsid w:val="00306AC4"/>
    <w:rsid w:val="00310410"/>
    <w:rsid w:val="00311A24"/>
    <w:rsid w:val="00311E70"/>
    <w:rsid w:val="003134DD"/>
    <w:rsid w:val="00313746"/>
    <w:rsid w:val="00317B87"/>
    <w:rsid w:val="0032048C"/>
    <w:rsid w:val="00321877"/>
    <w:rsid w:val="003219B9"/>
    <w:rsid w:val="00321FB6"/>
    <w:rsid w:val="003254AF"/>
    <w:rsid w:val="003264C1"/>
    <w:rsid w:val="003267EA"/>
    <w:rsid w:val="003274E8"/>
    <w:rsid w:val="00327888"/>
    <w:rsid w:val="003279BD"/>
    <w:rsid w:val="00327CD0"/>
    <w:rsid w:val="003302A5"/>
    <w:rsid w:val="003302D8"/>
    <w:rsid w:val="00330C64"/>
    <w:rsid w:val="00330EE0"/>
    <w:rsid w:val="00331AA4"/>
    <w:rsid w:val="003320BF"/>
    <w:rsid w:val="00332362"/>
    <w:rsid w:val="00333247"/>
    <w:rsid w:val="00334CD3"/>
    <w:rsid w:val="003365DD"/>
    <w:rsid w:val="003366BC"/>
    <w:rsid w:val="00337CFB"/>
    <w:rsid w:val="003408FE"/>
    <w:rsid w:val="003415C6"/>
    <w:rsid w:val="00341879"/>
    <w:rsid w:val="00343835"/>
    <w:rsid w:val="003444EC"/>
    <w:rsid w:val="003459D9"/>
    <w:rsid w:val="00345D69"/>
    <w:rsid w:val="0034621D"/>
    <w:rsid w:val="00346557"/>
    <w:rsid w:val="0034724E"/>
    <w:rsid w:val="00350D80"/>
    <w:rsid w:val="00351748"/>
    <w:rsid w:val="00354CB0"/>
    <w:rsid w:val="00355C7E"/>
    <w:rsid w:val="00356B39"/>
    <w:rsid w:val="00356D29"/>
    <w:rsid w:val="00357438"/>
    <w:rsid w:val="00357E87"/>
    <w:rsid w:val="00360BD9"/>
    <w:rsid w:val="00363409"/>
    <w:rsid w:val="0036349B"/>
    <w:rsid w:val="00363D47"/>
    <w:rsid w:val="00365B7A"/>
    <w:rsid w:val="00370E46"/>
    <w:rsid w:val="00372252"/>
    <w:rsid w:val="00372EC2"/>
    <w:rsid w:val="003749A3"/>
    <w:rsid w:val="003752B1"/>
    <w:rsid w:val="00375E39"/>
    <w:rsid w:val="00380597"/>
    <w:rsid w:val="00380B15"/>
    <w:rsid w:val="00381360"/>
    <w:rsid w:val="00381F91"/>
    <w:rsid w:val="00383DBE"/>
    <w:rsid w:val="00383E8C"/>
    <w:rsid w:val="003844A3"/>
    <w:rsid w:val="00384B99"/>
    <w:rsid w:val="00385447"/>
    <w:rsid w:val="00385712"/>
    <w:rsid w:val="00385E2F"/>
    <w:rsid w:val="00386750"/>
    <w:rsid w:val="00387253"/>
    <w:rsid w:val="003875B2"/>
    <w:rsid w:val="00390808"/>
    <w:rsid w:val="00390D96"/>
    <w:rsid w:val="00396BF1"/>
    <w:rsid w:val="003A04EF"/>
    <w:rsid w:val="003A1939"/>
    <w:rsid w:val="003A24FC"/>
    <w:rsid w:val="003A3005"/>
    <w:rsid w:val="003A3960"/>
    <w:rsid w:val="003A3F1C"/>
    <w:rsid w:val="003A6151"/>
    <w:rsid w:val="003A7A0F"/>
    <w:rsid w:val="003B0DFF"/>
    <w:rsid w:val="003B11FC"/>
    <w:rsid w:val="003B1A4F"/>
    <w:rsid w:val="003B2E84"/>
    <w:rsid w:val="003B3A44"/>
    <w:rsid w:val="003B4641"/>
    <w:rsid w:val="003B4BA3"/>
    <w:rsid w:val="003B4BF2"/>
    <w:rsid w:val="003B77FD"/>
    <w:rsid w:val="003B79B9"/>
    <w:rsid w:val="003C241A"/>
    <w:rsid w:val="003C24B8"/>
    <w:rsid w:val="003C2E59"/>
    <w:rsid w:val="003C3C1A"/>
    <w:rsid w:val="003C3C52"/>
    <w:rsid w:val="003C4AF5"/>
    <w:rsid w:val="003C5336"/>
    <w:rsid w:val="003C5550"/>
    <w:rsid w:val="003C7514"/>
    <w:rsid w:val="003C765C"/>
    <w:rsid w:val="003D0284"/>
    <w:rsid w:val="003D3CD0"/>
    <w:rsid w:val="003D3FE1"/>
    <w:rsid w:val="003D50A5"/>
    <w:rsid w:val="003D67B6"/>
    <w:rsid w:val="003D6A12"/>
    <w:rsid w:val="003E1103"/>
    <w:rsid w:val="003E3FD9"/>
    <w:rsid w:val="003E5A0A"/>
    <w:rsid w:val="003E7C5C"/>
    <w:rsid w:val="003F0611"/>
    <w:rsid w:val="003F104E"/>
    <w:rsid w:val="003F2B5D"/>
    <w:rsid w:val="003F3879"/>
    <w:rsid w:val="003F4077"/>
    <w:rsid w:val="003F4CE5"/>
    <w:rsid w:val="003F6155"/>
    <w:rsid w:val="003F7956"/>
    <w:rsid w:val="004017BA"/>
    <w:rsid w:val="00401D7C"/>
    <w:rsid w:val="00402743"/>
    <w:rsid w:val="00402B78"/>
    <w:rsid w:val="0040476A"/>
    <w:rsid w:val="004059FC"/>
    <w:rsid w:val="00405F13"/>
    <w:rsid w:val="004062B5"/>
    <w:rsid w:val="00406E02"/>
    <w:rsid w:val="0040766A"/>
    <w:rsid w:val="004102D5"/>
    <w:rsid w:val="0041049B"/>
    <w:rsid w:val="00410712"/>
    <w:rsid w:val="00411D09"/>
    <w:rsid w:val="00411D4A"/>
    <w:rsid w:val="0041235F"/>
    <w:rsid w:val="00414043"/>
    <w:rsid w:val="004143EA"/>
    <w:rsid w:val="00414904"/>
    <w:rsid w:val="004155B1"/>
    <w:rsid w:val="00417436"/>
    <w:rsid w:val="0042047F"/>
    <w:rsid w:val="0042056B"/>
    <w:rsid w:val="00426870"/>
    <w:rsid w:val="00430EC4"/>
    <w:rsid w:val="00431F1E"/>
    <w:rsid w:val="00432EBF"/>
    <w:rsid w:val="00433A29"/>
    <w:rsid w:val="00434DDD"/>
    <w:rsid w:val="00435A01"/>
    <w:rsid w:val="004360D8"/>
    <w:rsid w:val="00436BD6"/>
    <w:rsid w:val="00436CFE"/>
    <w:rsid w:val="00436DBE"/>
    <w:rsid w:val="00436DE3"/>
    <w:rsid w:val="00437A8E"/>
    <w:rsid w:val="00437C7D"/>
    <w:rsid w:val="00440C48"/>
    <w:rsid w:val="004421E7"/>
    <w:rsid w:val="004428C3"/>
    <w:rsid w:val="00442FB6"/>
    <w:rsid w:val="00443701"/>
    <w:rsid w:val="00443EE7"/>
    <w:rsid w:val="00444ED7"/>
    <w:rsid w:val="00445FFE"/>
    <w:rsid w:val="00446339"/>
    <w:rsid w:val="0044712A"/>
    <w:rsid w:val="00447FF8"/>
    <w:rsid w:val="004505A0"/>
    <w:rsid w:val="00450E75"/>
    <w:rsid w:val="004510BC"/>
    <w:rsid w:val="00451603"/>
    <w:rsid w:val="00452607"/>
    <w:rsid w:val="00452AF9"/>
    <w:rsid w:val="004546A4"/>
    <w:rsid w:val="00454F8C"/>
    <w:rsid w:val="00454FCD"/>
    <w:rsid w:val="004552D6"/>
    <w:rsid w:val="00456384"/>
    <w:rsid w:val="0045734B"/>
    <w:rsid w:val="00457CE9"/>
    <w:rsid w:val="00463060"/>
    <w:rsid w:val="00463533"/>
    <w:rsid w:val="004649EA"/>
    <w:rsid w:val="0046544A"/>
    <w:rsid w:val="00465EA3"/>
    <w:rsid w:val="004676C6"/>
    <w:rsid w:val="00470370"/>
    <w:rsid w:val="00471F4E"/>
    <w:rsid w:val="00472E21"/>
    <w:rsid w:val="004734CB"/>
    <w:rsid w:val="0047440E"/>
    <w:rsid w:val="00474828"/>
    <w:rsid w:val="00475041"/>
    <w:rsid w:val="0047560A"/>
    <w:rsid w:val="00477651"/>
    <w:rsid w:val="00480F9F"/>
    <w:rsid w:val="0048244D"/>
    <w:rsid w:val="0048504C"/>
    <w:rsid w:val="00485856"/>
    <w:rsid w:val="00486E83"/>
    <w:rsid w:val="00486F9F"/>
    <w:rsid w:val="00487A9C"/>
    <w:rsid w:val="00490862"/>
    <w:rsid w:val="00490DCC"/>
    <w:rsid w:val="0049247B"/>
    <w:rsid w:val="0049357F"/>
    <w:rsid w:val="004A0F47"/>
    <w:rsid w:val="004A1277"/>
    <w:rsid w:val="004A1429"/>
    <w:rsid w:val="004A292F"/>
    <w:rsid w:val="004A35A8"/>
    <w:rsid w:val="004A43A8"/>
    <w:rsid w:val="004A594D"/>
    <w:rsid w:val="004A7967"/>
    <w:rsid w:val="004B02E2"/>
    <w:rsid w:val="004B03E5"/>
    <w:rsid w:val="004B17F2"/>
    <w:rsid w:val="004B2267"/>
    <w:rsid w:val="004B2D75"/>
    <w:rsid w:val="004B34B8"/>
    <w:rsid w:val="004B34D0"/>
    <w:rsid w:val="004B4030"/>
    <w:rsid w:val="004B4BB7"/>
    <w:rsid w:val="004B54C1"/>
    <w:rsid w:val="004B624B"/>
    <w:rsid w:val="004B6EC0"/>
    <w:rsid w:val="004B7388"/>
    <w:rsid w:val="004C1270"/>
    <w:rsid w:val="004C19F5"/>
    <w:rsid w:val="004C1C0D"/>
    <w:rsid w:val="004C264F"/>
    <w:rsid w:val="004C4444"/>
    <w:rsid w:val="004C4E00"/>
    <w:rsid w:val="004C5CA3"/>
    <w:rsid w:val="004C6304"/>
    <w:rsid w:val="004C654F"/>
    <w:rsid w:val="004C69ED"/>
    <w:rsid w:val="004D0E74"/>
    <w:rsid w:val="004D273E"/>
    <w:rsid w:val="004D3495"/>
    <w:rsid w:val="004D363E"/>
    <w:rsid w:val="004D5C02"/>
    <w:rsid w:val="004D6D97"/>
    <w:rsid w:val="004D7344"/>
    <w:rsid w:val="004D78A0"/>
    <w:rsid w:val="004D7AA5"/>
    <w:rsid w:val="004E2444"/>
    <w:rsid w:val="004E264A"/>
    <w:rsid w:val="004E4332"/>
    <w:rsid w:val="004E4401"/>
    <w:rsid w:val="004E44CD"/>
    <w:rsid w:val="004E4B7C"/>
    <w:rsid w:val="004E523A"/>
    <w:rsid w:val="004E712D"/>
    <w:rsid w:val="004F0580"/>
    <w:rsid w:val="004F058D"/>
    <w:rsid w:val="004F097F"/>
    <w:rsid w:val="004F0BEA"/>
    <w:rsid w:val="004F1EAF"/>
    <w:rsid w:val="004F1EBD"/>
    <w:rsid w:val="004F2C6A"/>
    <w:rsid w:val="004F47E3"/>
    <w:rsid w:val="004F4AE3"/>
    <w:rsid w:val="004F5B0F"/>
    <w:rsid w:val="004F6354"/>
    <w:rsid w:val="004F778E"/>
    <w:rsid w:val="004F79D4"/>
    <w:rsid w:val="0050095F"/>
    <w:rsid w:val="0050310D"/>
    <w:rsid w:val="0050482D"/>
    <w:rsid w:val="00504F65"/>
    <w:rsid w:val="00505053"/>
    <w:rsid w:val="00505E93"/>
    <w:rsid w:val="00506C19"/>
    <w:rsid w:val="00506C52"/>
    <w:rsid w:val="00507BF5"/>
    <w:rsid w:val="0051415D"/>
    <w:rsid w:val="0051472E"/>
    <w:rsid w:val="005165AF"/>
    <w:rsid w:val="00516C2F"/>
    <w:rsid w:val="00517A00"/>
    <w:rsid w:val="00520A08"/>
    <w:rsid w:val="00521AD6"/>
    <w:rsid w:val="0052234A"/>
    <w:rsid w:val="00524B9B"/>
    <w:rsid w:val="00524CA1"/>
    <w:rsid w:val="00524F05"/>
    <w:rsid w:val="00525D23"/>
    <w:rsid w:val="00527620"/>
    <w:rsid w:val="00527B66"/>
    <w:rsid w:val="0053164B"/>
    <w:rsid w:val="005316C5"/>
    <w:rsid w:val="00534BE4"/>
    <w:rsid w:val="00535517"/>
    <w:rsid w:val="00540186"/>
    <w:rsid w:val="00540454"/>
    <w:rsid w:val="00540C39"/>
    <w:rsid w:val="00540CF5"/>
    <w:rsid w:val="00546402"/>
    <w:rsid w:val="00546E16"/>
    <w:rsid w:val="00551D95"/>
    <w:rsid w:val="00552AF1"/>
    <w:rsid w:val="00553388"/>
    <w:rsid w:val="00553E8C"/>
    <w:rsid w:val="00554628"/>
    <w:rsid w:val="00555674"/>
    <w:rsid w:val="00562C76"/>
    <w:rsid w:val="005637F8"/>
    <w:rsid w:val="0056395B"/>
    <w:rsid w:val="005640BE"/>
    <w:rsid w:val="005643F7"/>
    <w:rsid w:val="005651B6"/>
    <w:rsid w:val="0056536B"/>
    <w:rsid w:val="00565F02"/>
    <w:rsid w:val="00566602"/>
    <w:rsid w:val="005701E8"/>
    <w:rsid w:val="00570747"/>
    <w:rsid w:val="00570AC6"/>
    <w:rsid w:val="005710BD"/>
    <w:rsid w:val="00571880"/>
    <w:rsid w:val="00571C92"/>
    <w:rsid w:val="00572D10"/>
    <w:rsid w:val="00575157"/>
    <w:rsid w:val="005772BD"/>
    <w:rsid w:val="00577E29"/>
    <w:rsid w:val="00580181"/>
    <w:rsid w:val="00580B07"/>
    <w:rsid w:val="00581498"/>
    <w:rsid w:val="005819F3"/>
    <w:rsid w:val="00581DF4"/>
    <w:rsid w:val="00584EA6"/>
    <w:rsid w:val="00586D67"/>
    <w:rsid w:val="00590AD7"/>
    <w:rsid w:val="00590EA9"/>
    <w:rsid w:val="005913B1"/>
    <w:rsid w:val="0059162C"/>
    <w:rsid w:val="00592666"/>
    <w:rsid w:val="0059330A"/>
    <w:rsid w:val="00595695"/>
    <w:rsid w:val="00596A5B"/>
    <w:rsid w:val="005971D0"/>
    <w:rsid w:val="005A0231"/>
    <w:rsid w:val="005A195C"/>
    <w:rsid w:val="005A1CB1"/>
    <w:rsid w:val="005A3F5F"/>
    <w:rsid w:val="005A468C"/>
    <w:rsid w:val="005A5EFD"/>
    <w:rsid w:val="005A6157"/>
    <w:rsid w:val="005A627E"/>
    <w:rsid w:val="005A6A69"/>
    <w:rsid w:val="005A796E"/>
    <w:rsid w:val="005B0358"/>
    <w:rsid w:val="005B09B6"/>
    <w:rsid w:val="005B0CD9"/>
    <w:rsid w:val="005B121A"/>
    <w:rsid w:val="005B2B8E"/>
    <w:rsid w:val="005B2EBF"/>
    <w:rsid w:val="005B6624"/>
    <w:rsid w:val="005B6B71"/>
    <w:rsid w:val="005B7381"/>
    <w:rsid w:val="005B7EC8"/>
    <w:rsid w:val="005C0CA1"/>
    <w:rsid w:val="005C2C6B"/>
    <w:rsid w:val="005C3657"/>
    <w:rsid w:val="005C3C72"/>
    <w:rsid w:val="005D03D4"/>
    <w:rsid w:val="005D111D"/>
    <w:rsid w:val="005D306B"/>
    <w:rsid w:val="005D3753"/>
    <w:rsid w:val="005D3C0A"/>
    <w:rsid w:val="005D5654"/>
    <w:rsid w:val="005D61F4"/>
    <w:rsid w:val="005D686C"/>
    <w:rsid w:val="005D6E0A"/>
    <w:rsid w:val="005D730E"/>
    <w:rsid w:val="005E0CCB"/>
    <w:rsid w:val="005E16EB"/>
    <w:rsid w:val="005E1C31"/>
    <w:rsid w:val="005F080F"/>
    <w:rsid w:val="005F1A9F"/>
    <w:rsid w:val="005F1C01"/>
    <w:rsid w:val="005F1C10"/>
    <w:rsid w:val="005F3631"/>
    <w:rsid w:val="005F4794"/>
    <w:rsid w:val="005F5F6C"/>
    <w:rsid w:val="005F682E"/>
    <w:rsid w:val="005F6F8B"/>
    <w:rsid w:val="005F71A3"/>
    <w:rsid w:val="0060064E"/>
    <w:rsid w:val="00600DAA"/>
    <w:rsid w:val="00601FB3"/>
    <w:rsid w:val="0060220F"/>
    <w:rsid w:val="006030CD"/>
    <w:rsid w:val="0060583D"/>
    <w:rsid w:val="006067F8"/>
    <w:rsid w:val="00606A8D"/>
    <w:rsid w:val="0060716D"/>
    <w:rsid w:val="0061072E"/>
    <w:rsid w:val="00610E71"/>
    <w:rsid w:val="006114EF"/>
    <w:rsid w:val="00611D0A"/>
    <w:rsid w:val="00612B4F"/>
    <w:rsid w:val="0061559C"/>
    <w:rsid w:val="00615EB9"/>
    <w:rsid w:val="006170F9"/>
    <w:rsid w:val="00617F90"/>
    <w:rsid w:val="00620AF3"/>
    <w:rsid w:val="00622047"/>
    <w:rsid w:val="00622FBE"/>
    <w:rsid w:val="00624B80"/>
    <w:rsid w:val="0062554F"/>
    <w:rsid w:val="006257B8"/>
    <w:rsid w:val="00626107"/>
    <w:rsid w:val="006269FB"/>
    <w:rsid w:val="0063103C"/>
    <w:rsid w:val="00632F18"/>
    <w:rsid w:val="006345F3"/>
    <w:rsid w:val="00634D8F"/>
    <w:rsid w:val="00635B9A"/>
    <w:rsid w:val="006374ED"/>
    <w:rsid w:val="00640B7F"/>
    <w:rsid w:val="006416BA"/>
    <w:rsid w:val="00641AFD"/>
    <w:rsid w:val="00641D03"/>
    <w:rsid w:val="006421AF"/>
    <w:rsid w:val="006426B6"/>
    <w:rsid w:val="00642941"/>
    <w:rsid w:val="00642C21"/>
    <w:rsid w:val="00643725"/>
    <w:rsid w:val="00643A7E"/>
    <w:rsid w:val="00645C9E"/>
    <w:rsid w:val="006508D5"/>
    <w:rsid w:val="00650D44"/>
    <w:rsid w:val="00651DD2"/>
    <w:rsid w:val="00651F01"/>
    <w:rsid w:val="00652139"/>
    <w:rsid w:val="0065325B"/>
    <w:rsid w:val="0065364C"/>
    <w:rsid w:val="00656B60"/>
    <w:rsid w:val="00656CD5"/>
    <w:rsid w:val="00656D1F"/>
    <w:rsid w:val="00657ED3"/>
    <w:rsid w:val="00660838"/>
    <w:rsid w:val="00661288"/>
    <w:rsid w:val="00661E03"/>
    <w:rsid w:val="0066421A"/>
    <w:rsid w:val="00664F76"/>
    <w:rsid w:val="00665FAC"/>
    <w:rsid w:val="00666800"/>
    <w:rsid w:val="006679B3"/>
    <w:rsid w:val="00667C61"/>
    <w:rsid w:val="00670ED2"/>
    <w:rsid w:val="0067127F"/>
    <w:rsid w:val="00672849"/>
    <w:rsid w:val="00673779"/>
    <w:rsid w:val="006737CF"/>
    <w:rsid w:val="0067396A"/>
    <w:rsid w:val="00675D31"/>
    <w:rsid w:val="006841E6"/>
    <w:rsid w:val="0068465B"/>
    <w:rsid w:val="0068611D"/>
    <w:rsid w:val="006867A2"/>
    <w:rsid w:val="00687608"/>
    <w:rsid w:val="006879F4"/>
    <w:rsid w:val="00687CE8"/>
    <w:rsid w:val="006927BA"/>
    <w:rsid w:val="00692AB8"/>
    <w:rsid w:val="00692FB8"/>
    <w:rsid w:val="00693793"/>
    <w:rsid w:val="00693A4E"/>
    <w:rsid w:val="00694116"/>
    <w:rsid w:val="00694667"/>
    <w:rsid w:val="00694BF6"/>
    <w:rsid w:val="00695BE8"/>
    <w:rsid w:val="006977AF"/>
    <w:rsid w:val="006A0F79"/>
    <w:rsid w:val="006A1E59"/>
    <w:rsid w:val="006A1EBE"/>
    <w:rsid w:val="006A2235"/>
    <w:rsid w:val="006A4300"/>
    <w:rsid w:val="006A486C"/>
    <w:rsid w:val="006A59BB"/>
    <w:rsid w:val="006B0E8A"/>
    <w:rsid w:val="006B1ADD"/>
    <w:rsid w:val="006B1BB0"/>
    <w:rsid w:val="006B2AA3"/>
    <w:rsid w:val="006B2AF6"/>
    <w:rsid w:val="006B2DDE"/>
    <w:rsid w:val="006B3CD2"/>
    <w:rsid w:val="006B462F"/>
    <w:rsid w:val="006B4D72"/>
    <w:rsid w:val="006B64FE"/>
    <w:rsid w:val="006B7B3C"/>
    <w:rsid w:val="006C06EF"/>
    <w:rsid w:val="006C2581"/>
    <w:rsid w:val="006C30AA"/>
    <w:rsid w:val="006C3575"/>
    <w:rsid w:val="006C6BD8"/>
    <w:rsid w:val="006C6D46"/>
    <w:rsid w:val="006D1053"/>
    <w:rsid w:val="006D111D"/>
    <w:rsid w:val="006D1BFE"/>
    <w:rsid w:val="006D1C1E"/>
    <w:rsid w:val="006D1D9C"/>
    <w:rsid w:val="006D2740"/>
    <w:rsid w:val="006D2D38"/>
    <w:rsid w:val="006D3342"/>
    <w:rsid w:val="006D3E55"/>
    <w:rsid w:val="006D4789"/>
    <w:rsid w:val="006D48A9"/>
    <w:rsid w:val="006D599D"/>
    <w:rsid w:val="006D6D79"/>
    <w:rsid w:val="006D7C76"/>
    <w:rsid w:val="006E10B4"/>
    <w:rsid w:val="006E16C2"/>
    <w:rsid w:val="006E4B10"/>
    <w:rsid w:val="006E4DD7"/>
    <w:rsid w:val="006E56E0"/>
    <w:rsid w:val="006E5FE7"/>
    <w:rsid w:val="006E630E"/>
    <w:rsid w:val="006E664D"/>
    <w:rsid w:val="006E6D69"/>
    <w:rsid w:val="006E7343"/>
    <w:rsid w:val="006F1D0C"/>
    <w:rsid w:val="006F1EE6"/>
    <w:rsid w:val="006F2942"/>
    <w:rsid w:val="006F7362"/>
    <w:rsid w:val="006F739E"/>
    <w:rsid w:val="006F75AD"/>
    <w:rsid w:val="007002DB"/>
    <w:rsid w:val="00702CAD"/>
    <w:rsid w:val="00704B3D"/>
    <w:rsid w:val="00704BD9"/>
    <w:rsid w:val="007051B6"/>
    <w:rsid w:val="0070584D"/>
    <w:rsid w:val="00705C82"/>
    <w:rsid w:val="007064D5"/>
    <w:rsid w:val="00706578"/>
    <w:rsid w:val="00707ED0"/>
    <w:rsid w:val="00710689"/>
    <w:rsid w:val="00711470"/>
    <w:rsid w:val="007137ED"/>
    <w:rsid w:val="0071436B"/>
    <w:rsid w:val="00714B0B"/>
    <w:rsid w:val="00714C81"/>
    <w:rsid w:val="00716935"/>
    <w:rsid w:val="0072193F"/>
    <w:rsid w:val="00722F17"/>
    <w:rsid w:val="007230ED"/>
    <w:rsid w:val="00723A6C"/>
    <w:rsid w:val="00723BB4"/>
    <w:rsid w:val="00723E07"/>
    <w:rsid w:val="00724A11"/>
    <w:rsid w:val="007271FF"/>
    <w:rsid w:val="00730521"/>
    <w:rsid w:val="007306E3"/>
    <w:rsid w:val="00732002"/>
    <w:rsid w:val="00732581"/>
    <w:rsid w:val="0073436E"/>
    <w:rsid w:val="0073467F"/>
    <w:rsid w:val="00734683"/>
    <w:rsid w:val="007371DF"/>
    <w:rsid w:val="007375C5"/>
    <w:rsid w:val="00737F4E"/>
    <w:rsid w:val="0074150B"/>
    <w:rsid w:val="00741769"/>
    <w:rsid w:val="00742373"/>
    <w:rsid w:val="0074248B"/>
    <w:rsid w:val="00744C99"/>
    <w:rsid w:val="00744D09"/>
    <w:rsid w:val="0074618E"/>
    <w:rsid w:val="0074625F"/>
    <w:rsid w:val="007463BF"/>
    <w:rsid w:val="00746695"/>
    <w:rsid w:val="00746BF0"/>
    <w:rsid w:val="00747673"/>
    <w:rsid w:val="0074791C"/>
    <w:rsid w:val="00750101"/>
    <w:rsid w:val="00750846"/>
    <w:rsid w:val="00751C54"/>
    <w:rsid w:val="00752A0C"/>
    <w:rsid w:val="00752D78"/>
    <w:rsid w:val="00753BF1"/>
    <w:rsid w:val="0075452F"/>
    <w:rsid w:val="00756DBD"/>
    <w:rsid w:val="0075767A"/>
    <w:rsid w:val="007576BA"/>
    <w:rsid w:val="00757D57"/>
    <w:rsid w:val="00761471"/>
    <w:rsid w:val="00761AB1"/>
    <w:rsid w:val="00763C28"/>
    <w:rsid w:val="00764BEC"/>
    <w:rsid w:val="007653BF"/>
    <w:rsid w:val="00765AA0"/>
    <w:rsid w:val="007668AA"/>
    <w:rsid w:val="00767EA5"/>
    <w:rsid w:val="00770299"/>
    <w:rsid w:val="00770DDC"/>
    <w:rsid w:val="0077129D"/>
    <w:rsid w:val="0077413C"/>
    <w:rsid w:val="00776655"/>
    <w:rsid w:val="00777A50"/>
    <w:rsid w:val="007817FE"/>
    <w:rsid w:val="00782126"/>
    <w:rsid w:val="00784044"/>
    <w:rsid w:val="00784227"/>
    <w:rsid w:val="0078500E"/>
    <w:rsid w:val="00785711"/>
    <w:rsid w:val="007901B9"/>
    <w:rsid w:val="007902BC"/>
    <w:rsid w:val="007902F2"/>
    <w:rsid w:val="00790D69"/>
    <w:rsid w:val="0079156A"/>
    <w:rsid w:val="00792C88"/>
    <w:rsid w:val="0079390B"/>
    <w:rsid w:val="00793C94"/>
    <w:rsid w:val="00796EDF"/>
    <w:rsid w:val="0079728A"/>
    <w:rsid w:val="00797500"/>
    <w:rsid w:val="007A1A91"/>
    <w:rsid w:val="007A23E1"/>
    <w:rsid w:val="007A2E8E"/>
    <w:rsid w:val="007A458B"/>
    <w:rsid w:val="007A54A8"/>
    <w:rsid w:val="007A5DF6"/>
    <w:rsid w:val="007A68E7"/>
    <w:rsid w:val="007B09CF"/>
    <w:rsid w:val="007B0A1C"/>
    <w:rsid w:val="007B4061"/>
    <w:rsid w:val="007B47F1"/>
    <w:rsid w:val="007B483C"/>
    <w:rsid w:val="007B48A7"/>
    <w:rsid w:val="007B4E5E"/>
    <w:rsid w:val="007B5C08"/>
    <w:rsid w:val="007B6E58"/>
    <w:rsid w:val="007B733B"/>
    <w:rsid w:val="007B79F5"/>
    <w:rsid w:val="007C27E4"/>
    <w:rsid w:val="007C2F8F"/>
    <w:rsid w:val="007C3F3E"/>
    <w:rsid w:val="007C4741"/>
    <w:rsid w:val="007C5AAB"/>
    <w:rsid w:val="007C5B2B"/>
    <w:rsid w:val="007C6254"/>
    <w:rsid w:val="007C6860"/>
    <w:rsid w:val="007C6BDF"/>
    <w:rsid w:val="007D03CE"/>
    <w:rsid w:val="007D0D5A"/>
    <w:rsid w:val="007D1BCB"/>
    <w:rsid w:val="007D3AC0"/>
    <w:rsid w:val="007D5485"/>
    <w:rsid w:val="007D63BA"/>
    <w:rsid w:val="007D6835"/>
    <w:rsid w:val="007D784B"/>
    <w:rsid w:val="007D7B7C"/>
    <w:rsid w:val="007E017A"/>
    <w:rsid w:val="007E1CBB"/>
    <w:rsid w:val="007E2366"/>
    <w:rsid w:val="007E3300"/>
    <w:rsid w:val="007E47CA"/>
    <w:rsid w:val="007E4EA1"/>
    <w:rsid w:val="007E4EAE"/>
    <w:rsid w:val="007E5165"/>
    <w:rsid w:val="007E5758"/>
    <w:rsid w:val="007E70AD"/>
    <w:rsid w:val="007E73F1"/>
    <w:rsid w:val="007E7C8A"/>
    <w:rsid w:val="007F092B"/>
    <w:rsid w:val="007F2420"/>
    <w:rsid w:val="007F301C"/>
    <w:rsid w:val="007F30B4"/>
    <w:rsid w:val="007F32CB"/>
    <w:rsid w:val="007F4967"/>
    <w:rsid w:val="007F4D8C"/>
    <w:rsid w:val="007F505C"/>
    <w:rsid w:val="008006DD"/>
    <w:rsid w:val="00800A6F"/>
    <w:rsid w:val="00800AC8"/>
    <w:rsid w:val="00803DA4"/>
    <w:rsid w:val="00803E1D"/>
    <w:rsid w:val="00804762"/>
    <w:rsid w:val="00804EE4"/>
    <w:rsid w:val="00806C1B"/>
    <w:rsid w:val="008071DD"/>
    <w:rsid w:val="00812EBD"/>
    <w:rsid w:val="00813222"/>
    <w:rsid w:val="008136B7"/>
    <w:rsid w:val="00813864"/>
    <w:rsid w:val="00814D98"/>
    <w:rsid w:val="00815529"/>
    <w:rsid w:val="008166A5"/>
    <w:rsid w:val="00820D53"/>
    <w:rsid w:val="00820F75"/>
    <w:rsid w:val="00823310"/>
    <w:rsid w:val="0082395B"/>
    <w:rsid w:val="00824539"/>
    <w:rsid w:val="0082498B"/>
    <w:rsid w:val="0082500E"/>
    <w:rsid w:val="008251CF"/>
    <w:rsid w:val="00825577"/>
    <w:rsid w:val="008262A4"/>
    <w:rsid w:val="00826A2D"/>
    <w:rsid w:val="00826A79"/>
    <w:rsid w:val="008325AB"/>
    <w:rsid w:val="008325C0"/>
    <w:rsid w:val="008325CB"/>
    <w:rsid w:val="0083291D"/>
    <w:rsid w:val="00832FD7"/>
    <w:rsid w:val="008345F8"/>
    <w:rsid w:val="00835873"/>
    <w:rsid w:val="00836C6B"/>
    <w:rsid w:val="0083752A"/>
    <w:rsid w:val="00840E67"/>
    <w:rsid w:val="008417E9"/>
    <w:rsid w:val="00841EA4"/>
    <w:rsid w:val="00842A24"/>
    <w:rsid w:val="00843CB3"/>
    <w:rsid w:val="00845598"/>
    <w:rsid w:val="008465DC"/>
    <w:rsid w:val="00846920"/>
    <w:rsid w:val="00847460"/>
    <w:rsid w:val="008505F3"/>
    <w:rsid w:val="00851986"/>
    <w:rsid w:val="0085244D"/>
    <w:rsid w:val="00853063"/>
    <w:rsid w:val="00854808"/>
    <w:rsid w:val="00854981"/>
    <w:rsid w:val="0085513A"/>
    <w:rsid w:val="00856961"/>
    <w:rsid w:val="00860324"/>
    <w:rsid w:val="008605C4"/>
    <w:rsid w:val="008609D1"/>
    <w:rsid w:val="00863361"/>
    <w:rsid w:val="00863E21"/>
    <w:rsid w:val="00864D48"/>
    <w:rsid w:val="00866115"/>
    <w:rsid w:val="00866180"/>
    <w:rsid w:val="008702FB"/>
    <w:rsid w:val="00871BD7"/>
    <w:rsid w:val="00872952"/>
    <w:rsid w:val="00873403"/>
    <w:rsid w:val="0087517B"/>
    <w:rsid w:val="00875B5D"/>
    <w:rsid w:val="008760BC"/>
    <w:rsid w:val="00877EBD"/>
    <w:rsid w:val="008809C0"/>
    <w:rsid w:val="00881BE5"/>
    <w:rsid w:val="00882252"/>
    <w:rsid w:val="008822A9"/>
    <w:rsid w:val="00882566"/>
    <w:rsid w:val="008825AB"/>
    <w:rsid w:val="00886B80"/>
    <w:rsid w:val="008871D6"/>
    <w:rsid w:val="00890A6C"/>
    <w:rsid w:val="00891355"/>
    <w:rsid w:val="00891EE6"/>
    <w:rsid w:val="00893D49"/>
    <w:rsid w:val="00895279"/>
    <w:rsid w:val="008956F9"/>
    <w:rsid w:val="00895B8F"/>
    <w:rsid w:val="00896B1F"/>
    <w:rsid w:val="008A07B4"/>
    <w:rsid w:val="008A18E8"/>
    <w:rsid w:val="008A2C29"/>
    <w:rsid w:val="008A302D"/>
    <w:rsid w:val="008A30BF"/>
    <w:rsid w:val="008A31EE"/>
    <w:rsid w:val="008A3540"/>
    <w:rsid w:val="008A3B39"/>
    <w:rsid w:val="008A49B8"/>
    <w:rsid w:val="008A6871"/>
    <w:rsid w:val="008A6885"/>
    <w:rsid w:val="008A7994"/>
    <w:rsid w:val="008B04F5"/>
    <w:rsid w:val="008B0D7D"/>
    <w:rsid w:val="008B206A"/>
    <w:rsid w:val="008B2D76"/>
    <w:rsid w:val="008B2EE7"/>
    <w:rsid w:val="008B45DC"/>
    <w:rsid w:val="008B586D"/>
    <w:rsid w:val="008B59E2"/>
    <w:rsid w:val="008C0004"/>
    <w:rsid w:val="008C0333"/>
    <w:rsid w:val="008C067A"/>
    <w:rsid w:val="008C08C5"/>
    <w:rsid w:val="008C0EAA"/>
    <w:rsid w:val="008C1F59"/>
    <w:rsid w:val="008C3C46"/>
    <w:rsid w:val="008C40E4"/>
    <w:rsid w:val="008C46AC"/>
    <w:rsid w:val="008C6FCC"/>
    <w:rsid w:val="008C747F"/>
    <w:rsid w:val="008D08B8"/>
    <w:rsid w:val="008D10DE"/>
    <w:rsid w:val="008D4324"/>
    <w:rsid w:val="008D4F15"/>
    <w:rsid w:val="008D6799"/>
    <w:rsid w:val="008D6932"/>
    <w:rsid w:val="008D6C21"/>
    <w:rsid w:val="008D782D"/>
    <w:rsid w:val="008E1EED"/>
    <w:rsid w:val="008E30D1"/>
    <w:rsid w:val="008E3A97"/>
    <w:rsid w:val="008E3C4F"/>
    <w:rsid w:val="008E4F47"/>
    <w:rsid w:val="008E60F6"/>
    <w:rsid w:val="008E6D97"/>
    <w:rsid w:val="008E7A92"/>
    <w:rsid w:val="008F00F9"/>
    <w:rsid w:val="008F44DF"/>
    <w:rsid w:val="008F48DE"/>
    <w:rsid w:val="008F4D91"/>
    <w:rsid w:val="008F5DA3"/>
    <w:rsid w:val="008F7396"/>
    <w:rsid w:val="008F7536"/>
    <w:rsid w:val="00902464"/>
    <w:rsid w:val="00902BDD"/>
    <w:rsid w:val="00904158"/>
    <w:rsid w:val="00904D69"/>
    <w:rsid w:val="009100DA"/>
    <w:rsid w:val="00910617"/>
    <w:rsid w:val="00911C16"/>
    <w:rsid w:val="00912674"/>
    <w:rsid w:val="009127CA"/>
    <w:rsid w:val="0091330F"/>
    <w:rsid w:val="009135E5"/>
    <w:rsid w:val="0091430A"/>
    <w:rsid w:val="009148FB"/>
    <w:rsid w:val="00914A43"/>
    <w:rsid w:val="0091597E"/>
    <w:rsid w:val="00915E8B"/>
    <w:rsid w:val="0091676D"/>
    <w:rsid w:val="00917563"/>
    <w:rsid w:val="009210E6"/>
    <w:rsid w:val="009238AF"/>
    <w:rsid w:val="009239C9"/>
    <w:rsid w:val="00930682"/>
    <w:rsid w:val="00930EA8"/>
    <w:rsid w:val="009323FD"/>
    <w:rsid w:val="00934FEC"/>
    <w:rsid w:val="0093567A"/>
    <w:rsid w:val="009365F0"/>
    <w:rsid w:val="00940587"/>
    <w:rsid w:val="00940DB0"/>
    <w:rsid w:val="00941BA2"/>
    <w:rsid w:val="00944485"/>
    <w:rsid w:val="009450C9"/>
    <w:rsid w:val="009471CF"/>
    <w:rsid w:val="00950FED"/>
    <w:rsid w:val="00950FF7"/>
    <w:rsid w:val="00951411"/>
    <w:rsid w:val="009524B9"/>
    <w:rsid w:val="00956168"/>
    <w:rsid w:val="0096143C"/>
    <w:rsid w:val="00961564"/>
    <w:rsid w:val="00961811"/>
    <w:rsid w:val="00962CFE"/>
    <w:rsid w:val="00964A20"/>
    <w:rsid w:val="00965234"/>
    <w:rsid w:val="009659A0"/>
    <w:rsid w:val="00970D99"/>
    <w:rsid w:val="00971003"/>
    <w:rsid w:val="00971CE5"/>
    <w:rsid w:val="009725BE"/>
    <w:rsid w:val="00973FDE"/>
    <w:rsid w:val="009763AD"/>
    <w:rsid w:val="0097692A"/>
    <w:rsid w:val="009800EB"/>
    <w:rsid w:val="00980197"/>
    <w:rsid w:val="0098141F"/>
    <w:rsid w:val="00982490"/>
    <w:rsid w:val="00982710"/>
    <w:rsid w:val="0098278E"/>
    <w:rsid w:val="00984431"/>
    <w:rsid w:val="00992D52"/>
    <w:rsid w:val="00994909"/>
    <w:rsid w:val="00994A96"/>
    <w:rsid w:val="009954AE"/>
    <w:rsid w:val="00995F0D"/>
    <w:rsid w:val="00995FFE"/>
    <w:rsid w:val="009960F8"/>
    <w:rsid w:val="009A01D7"/>
    <w:rsid w:val="009A0978"/>
    <w:rsid w:val="009A4574"/>
    <w:rsid w:val="009A4BBC"/>
    <w:rsid w:val="009A64C9"/>
    <w:rsid w:val="009A7CD5"/>
    <w:rsid w:val="009B034A"/>
    <w:rsid w:val="009B225F"/>
    <w:rsid w:val="009B265E"/>
    <w:rsid w:val="009B55E0"/>
    <w:rsid w:val="009B729B"/>
    <w:rsid w:val="009B7385"/>
    <w:rsid w:val="009B7A02"/>
    <w:rsid w:val="009C1A2A"/>
    <w:rsid w:val="009C1DB3"/>
    <w:rsid w:val="009C1FD4"/>
    <w:rsid w:val="009C22E3"/>
    <w:rsid w:val="009C4E2C"/>
    <w:rsid w:val="009C5535"/>
    <w:rsid w:val="009C5F6D"/>
    <w:rsid w:val="009C75D3"/>
    <w:rsid w:val="009C7AD8"/>
    <w:rsid w:val="009D04A2"/>
    <w:rsid w:val="009D2B69"/>
    <w:rsid w:val="009D351E"/>
    <w:rsid w:val="009D39BF"/>
    <w:rsid w:val="009D420D"/>
    <w:rsid w:val="009D6BEA"/>
    <w:rsid w:val="009D7985"/>
    <w:rsid w:val="009E2CD7"/>
    <w:rsid w:val="009E3C00"/>
    <w:rsid w:val="009F329B"/>
    <w:rsid w:val="009F3B76"/>
    <w:rsid w:val="009F419E"/>
    <w:rsid w:val="009F4B1E"/>
    <w:rsid w:val="009F5A13"/>
    <w:rsid w:val="009F6186"/>
    <w:rsid w:val="00A00553"/>
    <w:rsid w:val="00A03BE4"/>
    <w:rsid w:val="00A06FB9"/>
    <w:rsid w:val="00A07BD4"/>
    <w:rsid w:val="00A07E42"/>
    <w:rsid w:val="00A11FD0"/>
    <w:rsid w:val="00A12515"/>
    <w:rsid w:val="00A12537"/>
    <w:rsid w:val="00A1315E"/>
    <w:rsid w:val="00A1387D"/>
    <w:rsid w:val="00A14051"/>
    <w:rsid w:val="00A14283"/>
    <w:rsid w:val="00A1458F"/>
    <w:rsid w:val="00A14FA8"/>
    <w:rsid w:val="00A160CC"/>
    <w:rsid w:val="00A1703F"/>
    <w:rsid w:val="00A211C4"/>
    <w:rsid w:val="00A22B96"/>
    <w:rsid w:val="00A22E83"/>
    <w:rsid w:val="00A24366"/>
    <w:rsid w:val="00A24780"/>
    <w:rsid w:val="00A24E10"/>
    <w:rsid w:val="00A273C6"/>
    <w:rsid w:val="00A27DC8"/>
    <w:rsid w:val="00A3011C"/>
    <w:rsid w:val="00A30469"/>
    <w:rsid w:val="00A30D00"/>
    <w:rsid w:val="00A3170B"/>
    <w:rsid w:val="00A3245B"/>
    <w:rsid w:val="00A3280B"/>
    <w:rsid w:val="00A337FD"/>
    <w:rsid w:val="00A33998"/>
    <w:rsid w:val="00A34812"/>
    <w:rsid w:val="00A34BDC"/>
    <w:rsid w:val="00A35804"/>
    <w:rsid w:val="00A36B8A"/>
    <w:rsid w:val="00A36BA5"/>
    <w:rsid w:val="00A36DA6"/>
    <w:rsid w:val="00A404A6"/>
    <w:rsid w:val="00A433A3"/>
    <w:rsid w:val="00A443B3"/>
    <w:rsid w:val="00A461FB"/>
    <w:rsid w:val="00A46E65"/>
    <w:rsid w:val="00A51665"/>
    <w:rsid w:val="00A51ED5"/>
    <w:rsid w:val="00A539DC"/>
    <w:rsid w:val="00A550BF"/>
    <w:rsid w:val="00A55EA8"/>
    <w:rsid w:val="00A5611D"/>
    <w:rsid w:val="00A564FB"/>
    <w:rsid w:val="00A575D1"/>
    <w:rsid w:val="00A57934"/>
    <w:rsid w:val="00A61DAC"/>
    <w:rsid w:val="00A6349B"/>
    <w:rsid w:val="00A645AC"/>
    <w:rsid w:val="00A64B7A"/>
    <w:rsid w:val="00A66E30"/>
    <w:rsid w:val="00A66FFC"/>
    <w:rsid w:val="00A6764A"/>
    <w:rsid w:val="00A679E0"/>
    <w:rsid w:val="00A703C6"/>
    <w:rsid w:val="00A71FD7"/>
    <w:rsid w:val="00A72D33"/>
    <w:rsid w:val="00A73D04"/>
    <w:rsid w:val="00A73FF6"/>
    <w:rsid w:val="00A7402A"/>
    <w:rsid w:val="00A74636"/>
    <w:rsid w:val="00A76C8E"/>
    <w:rsid w:val="00A7743D"/>
    <w:rsid w:val="00A80CEF"/>
    <w:rsid w:val="00A841E9"/>
    <w:rsid w:val="00A86366"/>
    <w:rsid w:val="00A8742E"/>
    <w:rsid w:val="00A876FB"/>
    <w:rsid w:val="00A9136D"/>
    <w:rsid w:val="00A93D1A"/>
    <w:rsid w:val="00A94D0C"/>
    <w:rsid w:val="00A94FB6"/>
    <w:rsid w:val="00A96081"/>
    <w:rsid w:val="00A96E03"/>
    <w:rsid w:val="00A97D27"/>
    <w:rsid w:val="00AA21F0"/>
    <w:rsid w:val="00AA36BF"/>
    <w:rsid w:val="00AA69B2"/>
    <w:rsid w:val="00AA7DE9"/>
    <w:rsid w:val="00AB0109"/>
    <w:rsid w:val="00AB0841"/>
    <w:rsid w:val="00AB18FB"/>
    <w:rsid w:val="00AB2F5A"/>
    <w:rsid w:val="00AB3BA0"/>
    <w:rsid w:val="00AB466F"/>
    <w:rsid w:val="00AC0A11"/>
    <w:rsid w:val="00AC407B"/>
    <w:rsid w:val="00AC62BE"/>
    <w:rsid w:val="00AC683C"/>
    <w:rsid w:val="00AD05D3"/>
    <w:rsid w:val="00AD11C4"/>
    <w:rsid w:val="00AD1B8C"/>
    <w:rsid w:val="00AD1FE5"/>
    <w:rsid w:val="00AD38B1"/>
    <w:rsid w:val="00AD5939"/>
    <w:rsid w:val="00AD6786"/>
    <w:rsid w:val="00AD74A7"/>
    <w:rsid w:val="00AD75B0"/>
    <w:rsid w:val="00AE0543"/>
    <w:rsid w:val="00AE1843"/>
    <w:rsid w:val="00AE1FD6"/>
    <w:rsid w:val="00AE242C"/>
    <w:rsid w:val="00AE4B03"/>
    <w:rsid w:val="00AE638B"/>
    <w:rsid w:val="00AE6A8E"/>
    <w:rsid w:val="00AE6BCA"/>
    <w:rsid w:val="00AF0964"/>
    <w:rsid w:val="00AF1015"/>
    <w:rsid w:val="00AF54A8"/>
    <w:rsid w:val="00AF610E"/>
    <w:rsid w:val="00AF67CC"/>
    <w:rsid w:val="00AF6C07"/>
    <w:rsid w:val="00B0083B"/>
    <w:rsid w:val="00B0084F"/>
    <w:rsid w:val="00B012ED"/>
    <w:rsid w:val="00B01E44"/>
    <w:rsid w:val="00B02066"/>
    <w:rsid w:val="00B0302C"/>
    <w:rsid w:val="00B061E3"/>
    <w:rsid w:val="00B06D5E"/>
    <w:rsid w:val="00B07ECF"/>
    <w:rsid w:val="00B103DC"/>
    <w:rsid w:val="00B108DB"/>
    <w:rsid w:val="00B1247D"/>
    <w:rsid w:val="00B132EA"/>
    <w:rsid w:val="00B13505"/>
    <w:rsid w:val="00B13E51"/>
    <w:rsid w:val="00B16C48"/>
    <w:rsid w:val="00B175A2"/>
    <w:rsid w:val="00B17737"/>
    <w:rsid w:val="00B177FF"/>
    <w:rsid w:val="00B17E37"/>
    <w:rsid w:val="00B20E8A"/>
    <w:rsid w:val="00B21E8B"/>
    <w:rsid w:val="00B2216C"/>
    <w:rsid w:val="00B2295F"/>
    <w:rsid w:val="00B22AAA"/>
    <w:rsid w:val="00B22DD3"/>
    <w:rsid w:val="00B23B1A"/>
    <w:rsid w:val="00B24EB3"/>
    <w:rsid w:val="00B2506C"/>
    <w:rsid w:val="00B25535"/>
    <w:rsid w:val="00B25A27"/>
    <w:rsid w:val="00B25CB2"/>
    <w:rsid w:val="00B27703"/>
    <w:rsid w:val="00B27DD1"/>
    <w:rsid w:val="00B323AA"/>
    <w:rsid w:val="00B3298D"/>
    <w:rsid w:val="00B32C79"/>
    <w:rsid w:val="00B330CC"/>
    <w:rsid w:val="00B33A9D"/>
    <w:rsid w:val="00B33EC3"/>
    <w:rsid w:val="00B342AE"/>
    <w:rsid w:val="00B34F32"/>
    <w:rsid w:val="00B362EE"/>
    <w:rsid w:val="00B36FE7"/>
    <w:rsid w:val="00B370D3"/>
    <w:rsid w:val="00B37E12"/>
    <w:rsid w:val="00B423E8"/>
    <w:rsid w:val="00B428F0"/>
    <w:rsid w:val="00B43C0D"/>
    <w:rsid w:val="00B469B1"/>
    <w:rsid w:val="00B46A4A"/>
    <w:rsid w:val="00B52D9A"/>
    <w:rsid w:val="00B53DDF"/>
    <w:rsid w:val="00B54921"/>
    <w:rsid w:val="00B5544A"/>
    <w:rsid w:val="00B55703"/>
    <w:rsid w:val="00B60BB9"/>
    <w:rsid w:val="00B610A2"/>
    <w:rsid w:val="00B61767"/>
    <w:rsid w:val="00B61775"/>
    <w:rsid w:val="00B62143"/>
    <w:rsid w:val="00B62A30"/>
    <w:rsid w:val="00B63C2A"/>
    <w:rsid w:val="00B63C6C"/>
    <w:rsid w:val="00B64463"/>
    <w:rsid w:val="00B64EB1"/>
    <w:rsid w:val="00B664B2"/>
    <w:rsid w:val="00B67AD1"/>
    <w:rsid w:val="00B67F0F"/>
    <w:rsid w:val="00B727A6"/>
    <w:rsid w:val="00B733AB"/>
    <w:rsid w:val="00B7359B"/>
    <w:rsid w:val="00B81959"/>
    <w:rsid w:val="00B819A4"/>
    <w:rsid w:val="00B83712"/>
    <w:rsid w:val="00B83BA6"/>
    <w:rsid w:val="00B8467A"/>
    <w:rsid w:val="00B84AFD"/>
    <w:rsid w:val="00B85B36"/>
    <w:rsid w:val="00B8635B"/>
    <w:rsid w:val="00B867FD"/>
    <w:rsid w:val="00B87D2D"/>
    <w:rsid w:val="00B87FD3"/>
    <w:rsid w:val="00B91BCC"/>
    <w:rsid w:val="00B92ED4"/>
    <w:rsid w:val="00B956C0"/>
    <w:rsid w:val="00B96ECE"/>
    <w:rsid w:val="00BA03BE"/>
    <w:rsid w:val="00BA0EFF"/>
    <w:rsid w:val="00BA1ADB"/>
    <w:rsid w:val="00BA1E21"/>
    <w:rsid w:val="00BA3D30"/>
    <w:rsid w:val="00BA3D86"/>
    <w:rsid w:val="00BA41C4"/>
    <w:rsid w:val="00BA4AC2"/>
    <w:rsid w:val="00BA5813"/>
    <w:rsid w:val="00BA6B25"/>
    <w:rsid w:val="00BA7093"/>
    <w:rsid w:val="00BB0469"/>
    <w:rsid w:val="00BB44FE"/>
    <w:rsid w:val="00BB56B6"/>
    <w:rsid w:val="00BB56E5"/>
    <w:rsid w:val="00BB5B47"/>
    <w:rsid w:val="00BB71BF"/>
    <w:rsid w:val="00BB7C1C"/>
    <w:rsid w:val="00BC0DFA"/>
    <w:rsid w:val="00BC2A01"/>
    <w:rsid w:val="00BC4CFE"/>
    <w:rsid w:val="00BC540C"/>
    <w:rsid w:val="00BC659C"/>
    <w:rsid w:val="00BC6BFE"/>
    <w:rsid w:val="00BD361E"/>
    <w:rsid w:val="00BD423D"/>
    <w:rsid w:val="00BD4DB0"/>
    <w:rsid w:val="00BD5AA1"/>
    <w:rsid w:val="00BD655D"/>
    <w:rsid w:val="00BD7421"/>
    <w:rsid w:val="00BD7B6B"/>
    <w:rsid w:val="00BE2C71"/>
    <w:rsid w:val="00BE3B0E"/>
    <w:rsid w:val="00BE3B7A"/>
    <w:rsid w:val="00BE3CEF"/>
    <w:rsid w:val="00BE4D52"/>
    <w:rsid w:val="00BE5C78"/>
    <w:rsid w:val="00BE6A20"/>
    <w:rsid w:val="00BF091D"/>
    <w:rsid w:val="00BF0F10"/>
    <w:rsid w:val="00BF216F"/>
    <w:rsid w:val="00BF28CA"/>
    <w:rsid w:val="00BF3270"/>
    <w:rsid w:val="00BF3450"/>
    <w:rsid w:val="00BF3EE9"/>
    <w:rsid w:val="00BF48C7"/>
    <w:rsid w:val="00BF6C54"/>
    <w:rsid w:val="00BF72E7"/>
    <w:rsid w:val="00C01B15"/>
    <w:rsid w:val="00C02926"/>
    <w:rsid w:val="00C029F2"/>
    <w:rsid w:val="00C031AE"/>
    <w:rsid w:val="00C03956"/>
    <w:rsid w:val="00C03A4B"/>
    <w:rsid w:val="00C0565F"/>
    <w:rsid w:val="00C0591D"/>
    <w:rsid w:val="00C064B7"/>
    <w:rsid w:val="00C06F3E"/>
    <w:rsid w:val="00C07790"/>
    <w:rsid w:val="00C07B9D"/>
    <w:rsid w:val="00C10475"/>
    <w:rsid w:val="00C11192"/>
    <w:rsid w:val="00C12742"/>
    <w:rsid w:val="00C12A98"/>
    <w:rsid w:val="00C12D73"/>
    <w:rsid w:val="00C1353A"/>
    <w:rsid w:val="00C14746"/>
    <w:rsid w:val="00C15188"/>
    <w:rsid w:val="00C1679C"/>
    <w:rsid w:val="00C218C2"/>
    <w:rsid w:val="00C21A49"/>
    <w:rsid w:val="00C21C10"/>
    <w:rsid w:val="00C24B77"/>
    <w:rsid w:val="00C2653A"/>
    <w:rsid w:val="00C26A4C"/>
    <w:rsid w:val="00C309F2"/>
    <w:rsid w:val="00C30FF2"/>
    <w:rsid w:val="00C317D5"/>
    <w:rsid w:val="00C363EF"/>
    <w:rsid w:val="00C37DB7"/>
    <w:rsid w:val="00C37E47"/>
    <w:rsid w:val="00C406AD"/>
    <w:rsid w:val="00C40A2B"/>
    <w:rsid w:val="00C40DDC"/>
    <w:rsid w:val="00C419B9"/>
    <w:rsid w:val="00C44649"/>
    <w:rsid w:val="00C44661"/>
    <w:rsid w:val="00C448F5"/>
    <w:rsid w:val="00C44D56"/>
    <w:rsid w:val="00C479D4"/>
    <w:rsid w:val="00C503D5"/>
    <w:rsid w:val="00C50E3A"/>
    <w:rsid w:val="00C51F82"/>
    <w:rsid w:val="00C523A2"/>
    <w:rsid w:val="00C52916"/>
    <w:rsid w:val="00C52AD2"/>
    <w:rsid w:val="00C52D82"/>
    <w:rsid w:val="00C53942"/>
    <w:rsid w:val="00C53C64"/>
    <w:rsid w:val="00C542C6"/>
    <w:rsid w:val="00C557FC"/>
    <w:rsid w:val="00C570CF"/>
    <w:rsid w:val="00C60019"/>
    <w:rsid w:val="00C615E0"/>
    <w:rsid w:val="00C631B5"/>
    <w:rsid w:val="00C634FB"/>
    <w:rsid w:val="00C63D8B"/>
    <w:rsid w:val="00C64329"/>
    <w:rsid w:val="00C64A1B"/>
    <w:rsid w:val="00C64BD5"/>
    <w:rsid w:val="00C707A2"/>
    <w:rsid w:val="00C70DF2"/>
    <w:rsid w:val="00C70E47"/>
    <w:rsid w:val="00C71917"/>
    <w:rsid w:val="00C7249E"/>
    <w:rsid w:val="00C7280F"/>
    <w:rsid w:val="00C737FD"/>
    <w:rsid w:val="00C73E3D"/>
    <w:rsid w:val="00C7477E"/>
    <w:rsid w:val="00C761EE"/>
    <w:rsid w:val="00C766A2"/>
    <w:rsid w:val="00C768E0"/>
    <w:rsid w:val="00C77072"/>
    <w:rsid w:val="00C77955"/>
    <w:rsid w:val="00C77B6B"/>
    <w:rsid w:val="00C77ECB"/>
    <w:rsid w:val="00C807DE"/>
    <w:rsid w:val="00C809C9"/>
    <w:rsid w:val="00C8287B"/>
    <w:rsid w:val="00C84250"/>
    <w:rsid w:val="00C866E4"/>
    <w:rsid w:val="00C86E1B"/>
    <w:rsid w:val="00C87CBB"/>
    <w:rsid w:val="00C912BA"/>
    <w:rsid w:val="00C924D6"/>
    <w:rsid w:val="00C9394F"/>
    <w:rsid w:val="00C945DC"/>
    <w:rsid w:val="00C96A84"/>
    <w:rsid w:val="00C96C4C"/>
    <w:rsid w:val="00C978B4"/>
    <w:rsid w:val="00CA004A"/>
    <w:rsid w:val="00CA02FF"/>
    <w:rsid w:val="00CA04CF"/>
    <w:rsid w:val="00CA17D4"/>
    <w:rsid w:val="00CA4A40"/>
    <w:rsid w:val="00CA4C43"/>
    <w:rsid w:val="00CA7758"/>
    <w:rsid w:val="00CB00CF"/>
    <w:rsid w:val="00CB15A9"/>
    <w:rsid w:val="00CB2498"/>
    <w:rsid w:val="00CB2CC0"/>
    <w:rsid w:val="00CB3CD1"/>
    <w:rsid w:val="00CB4371"/>
    <w:rsid w:val="00CB4BD8"/>
    <w:rsid w:val="00CB5DF4"/>
    <w:rsid w:val="00CB5E3F"/>
    <w:rsid w:val="00CB7D11"/>
    <w:rsid w:val="00CC06AC"/>
    <w:rsid w:val="00CC325B"/>
    <w:rsid w:val="00CC7D88"/>
    <w:rsid w:val="00CD0558"/>
    <w:rsid w:val="00CD0609"/>
    <w:rsid w:val="00CD1AF5"/>
    <w:rsid w:val="00CD22B0"/>
    <w:rsid w:val="00CD22E7"/>
    <w:rsid w:val="00CD347F"/>
    <w:rsid w:val="00CD4ED9"/>
    <w:rsid w:val="00CD5227"/>
    <w:rsid w:val="00CD5E22"/>
    <w:rsid w:val="00CD78DE"/>
    <w:rsid w:val="00CD7969"/>
    <w:rsid w:val="00CD7C27"/>
    <w:rsid w:val="00CE0218"/>
    <w:rsid w:val="00CE0790"/>
    <w:rsid w:val="00CE136A"/>
    <w:rsid w:val="00CE302B"/>
    <w:rsid w:val="00CE3210"/>
    <w:rsid w:val="00CE336D"/>
    <w:rsid w:val="00CE35F3"/>
    <w:rsid w:val="00CE68FA"/>
    <w:rsid w:val="00CF0193"/>
    <w:rsid w:val="00CF17A5"/>
    <w:rsid w:val="00CF2224"/>
    <w:rsid w:val="00CF24AE"/>
    <w:rsid w:val="00CF35EF"/>
    <w:rsid w:val="00CF4EFA"/>
    <w:rsid w:val="00CF512F"/>
    <w:rsid w:val="00CF680A"/>
    <w:rsid w:val="00D005D1"/>
    <w:rsid w:val="00D00851"/>
    <w:rsid w:val="00D022C4"/>
    <w:rsid w:val="00D022FB"/>
    <w:rsid w:val="00D03C9A"/>
    <w:rsid w:val="00D04301"/>
    <w:rsid w:val="00D0627B"/>
    <w:rsid w:val="00D06CF8"/>
    <w:rsid w:val="00D072B7"/>
    <w:rsid w:val="00D10499"/>
    <w:rsid w:val="00D11D18"/>
    <w:rsid w:val="00D12133"/>
    <w:rsid w:val="00D13C39"/>
    <w:rsid w:val="00D15131"/>
    <w:rsid w:val="00D15594"/>
    <w:rsid w:val="00D166C1"/>
    <w:rsid w:val="00D1710D"/>
    <w:rsid w:val="00D21995"/>
    <w:rsid w:val="00D22C75"/>
    <w:rsid w:val="00D23AE9"/>
    <w:rsid w:val="00D246B9"/>
    <w:rsid w:val="00D252F6"/>
    <w:rsid w:val="00D26AE4"/>
    <w:rsid w:val="00D272B3"/>
    <w:rsid w:val="00D27C3B"/>
    <w:rsid w:val="00D27C79"/>
    <w:rsid w:val="00D30708"/>
    <w:rsid w:val="00D315F7"/>
    <w:rsid w:val="00D32D8A"/>
    <w:rsid w:val="00D33481"/>
    <w:rsid w:val="00D33DA5"/>
    <w:rsid w:val="00D34A14"/>
    <w:rsid w:val="00D3536E"/>
    <w:rsid w:val="00D3550F"/>
    <w:rsid w:val="00D36CFB"/>
    <w:rsid w:val="00D372F5"/>
    <w:rsid w:val="00D37B79"/>
    <w:rsid w:val="00D403DF"/>
    <w:rsid w:val="00D42715"/>
    <w:rsid w:val="00D43AE8"/>
    <w:rsid w:val="00D44A09"/>
    <w:rsid w:val="00D451E8"/>
    <w:rsid w:val="00D46ACD"/>
    <w:rsid w:val="00D5013E"/>
    <w:rsid w:val="00D50FDA"/>
    <w:rsid w:val="00D51906"/>
    <w:rsid w:val="00D53744"/>
    <w:rsid w:val="00D53990"/>
    <w:rsid w:val="00D56B0F"/>
    <w:rsid w:val="00D56D62"/>
    <w:rsid w:val="00D57CA2"/>
    <w:rsid w:val="00D60A93"/>
    <w:rsid w:val="00D620C5"/>
    <w:rsid w:val="00D62A5D"/>
    <w:rsid w:val="00D63FC6"/>
    <w:rsid w:val="00D6682D"/>
    <w:rsid w:val="00D67029"/>
    <w:rsid w:val="00D70E87"/>
    <w:rsid w:val="00D72152"/>
    <w:rsid w:val="00D72B26"/>
    <w:rsid w:val="00D73A47"/>
    <w:rsid w:val="00D74CE7"/>
    <w:rsid w:val="00D75EC5"/>
    <w:rsid w:val="00D80A15"/>
    <w:rsid w:val="00D80CD7"/>
    <w:rsid w:val="00D80ECB"/>
    <w:rsid w:val="00D81B19"/>
    <w:rsid w:val="00D86655"/>
    <w:rsid w:val="00D86C02"/>
    <w:rsid w:val="00D87E68"/>
    <w:rsid w:val="00D90158"/>
    <w:rsid w:val="00D9030D"/>
    <w:rsid w:val="00D924C9"/>
    <w:rsid w:val="00D928F4"/>
    <w:rsid w:val="00D93193"/>
    <w:rsid w:val="00D933C6"/>
    <w:rsid w:val="00D93961"/>
    <w:rsid w:val="00D9790C"/>
    <w:rsid w:val="00D97E60"/>
    <w:rsid w:val="00DA11EB"/>
    <w:rsid w:val="00DA1472"/>
    <w:rsid w:val="00DA3AA7"/>
    <w:rsid w:val="00DA69E8"/>
    <w:rsid w:val="00DA6FCC"/>
    <w:rsid w:val="00DA7046"/>
    <w:rsid w:val="00DA770D"/>
    <w:rsid w:val="00DA7A84"/>
    <w:rsid w:val="00DA7F07"/>
    <w:rsid w:val="00DB06EC"/>
    <w:rsid w:val="00DB306F"/>
    <w:rsid w:val="00DB4BA7"/>
    <w:rsid w:val="00DB4E52"/>
    <w:rsid w:val="00DB55EE"/>
    <w:rsid w:val="00DB651E"/>
    <w:rsid w:val="00DB6BF2"/>
    <w:rsid w:val="00DB701F"/>
    <w:rsid w:val="00DC0F34"/>
    <w:rsid w:val="00DC1F37"/>
    <w:rsid w:val="00DC22FF"/>
    <w:rsid w:val="00DC2908"/>
    <w:rsid w:val="00DC2A3A"/>
    <w:rsid w:val="00DC2BCA"/>
    <w:rsid w:val="00DC32DF"/>
    <w:rsid w:val="00DC5A3D"/>
    <w:rsid w:val="00DC5A7F"/>
    <w:rsid w:val="00DC5CB7"/>
    <w:rsid w:val="00DC6232"/>
    <w:rsid w:val="00DC6E4D"/>
    <w:rsid w:val="00DC6FC1"/>
    <w:rsid w:val="00DC75E1"/>
    <w:rsid w:val="00DC7C3C"/>
    <w:rsid w:val="00DD12FA"/>
    <w:rsid w:val="00DD1A24"/>
    <w:rsid w:val="00DD3247"/>
    <w:rsid w:val="00DD4050"/>
    <w:rsid w:val="00DD63AF"/>
    <w:rsid w:val="00DD72DB"/>
    <w:rsid w:val="00DE132C"/>
    <w:rsid w:val="00DE1654"/>
    <w:rsid w:val="00DE2896"/>
    <w:rsid w:val="00DE5306"/>
    <w:rsid w:val="00DE75D7"/>
    <w:rsid w:val="00DF03FF"/>
    <w:rsid w:val="00DF0BB5"/>
    <w:rsid w:val="00DF0DBB"/>
    <w:rsid w:val="00DF0FF3"/>
    <w:rsid w:val="00DF171F"/>
    <w:rsid w:val="00DF1D08"/>
    <w:rsid w:val="00DF22F8"/>
    <w:rsid w:val="00DF5E34"/>
    <w:rsid w:val="00DF6054"/>
    <w:rsid w:val="00DF67EB"/>
    <w:rsid w:val="00E01B90"/>
    <w:rsid w:val="00E025AD"/>
    <w:rsid w:val="00E03F5A"/>
    <w:rsid w:val="00E04941"/>
    <w:rsid w:val="00E050A9"/>
    <w:rsid w:val="00E05156"/>
    <w:rsid w:val="00E0588F"/>
    <w:rsid w:val="00E05D02"/>
    <w:rsid w:val="00E05F45"/>
    <w:rsid w:val="00E0684F"/>
    <w:rsid w:val="00E0783F"/>
    <w:rsid w:val="00E104A7"/>
    <w:rsid w:val="00E10D3C"/>
    <w:rsid w:val="00E13A99"/>
    <w:rsid w:val="00E14B3B"/>
    <w:rsid w:val="00E15B9F"/>
    <w:rsid w:val="00E15FAB"/>
    <w:rsid w:val="00E1659E"/>
    <w:rsid w:val="00E17B1E"/>
    <w:rsid w:val="00E20AF1"/>
    <w:rsid w:val="00E20F70"/>
    <w:rsid w:val="00E21324"/>
    <w:rsid w:val="00E21EEA"/>
    <w:rsid w:val="00E21F92"/>
    <w:rsid w:val="00E234F3"/>
    <w:rsid w:val="00E30D08"/>
    <w:rsid w:val="00E30F7A"/>
    <w:rsid w:val="00E316AD"/>
    <w:rsid w:val="00E31E21"/>
    <w:rsid w:val="00E3449E"/>
    <w:rsid w:val="00E359AA"/>
    <w:rsid w:val="00E35B4D"/>
    <w:rsid w:val="00E35EE2"/>
    <w:rsid w:val="00E35EE4"/>
    <w:rsid w:val="00E37BCB"/>
    <w:rsid w:val="00E408BE"/>
    <w:rsid w:val="00E421B2"/>
    <w:rsid w:val="00E42268"/>
    <w:rsid w:val="00E424E4"/>
    <w:rsid w:val="00E4266C"/>
    <w:rsid w:val="00E43E16"/>
    <w:rsid w:val="00E44445"/>
    <w:rsid w:val="00E44E68"/>
    <w:rsid w:val="00E46754"/>
    <w:rsid w:val="00E47913"/>
    <w:rsid w:val="00E50FA0"/>
    <w:rsid w:val="00E50FD0"/>
    <w:rsid w:val="00E511ED"/>
    <w:rsid w:val="00E51E74"/>
    <w:rsid w:val="00E52A2D"/>
    <w:rsid w:val="00E52ADA"/>
    <w:rsid w:val="00E543C0"/>
    <w:rsid w:val="00E54A9D"/>
    <w:rsid w:val="00E557A9"/>
    <w:rsid w:val="00E55A41"/>
    <w:rsid w:val="00E564E3"/>
    <w:rsid w:val="00E5666E"/>
    <w:rsid w:val="00E57855"/>
    <w:rsid w:val="00E57C8B"/>
    <w:rsid w:val="00E604E7"/>
    <w:rsid w:val="00E60BB0"/>
    <w:rsid w:val="00E6221A"/>
    <w:rsid w:val="00E65900"/>
    <w:rsid w:val="00E7188D"/>
    <w:rsid w:val="00E71CE5"/>
    <w:rsid w:val="00E722F9"/>
    <w:rsid w:val="00E7379F"/>
    <w:rsid w:val="00E737B4"/>
    <w:rsid w:val="00E73AB3"/>
    <w:rsid w:val="00E7452C"/>
    <w:rsid w:val="00E75147"/>
    <w:rsid w:val="00E762C3"/>
    <w:rsid w:val="00E7691B"/>
    <w:rsid w:val="00E801CD"/>
    <w:rsid w:val="00E80A4D"/>
    <w:rsid w:val="00E8444D"/>
    <w:rsid w:val="00E84513"/>
    <w:rsid w:val="00E86D02"/>
    <w:rsid w:val="00E925A7"/>
    <w:rsid w:val="00E92BB1"/>
    <w:rsid w:val="00E94758"/>
    <w:rsid w:val="00E94DFF"/>
    <w:rsid w:val="00E979CC"/>
    <w:rsid w:val="00EA07AE"/>
    <w:rsid w:val="00EA07C5"/>
    <w:rsid w:val="00EA09D6"/>
    <w:rsid w:val="00EA1086"/>
    <w:rsid w:val="00EA12C7"/>
    <w:rsid w:val="00EA15FC"/>
    <w:rsid w:val="00EA1A53"/>
    <w:rsid w:val="00EA3A45"/>
    <w:rsid w:val="00EA3DD3"/>
    <w:rsid w:val="00EA43AA"/>
    <w:rsid w:val="00EA4CB9"/>
    <w:rsid w:val="00EA6507"/>
    <w:rsid w:val="00EA7A06"/>
    <w:rsid w:val="00EA7E81"/>
    <w:rsid w:val="00EB17AC"/>
    <w:rsid w:val="00EB25FB"/>
    <w:rsid w:val="00EB2F43"/>
    <w:rsid w:val="00EB34CF"/>
    <w:rsid w:val="00EB382E"/>
    <w:rsid w:val="00EB5BC7"/>
    <w:rsid w:val="00EB6AFF"/>
    <w:rsid w:val="00EB6DF6"/>
    <w:rsid w:val="00EB6EC0"/>
    <w:rsid w:val="00EB742C"/>
    <w:rsid w:val="00EC0C00"/>
    <w:rsid w:val="00EC1F40"/>
    <w:rsid w:val="00EC3C80"/>
    <w:rsid w:val="00EC4119"/>
    <w:rsid w:val="00EC4D23"/>
    <w:rsid w:val="00EC5CDC"/>
    <w:rsid w:val="00EC61DC"/>
    <w:rsid w:val="00EC6E11"/>
    <w:rsid w:val="00EC7CB8"/>
    <w:rsid w:val="00ED08EB"/>
    <w:rsid w:val="00ED102F"/>
    <w:rsid w:val="00ED451A"/>
    <w:rsid w:val="00ED54AD"/>
    <w:rsid w:val="00ED7700"/>
    <w:rsid w:val="00ED78D5"/>
    <w:rsid w:val="00ED7BDF"/>
    <w:rsid w:val="00EE1732"/>
    <w:rsid w:val="00EE1909"/>
    <w:rsid w:val="00EE369C"/>
    <w:rsid w:val="00EE5806"/>
    <w:rsid w:val="00EE5D95"/>
    <w:rsid w:val="00EE6055"/>
    <w:rsid w:val="00EE6D42"/>
    <w:rsid w:val="00EE797C"/>
    <w:rsid w:val="00EF0431"/>
    <w:rsid w:val="00EF11DF"/>
    <w:rsid w:val="00EF2E02"/>
    <w:rsid w:val="00EF38C6"/>
    <w:rsid w:val="00EF3946"/>
    <w:rsid w:val="00EF4D50"/>
    <w:rsid w:val="00EF4EED"/>
    <w:rsid w:val="00EF5857"/>
    <w:rsid w:val="00EF5E20"/>
    <w:rsid w:val="00EF62D7"/>
    <w:rsid w:val="00F00505"/>
    <w:rsid w:val="00F00B00"/>
    <w:rsid w:val="00F02935"/>
    <w:rsid w:val="00F030D4"/>
    <w:rsid w:val="00F03785"/>
    <w:rsid w:val="00F03978"/>
    <w:rsid w:val="00F07279"/>
    <w:rsid w:val="00F07D25"/>
    <w:rsid w:val="00F10847"/>
    <w:rsid w:val="00F12BF1"/>
    <w:rsid w:val="00F1488A"/>
    <w:rsid w:val="00F14B89"/>
    <w:rsid w:val="00F15557"/>
    <w:rsid w:val="00F17E84"/>
    <w:rsid w:val="00F20639"/>
    <w:rsid w:val="00F2238A"/>
    <w:rsid w:val="00F22A09"/>
    <w:rsid w:val="00F232B1"/>
    <w:rsid w:val="00F233DD"/>
    <w:rsid w:val="00F236A3"/>
    <w:rsid w:val="00F256B5"/>
    <w:rsid w:val="00F26BBA"/>
    <w:rsid w:val="00F30248"/>
    <w:rsid w:val="00F3093B"/>
    <w:rsid w:val="00F3393C"/>
    <w:rsid w:val="00F33950"/>
    <w:rsid w:val="00F33AA1"/>
    <w:rsid w:val="00F341F4"/>
    <w:rsid w:val="00F34451"/>
    <w:rsid w:val="00F36405"/>
    <w:rsid w:val="00F3781E"/>
    <w:rsid w:val="00F37E0F"/>
    <w:rsid w:val="00F45E29"/>
    <w:rsid w:val="00F4672D"/>
    <w:rsid w:val="00F51CA8"/>
    <w:rsid w:val="00F526B4"/>
    <w:rsid w:val="00F52C3D"/>
    <w:rsid w:val="00F53763"/>
    <w:rsid w:val="00F57B21"/>
    <w:rsid w:val="00F608DA"/>
    <w:rsid w:val="00F61B11"/>
    <w:rsid w:val="00F61C91"/>
    <w:rsid w:val="00F62A0D"/>
    <w:rsid w:val="00F62F99"/>
    <w:rsid w:val="00F63AF8"/>
    <w:rsid w:val="00F63DC6"/>
    <w:rsid w:val="00F63FE1"/>
    <w:rsid w:val="00F65AA6"/>
    <w:rsid w:val="00F66995"/>
    <w:rsid w:val="00F66C5E"/>
    <w:rsid w:val="00F71BA5"/>
    <w:rsid w:val="00F72896"/>
    <w:rsid w:val="00F731FC"/>
    <w:rsid w:val="00F7568B"/>
    <w:rsid w:val="00F760C6"/>
    <w:rsid w:val="00F77CC1"/>
    <w:rsid w:val="00F80B7F"/>
    <w:rsid w:val="00F83712"/>
    <w:rsid w:val="00F844CA"/>
    <w:rsid w:val="00F853A7"/>
    <w:rsid w:val="00F85EE3"/>
    <w:rsid w:val="00F85F71"/>
    <w:rsid w:val="00F900BA"/>
    <w:rsid w:val="00F90D08"/>
    <w:rsid w:val="00F93B93"/>
    <w:rsid w:val="00F94A94"/>
    <w:rsid w:val="00F96C8B"/>
    <w:rsid w:val="00FA18BA"/>
    <w:rsid w:val="00FA1A4E"/>
    <w:rsid w:val="00FA269F"/>
    <w:rsid w:val="00FA2EF4"/>
    <w:rsid w:val="00FA349D"/>
    <w:rsid w:val="00FA57B1"/>
    <w:rsid w:val="00FA6A07"/>
    <w:rsid w:val="00FB2562"/>
    <w:rsid w:val="00FB3856"/>
    <w:rsid w:val="00FB3A44"/>
    <w:rsid w:val="00FB4A12"/>
    <w:rsid w:val="00FB5F12"/>
    <w:rsid w:val="00FB7713"/>
    <w:rsid w:val="00FB7755"/>
    <w:rsid w:val="00FB7B3B"/>
    <w:rsid w:val="00FC0A25"/>
    <w:rsid w:val="00FC10B7"/>
    <w:rsid w:val="00FC2657"/>
    <w:rsid w:val="00FC358B"/>
    <w:rsid w:val="00FC3D47"/>
    <w:rsid w:val="00FC44F4"/>
    <w:rsid w:val="00FC4EBB"/>
    <w:rsid w:val="00FC50AD"/>
    <w:rsid w:val="00FC711F"/>
    <w:rsid w:val="00FD0E08"/>
    <w:rsid w:val="00FD2B5D"/>
    <w:rsid w:val="00FD4979"/>
    <w:rsid w:val="00FD5681"/>
    <w:rsid w:val="00FD5B2F"/>
    <w:rsid w:val="00FD5CC7"/>
    <w:rsid w:val="00FD6E7B"/>
    <w:rsid w:val="00FD7E6F"/>
    <w:rsid w:val="00FE107C"/>
    <w:rsid w:val="00FE10AB"/>
    <w:rsid w:val="00FE3BCF"/>
    <w:rsid w:val="00FE4BED"/>
    <w:rsid w:val="00FF0BFF"/>
    <w:rsid w:val="00FF0C8D"/>
    <w:rsid w:val="00FF1159"/>
    <w:rsid w:val="00FF16FE"/>
    <w:rsid w:val="00FF2A32"/>
    <w:rsid w:val="00FF3C19"/>
    <w:rsid w:val="00FF5678"/>
    <w:rsid w:val="00FF6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81"/>
    <o:shapelayout v:ext="edit">
      <o:idmap v:ext="edit" data="1"/>
    </o:shapelayout>
  </w:shapeDefaults>
  <w:decimalSymbol w:val="."/>
  <w:listSeparator w:val=","/>
  <w14:docId w14:val="47AEEEEC"/>
  <w15:docId w15:val="{0C3A630D-6E4B-48C1-9B1B-22898979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60" w:after="160" w:line="30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4" w:unhideWhenUsed="1" w:qFormat="1"/>
    <w:lsdException w:name="heading 4" w:semiHidden="1" w:uiPriority="6"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7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0A93"/>
  </w:style>
  <w:style w:type="paragraph" w:styleId="Heading1">
    <w:name w:val="heading 1"/>
    <w:aliases w:val="Rubrik 1 - F"/>
    <w:basedOn w:val="Titel"/>
    <w:next w:val="BodyText"/>
    <w:link w:val="Heading1Char"/>
    <w:uiPriority w:val="1"/>
    <w:qFormat/>
    <w:rsid w:val="00DF03FF"/>
    <w:pPr>
      <w:pageBreakBefore/>
      <w:numPr>
        <w:numId w:val="5"/>
      </w:numPr>
      <w:spacing w:before="0" w:after="360" w:line="540" w:lineRule="atLeast"/>
      <w:outlineLvl w:val="0"/>
    </w:pPr>
    <w:rPr>
      <w:sz w:val="60"/>
    </w:rPr>
  </w:style>
  <w:style w:type="paragraph" w:styleId="Heading2">
    <w:name w:val="heading 2"/>
    <w:aliases w:val="Rubrik 2 - F"/>
    <w:basedOn w:val="Normal"/>
    <w:next w:val="BodyText"/>
    <w:link w:val="Heading2Char"/>
    <w:uiPriority w:val="2"/>
    <w:qFormat/>
    <w:rsid w:val="00DF03FF"/>
    <w:pPr>
      <w:keepNext/>
      <w:keepLines/>
      <w:numPr>
        <w:ilvl w:val="1"/>
        <w:numId w:val="5"/>
      </w:numPr>
      <w:spacing w:before="360" w:after="120" w:line="360" w:lineRule="atLeast"/>
      <w:outlineLvl w:val="1"/>
    </w:pPr>
    <w:rPr>
      <w:rFonts w:ascii="Calibri" w:eastAsiaTheme="majorEastAsia" w:hAnsi="Calibri" w:cstheme="majorBidi"/>
      <w:bCs/>
      <w:color w:val="27251F" w:themeColor="text1"/>
      <w:sz w:val="34"/>
      <w:szCs w:val="26"/>
    </w:rPr>
  </w:style>
  <w:style w:type="paragraph" w:styleId="Heading3">
    <w:name w:val="heading 3"/>
    <w:aliases w:val="Rubrik 3 - F"/>
    <w:basedOn w:val="Normal"/>
    <w:next w:val="BodyText"/>
    <w:link w:val="Heading3Char"/>
    <w:uiPriority w:val="4"/>
    <w:qFormat/>
    <w:rsid w:val="00596A5B"/>
    <w:pPr>
      <w:keepNext/>
      <w:keepLines/>
      <w:numPr>
        <w:ilvl w:val="2"/>
        <w:numId w:val="5"/>
      </w:numPr>
      <w:spacing w:before="360" w:after="0" w:line="320" w:lineRule="atLeast"/>
      <w:outlineLvl w:val="2"/>
    </w:pPr>
    <w:rPr>
      <w:rFonts w:ascii="Calibri" w:eastAsiaTheme="majorEastAsia" w:hAnsi="Calibri" w:cstheme="majorHAnsi"/>
      <w:b/>
      <w:bCs/>
      <w:sz w:val="26"/>
      <w:lang w:eastAsia="sv-SE"/>
    </w:rPr>
  </w:style>
  <w:style w:type="paragraph" w:styleId="Heading4">
    <w:name w:val="heading 4"/>
    <w:aliases w:val="Rubrik 4 - F"/>
    <w:basedOn w:val="Normal"/>
    <w:next w:val="BodyText"/>
    <w:link w:val="Heading4Char"/>
    <w:uiPriority w:val="6"/>
    <w:qFormat/>
    <w:rsid w:val="00E01B90"/>
    <w:pPr>
      <w:keepNext/>
      <w:keepLines/>
      <w:numPr>
        <w:ilvl w:val="3"/>
        <w:numId w:val="5"/>
      </w:numPr>
      <w:spacing w:before="360" w:after="0" w:line="320" w:lineRule="atLeast"/>
      <w:outlineLvl w:val="3"/>
    </w:pPr>
    <w:rPr>
      <w:rFonts w:ascii="Calibri" w:eastAsiaTheme="majorEastAsia" w:hAnsi="Calibri" w:cstheme="majorBidi"/>
      <w:b/>
      <w:bCs/>
      <w:iCs/>
      <w:color w:val="27251F" w:themeColor="text1"/>
    </w:rPr>
  </w:style>
  <w:style w:type="paragraph" w:styleId="Heading5">
    <w:name w:val="heading 5"/>
    <w:basedOn w:val="Normal"/>
    <w:next w:val="Normal"/>
    <w:link w:val="Heading5Char"/>
    <w:uiPriority w:val="9"/>
    <w:semiHidden/>
    <w:qFormat/>
    <w:rsid w:val="00E50FD0"/>
    <w:pPr>
      <w:keepNext/>
      <w:keepLines/>
      <w:numPr>
        <w:ilvl w:val="4"/>
        <w:numId w:val="5"/>
      </w:numPr>
      <w:spacing w:before="200" w:after="0"/>
      <w:outlineLvl w:val="4"/>
    </w:pPr>
    <w:rPr>
      <w:rFonts w:ascii="Calibri" w:eastAsiaTheme="majorEastAsia" w:hAnsi="Calibri" w:cstheme="majorBidi"/>
      <w:color w:val="27251F" w:themeColor="text1"/>
      <w:sz w:val="20"/>
    </w:rPr>
  </w:style>
  <w:style w:type="paragraph" w:styleId="Heading6">
    <w:name w:val="heading 6"/>
    <w:basedOn w:val="Normal"/>
    <w:next w:val="Normal"/>
    <w:link w:val="Heading6Char"/>
    <w:uiPriority w:val="9"/>
    <w:semiHidden/>
    <w:qFormat/>
    <w:rsid w:val="00E50FD0"/>
    <w:pPr>
      <w:keepNext/>
      <w:keepLines/>
      <w:numPr>
        <w:ilvl w:val="5"/>
        <w:numId w:val="5"/>
      </w:numPr>
      <w:spacing w:before="200" w:after="0"/>
      <w:outlineLvl w:val="5"/>
    </w:pPr>
    <w:rPr>
      <w:rFonts w:ascii="Calibri" w:eastAsiaTheme="majorEastAsia" w:hAnsi="Calibri" w:cstheme="majorBidi"/>
      <w:b/>
      <w:i/>
      <w:iCs/>
      <w:color w:val="27251F" w:themeColor="text1"/>
      <w:sz w:val="18"/>
    </w:rPr>
  </w:style>
  <w:style w:type="paragraph" w:styleId="Heading7">
    <w:name w:val="heading 7"/>
    <w:basedOn w:val="Normal"/>
    <w:next w:val="Normal"/>
    <w:link w:val="Heading7Char"/>
    <w:uiPriority w:val="9"/>
    <w:semiHidden/>
    <w:qFormat/>
    <w:rsid w:val="00E50FD0"/>
    <w:pPr>
      <w:keepNext/>
      <w:keepLines/>
      <w:numPr>
        <w:ilvl w:val="6"/>
        <w:numId w:val="5"/>
      </w:numPr>
      <w:spacing w:before="200" w:after="0"/>
      <w:outlineLvl w:val="6"/>
    </w:pPr>
    <w:rPr>
      <w:rFonts w:ascii="Calibri" w:eastAsiaTheme="majorEastAsia" w:hAnsi="Calibri" w:cstheme="majorBidi"/>
      <w:i/>
      <w:iCs/>
      <w:color w:val="27251F" w:themeColor="text1"/>
      <w:sz w:val="18"/>
    </w:rPr>
  </w:style>
  <w:style w:type="paragraph" w:styleId="Heading8">
    <w:name w:val="heading 8"/>
    <w:basedOn w:val="Normal"/>
    <w:next w:val="Normal"/>
    <w:link w:val="Heading8Char"/>
    <w:uiPriority w:val="9"/>
    <w:semiHidden/>
    <w:qFormat/>
    <w:rsid w:val="00E50FD0"/>
    <w:pPr>
      <w:keepNext/>
      <w:keepLines/>
      <w:numPr>
        <w:ilvl w:val="7"/>
        <w:numId w:val="5"/>
      </w:numPr>
      <w:spacing w:before="200" w:after="0"/>
      <w:outlineLvl w:val="7"/>
    </w:pPr>
    <w:rPr>
      <w:rFonts w:ascii="Calibri" w:eastAsiaTheme="majorEastAsia" w:hAnsi="Calibri" w:cstheme="majorBidi"/>
      <w:color w:val="27251F" w:themeColor="text1"/>
      <w:sz w:val="18"/>
      <w:szCs w:val="20"/>
      <w:u w:val="single"/>
    </w:rPr>
  </w:style>
  <w:style w:type="paragraph" w:styleId="Heading9">
    <w:name w:val="heading 9"/>
    <w:basedOn w:val="Normal"/>
    <w:next w:val="Normal"/>
    <w:link w:val="Heading9Char"/>
    <w:uiPriority w:val="9"/>
    <w:semiHidden/>
    <w:qFormat/>
    <w:rsid w:val="00DF03FF"/>
    <w:pPr>
      <w:keepNext/>
      <w:keepLines/>
      <w:numPr>
        <w:ilvl w:val="8"/>
        <w:numId w:val="5"/>
      </w:numPr>
      <w:spacing w:before="40" w:after="0"/>
      <w:outlineLvl w:val="8"/>
    </w:pPr>
    <w:rPr>
      <w:rFonts w:asciiTheme="majorHAnsi" w:eastAsiaTheme="majorEastAsia" w:hAnsiTheme="majorHAnsi" w:cstheme="majorBidi"/>
      <w:i/>
      <w:iCs/>
      <w:color w:val="4C48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idhuvud - F"/>
    <w:basedOn w:val="Normal"/>
    <w:link w:val="HeaderChar"/>
    <w:uiPriority w:val="99"/>
    <w:unhideWhenUsed/>
    <w:rsid w:val="00803E1D"/>
    <w:pPr>
      <w:tabs>
        <w:tab w:val="center" w:pos="4536"/>
        <w:tab w:val="right" w:pos="9072"/>
      </w:tabs>
      <w:spacing w:after="0" w:line="240" w:lineRule="auto"/>
    </w:pPr>
    <w:rPr>
      <w:rFonts w:asciiTheme="majorHAnsi" w:hAnsiTheme="majorHAnsi"/>
      <w:sz w:val="16"/>
    </w:rPr>
  </w:style>
  <w:style w:type="character" w:customStyle="1" w:styleId="HeaderChar">
    <w:name w:val="Header Char"/>
    <w:aliases w:val="Sidhuvud - F Char"/>
    <w:basedOn w:val="DefaultParagraphFont"/>
    <w:link w:val="Header"/>
    <w:uiPriority w:val="99"/>
    <w:rsid w:val="00803E1D"/>
    <w:rPr>
      <w:rFonts w:asciiTheme="majorHAnsi" w:hAnsiTheme="majorHAnsi"/>
      <w:sz w:val="16"/>
    </w:rPr>
  </w:style>
  <w:style w:type="paragraph" w:styleId="Footer">
    <w:name w:val="footer"/>
    <w:aliases w:val="Sidfot - F"/>
    <w:basedOn w:val="Normal"/>
    <w:link w:val="FooterChar"/>
    <w:uiPriority w:val="99"/>
    <w:unhideWhenUsed/>
    <w:rsid w:val="00A94FB6"/>
    <w:pPr>
      <w:tabs>
        <w:tab w:val="center" w:pos="4536"/>
        <w:tab w:val="right" w:pos="9072"/>
      </w:tabs>
      <w:spacing w:before="0" w:after="0" w:line="180" w:lineRule="atLeast"/>
    </w:pPr>
    <w:rPr>
      <w:rFonts w:ascii="Calibri" w:hAnsi="Calibri"/>
      <w:smallCaps/>
      <w:sz w:val="16"/>
    </w:rPr>
  </w:style>
  <w:style w:type="character" w:customStyle="1" w:styleId="FooterChar">
    <w:name w:val="Footer Char"/>
    <w:aliases w:val="Sidfot - F Char"/>
    <w:basedOn w:val="DefaultParagraphFont"/>
    <w:link w:val="Footer"/>
    <w:uiPriority w:val="99"/>
    <w:rsid w:val="00A94FB6"/>
    <w:rPr>
      <w:rFonts w:ascii="Calibri" w:hAnsi="Calibri"/>
      <w:smallCaps/>
      <w:sz w:val="16"/>
    </w:rPr>
  </w:style>
  <w:style w:type="paragraph" w:styleId="BalloonText">
    <w:name w:val="Balloon Text"/>
    <w:basedOn w:val="Normal"/>
    <w:link w:val="BalloonTextChar"/>
    <w:uiPriority w:val="99"/>
    <w:semiHidden/>
    <w:unhideWhenUsed/>
    <w:rsid w:val="0002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2FA"/>
    <w:rPr>
      <w:rFonts w:ascii="Tahoma" w:hAnsi="Tahoma" w:cs="Tahoma"/>
      <w:sz w:val="16"/>
      <w:szCs w:val="16"/>
      <w:lang w:val="en-GB"/>
    </w:rPr>
  </w:style>
  <w:style w:type="character" w:customStyle="1" w:styleId="Heading3Char">
    <w:name w:val="Heading 3 Char"/>
    <w:aliases w:val="Rubrik 3 - F Char"/>
    <w:basedOn w:val="DefaultParagraphFont"/>
    <w:link w:val="Heading3"/>
    <w:uiPriority w:val="4"/>
    <w:rsid w:val="00DF03FF"/>
    <w:rPr>
      <w:rFonts w:ascii="Calibri" w:eastAsiaTheme="majorEastAsia" w:hAnsi="Calibri" w:cstheme="majorHAnsi"/>
      <w:b/>
      <w:bCs/>
      <w:sz w:val="26"/>
      <w:lang w:eastAsia="sv-SE"/>
    </w:rPr>
  </w:style>
  <w:style w:type="paragraph" w:styleId="BodyText">
    <w:name w:val="Body Text"/>
    <w:aliases w:val="Brödtext - F"/>
    <w:basedOn w:val="Normal"/>
    <w:link w:val="BodyTextChar"/>
    <w:qFormat/>
    <w:rsid w:val="00B43C0D"/>
    <w:rPr>
      <w:color w:val="27251F" w:themeColor="text1"/>
    </w:rPr>
  </w:style>
  <w:style w:type="character" w:customStyle="1" w:styleId="BodyTextChar">
    <w:name w:val="Body Text Char"/>
    <w:aliases w:val="Brödtext - F Char"/>
    <w:basedOn w:val="DefaultParagraphFont"/>
    <w:link w:val="BodyText"/>
    <w:rsid w:val="00B43C0D"/>
    <w:rPr>
      <w:color w:val="27251F" w:themeColor="text1"/>
    </w:rPr>
  </w:style>
  <w:style w:type="paragraph" w:customStyle="1" w:styleId="Rubrik3-F-direktunderrubrik2">
    <w:name w:val="Rubrik 3 - F - direkt under rubrik 2"/>
    <w:basedOn w:val="Heading3"/>
    <w:next w:val="BodyText"/>
    <w:uiPriority w:val="5"/>
    <w:qFormat/>
    <w:rsid w:val="00C807DE"/>
    <w:pPr>
      <w:spacing w:before="200"/>
    </w:pPr>
  </w:style>
  <w:style w:type="character" w:customStyle="1" w:styleId="Heading1Char">
    <w:name w:val="Heading 1 Char"/>
    <w:aliases w:val="Rubrik 1 - F Char"/>
    <w:basedOn w:val="DefaultParagraphFont"/>
    <w:link w:val="Heading1"/>
    <w:uiPriority w:val="1"/>
    <w:rsid w:val="00DF03FF"/>
    <w:rPr>
      <w:rFonts w:ascii="Calibri Light" w:hAnsi="Calibri Light" w:cstheme="majorHAnsi"/>
      <w:sz w:val="60"/>
      <w:szCs w:val="32"/>
    </w:rPr>
  </w:style>
  <w:style w:type="paragraph" w:styleId="TOCHeading">
    <w:name w:val="TOC Heading"/>
    <w:aliases w:val="Innehållsförteckningsrubrik - F"/>
    <w:basedOn w:val="Heading1"/>
    <w:next w:val="BodyText"/>
    <w:uiPriority w:val="39"/>
    <w:qFormat/>
    <w:rsid w:val="00E05D02"/>
    <w:pPr>
      <w:numPr>
        <w:numId w:val="0"/>
      </w:numPr>
      <w:spacing w:line="276" w:lineRule="auto"/>
      <w:outlineLvl w:val="9"/>
    </w:pPr>
    <w:rPr>
      <w:lang w:eastAsia="sv-SE"/>
    </w:rPr>
  </w:style>
  <w:style w:type="paragraph" w:customStyle="1" w:styleId="Titel">
    <w:name w:val="Titel"/>
    <w:aliases w:val="Titelsidan Titel - F"/>
    <w:basedOn w:val="Normal"/>
    <w:link w:val="TitelChar"/>
    <w:uiPriority w:val="33"/>
    <w:qFormat/>
    <w:rsid w:val="009D351E"/>
    <w:pPr>
      <w:spacing w:before="1720" w:line="600" w:lineRule="atLeast"/>
      <w:contextualSpacing/>
    </w:pPr>
    <w:rPr>
      <w:rFonts w:ascii="Calibri Light" w:hAnsi="Calibri Light" w:cstheme="majorHAnsi"/>
      <w:sz w:val="72"/>
      <w:szCs w:val="32"/>
    </w:rPr>
  </w:style>
  <w:style w:type="paragraph" w:customStyle="1" w:styleId="Undertitel">
    <w:name w:val="Undertitel"/>
    <w:aliases w:val="Titelsidan Undertitel - F"/>
    <w:basedOn w:val="Normal"/>
    <w:link w:val="UndertitelChar"/>
    <w:uiPriority w:val="34"/>
    <w:qFormat/>
    <w:rsid w:val="00C031AE"/>
    <w:pPr>
      <w:spacing w:before="120" w:after="120"/>
    </w:pPr>
    <w:rPr>
      <w:rFonts w:ascii="Calibri" w:hAnsi="Calibri" w:cstheme="majorHAnsi"/>
      <w:sz w:val="24"/>
      <w:szCs w:val="26"/>
    </w:rPr>
  </w:style>
  <w:style w:type="character" w:customStyle="1" w:styleId="TitelChar">
    <w:name w:val="Titel Char"/>
    <w:aliases w:val="Titelsidan Titel - F Char"/>
    <w:basedOn w:val="DefaultParagraphFont"/>
    <w:link w:val="Titel"/>
    <w:uiPriority w:val="33"/>
    <w:rsid w:val="009D351E"/>
    <w:rPr>
      <w:rFonts w:ascii="Calibri Light" w:hAnsi="Calibri Light" w:cstheme="majorHAnsi"/>
      <w:sz w:val="72"/>
      <w:szCs w:val="32"/>
    </w:rPr>
  </w:style>
  <w:style w:type="paragraph" w:customStyle="1" w:styleId="Omslagstitel-F">
    <w:name w:val="Omslagstitel - F"/>
    <w:basedOn w:val="Titel"/>
    <w:link w:val="Omslagstitel-FChar"/>
    <w:uiPriority w:val="31"/>
    <w:qFormat/>
    <w:rsid w:val="00E05D02"/>
    <w:pPr>
      <w:spacing w:before="1600" w:after="240" w:line="640" w:lineRule="atLeast"/>
    </w:pPr>
    <w:rPr>
      <w:szCs w:val="44"/>
    </w:rPr>
  </w:style>
  <w:style w:type="character" w:customStyle="1" w:styleId="UndertitelChar">
    <w:name w:val="Undertitel Char"/>
    <w:aliases w:val="Titelsidan Undertitel - F Char"/>
    <w:basedOn w:val="DefaultParagraphFont"/>
    <w:link w:val="Undertitel"/>
    <w:uiPriority w:val="34"/>
    <w:rsid w:val="00C031AE"/>
    <w:rPr>
      <w:rFonts w:ascii="Calibri" w:hAnsi="Calibri" w:cstheme="majorHAnsi"/>
      <w:sz w:val="24"/>
      <w:szCs w:val="26"/>
    </w:rPr>
  </w:style>
  <w:style w:type="paragraph" w:customStyle="1" w:styleId="Omslagundertitel-F">
    <w:name w:val="Omslag undertitel - F"/>
    <w:basedOn w:val="Undertitel"/>
    <w:link w:val="Omslagundertitel-FChar"/>
    <w:uiPriority w:val="32"/>
    <w:qFormat/>
    <w:rsid w:val="00757D57"/>
    <w:pPr>
      <w:spacing w:before="840" w:after="480"/>
    </w:pPr>
    <w:rPr>
      <w:sz w:val="40"/>
    </w:rPr>
  </w:style>
  <w:style w:type="character" w:customStyle="1" w:styleId="Omslagstitel-FChar">
    <w:name w:val="Omslagstitel - F Char"/>
    <w:basedOn w:val="TitelChar"/>
    <w:link w:val="Omslagstitel-F"/>
    <w:uiPriority w:val="31"/>
    <w:rsid w:val="00E05D02"/>
    <w:rPr>
      <w:rFonts w:ascii="Calibri Light" w:hAnsi="Calibri Light" w:cstheme="majorHAnsi"/>
      <w:sz w:val="72"/>
      <w:szCs w:val="44"/>
    </w:rPr>
  </w:style>
  <w:style w:type="paragraph" w:styleId="TOC1">
    <w:name w:val="toc 1"/>
    <w:aliases w:val="Innehåll 1 - F"/>
    <w:basedOn w:val="Normal"/>
    <w:next w:val="BodyText"/>
    <w:autoRedefine/>
    <w:uiPriority w:val="39"/>
    <w:rsid w:val="005D306B"/>
    <w:pPr>
      <w:tabs>
        <w:tab w:val="right" w:leader="dot" w:pos="9072"/>
      </w:tabs>
      <w:spacing w:before="0" w:after="40" w:line="320" w:lineRule="atLeast"/>
    </w:pPr>
    <w:rPr>
      <w:rFonts w:ascii="Calibri" w:hAnsi="Calibri"/>
      <w:noProof/>
    </w:rPr>
  </w:style>
  <w:style w:type="character" w:customStyle="1" w:styleId="Omslagundertitel-FChar">
    <w:name w:val="Omslag undertitel - F Char"/>
    <w:basedOn w:val="UndertitelChar"/>
    <w:link w:val="Omslagundertitel-F"/>
    <w:uiPriority w:val="32"/>
    <w:rsid w:val="00757D57"/>
    <w:rPr>
      <w:rFonts w:ascii="Calibri" w:hAnsi="Calibri" w:cstheme="majorHAnsi"/>
      <w:sz w:val="40"/>
      <w:szCs w:val="26"/>
    </w:rPr>
  </w:style>
  <w:style w:type="paragraph" w:styleId="TOC2">
    <w:name w:val="toc 2"/>
    <w:aliases w:val="Innehåll 2 - F"/>
    <w:basedOn w:val="Normal"/>
    <w:next w:val="BodyText"/>
    <w:autoRedefine/>
    <w:uiPriority w:val="39"/>
    <w:rsid w:val="00B43C0D"/>
    <w:pPr>
      <w:spacing w:before="0" w:after="40" w:line="320" w:lineRule="atLeast"/>
      <w:ind w:left="221"/>
    </w:pPr>
    <w:rPr>
      <w:rFonts w:ascii="Calibri" w:hAnsi="Calibri"/>
    </w:rPr>
  </w:style>
  <w:style w:type="character" w:styleId="Hyperlink">
    <w:name w:val="Hyperlink"/>
    <w:aliases w:val="Hyperlänk - F"/>
    <w:basedOn w:val="DefaultParagraphFont"/>
    <w:uiPriority w:val="99"/>
    <w:unhideWhenUsed/>
    <w:rsid w:val="006A0F79"/>
    <w:rPr>
      <w:color w:val="FF782A" w:themeColor="hyperlink"/>
      <w:u w:val="single"/>
    </w:rPr>
  </w:style>
  <w:style w:type="character" w:customStyle="1" w:styleId="Heading2Char">
    <w:name w:val="Heading 2 Char"/>
    <w:aliases w:val="Rubrik 2 - F Char"/>
    <w:basedOn w:val="DefaultParagraphFont"/>
    <w:link w:val="Heading2"/>
    <w:uiPriority w:val="2"/>
    <w:rsid w:val="00DF03FF"/>
    <w:rPr>
      <w:rFonts w:ascii="Calibri" w:eastAsiaTheme="majorEastAsia" w:hAnsi="Calibri" w:cstheme="majorBidi"/>
      <w:bCs/>
      <w:color w:val="27251F" w:themeColor="text1"/>
      <w:sz w:val="34"/>
      <w:szCs w:val="26"/>
    </w:rPr>
  </w:style>
  <w:style w:type="paragraph" w:customStyle="1" w:styleId="Tryckortssida-F">
    <w:name w:val="Tryckortssida - F"/>
    <w:basedOn w:val="Normal"/>
    <w:link w:val="Tryckortssida-FChar"/>
    <w:uiPriority w:val="35"/>
    <w:qFormat/>
    <w:rsid w:val="006E7343"/>
    <w:pPr>
      <w:spacing w:after="120" w:line="260" w:lineRule="atLeast"/>
    </w:pPr>
    <w:rPr>
      <w:rFonts w:ascii="Calibri" w:hAnsi="Calibri" w:cstheme="majorHAnsi"/>
      <w:sz w:val="18"/>
      <w:szCs w:val="18"/>
    </w:rPr>
  </w:style>
  <w:style w:type="paragraph" w:customStyle="1" w:styleId="Rubrik2-F-direktunderrubrik1">
    <w:name w:val="Rubrik 2 - F - direkt under rubrik 1"/>
    <w:basedOn w:val="Heading2"/>
    <w:next w:val="BodyText"/>
    <w:link w:val="Rubrik2-F-direktunderrubrik1Char"/>
    <w:uiPriority w:val="3"/>
    <w:qFormat/>
    <w:rsid w:val="00E01B90"/>
    <w:pPr>
      <w:spacing w:before="0"/>
    </w:pPr>
  </w:style>
  <w:style w:type="character" w:customStyle="1" w:styleId="Tryckortssida-FChar">
    <w:name w:val="Tryckortssida - F Char"/>
    <w:basedOn w:val="DefaultParagraphFont"/>
    <w:link w:val="Tryckortssida-F"/>
    <w:uiPriority w:val="35"/>
    <w:rsid w:val="006E7343"/>
    <w:rPr>
      <w:rFonts w:ascii="Calibri" w:hAnsi="Calibri" w:cstheme="majorHAnsi"/>
      <w:sz w:val="18"/>
      <w:szCs w:val="18"/>
    </w:rPr>
  </w:style>
  <w:style w:type="paragraph" w:styleId="ListBullet">
    <w:name w:val="List Bullet"/>
    <w:aliases w:val="Punktlista - F"/>
    <w:basedOn w:val="BodyText"/>
    <w:uiPriority w:val="9"/>
    <w:qFormat/>
    <w:rsid w:val="00982710"/>
    <w:pPr>
      <w:numPr>
        <w:numId w:val="1"/>
      </w:numPr>
      <w:spacing w:after="100"/>
    </w:pPr>
  </w:style>
  <w:style w:type="character" w:customStyle="1" w:styleId="Rubrik2-F-direktunderrubrik1Char">
    <w:name w:val="Rubrik 2 - F - direkt under rubrik 1 Char"/>
    <w:basedOn w:val="Heading2Char"/>
    <w:link w:val="Rubrik2-F-direktunderrubrik1"/>
    <w:uiPriority w:val="3"/>
    <w:rsid w:val="00E01B90"/>
    <w:rPr>
      <w:rFonts w:ascii="Calibri" w:eastAsiaTheme="majorEastAsia" w:hAnsi="Calibri" w:cstheme="majorBidi"/>
      <w:bCs/>
      <w:color w:val="27251F" w:themeColor="text1"/>
      <w:sz w:val="34"/>
      <w:szCs w:val="26"/>
    </w:rPr>
  </w:style>
  <w:style w:type="character" w:customStyle="1" w:styleId="Heading4Char">
    <w:name w:val="Heading 4 Char"/>
    <w:aliases w:val="Rubrik 4 - F Char"/>
    <w:basedOn w:val="DefaultParagraphFont"/>
    <w:link w:val="Heading4"/>
    <w:uiPriority w:val="6"/>
    <w:rsid w:val="00E01B90"/>
    <w:rPr>
      <w:rFonts w:ascii="Calibri" w:eastAsiaTheme="majorEastAsia" w:hAnsi="Calibri" w:cstheme="majorBidi"/>
      <w:b/>
      <w:bCs/>
      <w:iCs/>
      <w:color w:val="27251F" w:themeColor="text1"/>
    </w:rPr>
  </w:style>
  <w:style w:type="paragraph" w:customStyle="1" w:styleId="Rubrik4-F-direktunderRubrik3">
    <w:name w:val="Rubrik 4 - F - direkt under Rubrik 3"/>
    <w:basedOn w:val="Heading4"/>
    <w:next w:val="BodyText"/>
    <w:link w:val="Rubrik4-F-direktunderRubrik3Char"/>
    <w:uiPriority w:val="7"/>
    <w:qFormat/>
    <w:rsid w:val="00C807DE"/>
    <w:pPr>
      <w:spacing w:before="200"/>
      <w:ind w:left="862" w:hanging="862"/>
    </w:pPr>
  </w:style>
  <w:style w:type="character" w:customStyle="1" w:styleId="Rubrik4-F-direktunderRubrik3Char">
    <w:name w:val="Rubrik 4 - F - direkt under Rubrik 3 Char"/>
    <w:basedOn w:val="Heading4Char"/>
    <w:link w:val="Rubrik4-F-direktunderRubrik3"/>
    <w:uiPriority w:val="7"/>
    <w:rsid w:val="00C807DE"/>
    <w:rPr>
      <w:rFonts w:ascii="Calibri" w:eastAsiaTheme="majorEastAsia" w:hAnsi="Calibri" w:cstheme="majorBidi"/>
      <w:b/>
      <w:bCs/>
      <w:iCs/>
      <w:color w:val="27251F" w:themeColor="text1"/>
    </w:rPr>
  </w:style>
  <w:style w:type="paragraph" w:styleId="Quote">
    <w:name w:val="Quote"/>
    <w:aliases w:val="Citat - F"/>
    <w:basedOn w:val="Normal"/>
    <w:next w:val="BodyText"/>
    <w:link w:val="QuoteChar"/>
    <w:uiPriority w:val="25"/>
    <w:qFormat/>
    <w:rsid w:val="00C031AE"/>
    <w:pPr>
      <w:spacing w:after="200" w:line="240" w:lineRule="atLeast"/>
      <w:ind w:left="851" w:right="851"/>
    </w:pPr>
    <w:rPr>
      <w:rFonts w:ascii="Calibri" w:hAnsi="Calibri"/>
      <w:iCs/>
      <w:color w:val="27251F" w:themeColor="text1"/>
      <w:sz w:val="16"/>
    </w:rPr>
  </w:style>
  <w:style w:type="character" w:customStyle="1" w:styleId="QuoteChar">
    <w:name w:val="Quote Char"/>
    <w:aliases w:val="Citat - F Char"/>
    <w:basedOn w:val="DefaultParagraphFont"/>
    <w:link w:val="Quote"/>
    <w:uiPriority w:val="25"/>
    <w:rsid w:val="00C031AE"/>
    <w:rPr>
      <w:rFonts w:ascii="Calibri" w:hAnsi="Calibri"/>
      <w:iCs/>
      <w:color w:val="27251F" w:themeColor="text1"/>
      <w:sz w:val="16"/>
    </w:rPr>
  </w:style>
  <w:style w:type="paragraph" w:customStyle="1" w:styleId="Rubrikbilagor-F">
    <w:name w:val="Rubrik bilagor - F"/>
    <w:basedOn w:val="Heading1"/>
    <w:next w:val="BodyText"/>
    <w:link w:val="Rubrikbilagor-FChar"/>
    <w:uiPriority w:val="27"/>
    <w:qFormat/>
    <w:rsid w:val="005D306B"/>
    <w:pPr>
      <w:numPr>
        <w:numId w:val="4"/>
      </w:numPr>
      <w:tabs>
        <w:tab w:val="num" w:pos="851"/>
      </w:tabs>
      <w:ind w:left="0" w:firstLine="0"/>
      <w:outlineLvl w:val="9"/>
    </w:pPr>
  </w:style>
  <w:style w:type="paragraph" w:styleId="ListParagraph">
    <w:name w:val="List Paragraph"/>
    <w:basedOn w:val="Normal"/>
    <w:uiPriority w:val="34"/>
    <w:qFormat/>
    <w:rsid w:val="0056395B"/>
    <w:pPr>
      <w:ind w:left="720"/>
      <w:contextualSpacing/>
    </w:pPr>
  </w:style>
  <w:style w:type="character" w:customStyle="1" w:styleId="Rubrikbilagor-FChar">
    <w:name w:val="Rubrik bilagor - F Char"/>
    <w:basedOn w:val="Heading1Char"/>
    <w:link w:val="Rubrikbilagor-F"/>
    <w:uiPriority w:val="27"/>
    <w:rsid w:val="005D306B"/>
    <w:rPr>
      <w:rFonts w:ascii="Calibri Light" w:hAnsi="Calibri Light" w:cstheme="majorHAnsi"/>
      <w:sz w:val="60"/>
      <w:szCs w:val="32"/>
    </w:rPr>
  </w:style>
  <w:style w:type="paragraph" w:customStyle="1" w:styleId="Nummerlista">
    <w:name w:val="Nummerlista"/>
    <w:aliases w:val="Nummerlista - F"/>
    <w:uiPriority w:val="10"/>
    <w:qFormat/>
    <w:rsid w:val="00982710"/>
    <w:pPr>
      <w:numPr>
        <w:numId w:val="2"/>
      </w:numPr>
      <w:spacing w:after="100" w:line="300" w:lineRule="exact"/>
    </w:pPr>
    <w:rPr>
      <w:rFonts w:ascii="Times New Roman" w:eastAsiaTheme="minorEastAsia" w:hAnsi="Times New Roman"/>
      <w:lang w:eastAsia="sv-SE"/>
    </w:rPr>
  </w:style>
  <w:style w:type="paragraph" w:styleId="Subtitle">
    <w:name w:val="Subtitle"/>
    <w:basedOn w:val="Normal"/>
    <w:next w:val="Normal"/>
    <w:link w:val="SubtitleChar"/>
    <w:uiPriority w:val="99"/>
    <w:semiHidden/>
    <w:unhideWhenUsed/>
    <w:rsid w:val="0056395B"/>
    <w:pPr>
      <w:numPr>
        <w:ilvl w:val="1"/>
      </w:numPr>
    </w:pPr>
    <w:rPr>
      <w:rFonts w:asciiTheme="majorHAnsi" w:eastAsiaTheme="majorEastAsia" w:hAnsiTheme="majorHAnsi" w:cstheme="majorBidi"/>
      <w:i/>
      <w:iCs/>
      <w:color w:val="FF782A" w:themeColor="accent1"/>
      <w:spacing w:val="15"/>
      <w:sz w:val="24"/>
      <w:szCs w:val="24"/>
    </w:rPr>
  </w:style>
  <w:style w:type="character" w:customStyle="1" w:styleId="SubtitleChar">
    <w:name w:val="Subtitle Char"/>
    <w:basedOn w:val="DefaultParagraphFont"/>
    <w:link w:val="Subtitle"/>
    <w:uiPriority w:val="99"/>
    <w:semiHidden/>
    <w:rsid w:val="00555674"/>
    <w:rPr>
      <w:rFonts w:asciiTheme="majorHAnsi" w:eastAsiaTheme="majorEastAsia" w:hAnsiTheme="majorHAnsi" w:cstheme="majorBidi"/>
      <w:i/>
      <w:iCs/>
      <w:color w:val="FF782A" w:themeColor="accent1"/>
      <w:spacing w:val="15"/>
      <w:sz w:val="24"/>
      <w:szCs w:val="24"/>
    </w:rPr>
  </w:style>
  <w:style w:type="table" w:styleId="TableGrid">
    <w:name w:val="Table Grid"/>
    <w:basedOn w:val="TableNormal"/>
    <w:uiPriority w:val="39"/>
    <w:rsid w:val="00B32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5734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45734B"/>
    <w:rPr>
      <w:sz w:val="20"/>
      <w:szCs w:val="20"/>
    </w:rPr>
  </w:style>
  <w:style w:type="table" w:customStyle="1" w:styleId="FoHMEndasttext">
    <w:name w:val="FoHM Endast text"/>
    <w:basedOn w:val="TableNormal"/>
    <w:uiPriority w:val="99"/>
    <w:rsid w:val="00D53744"/>
    <w:pPr>
      <w:spacing w:after="60" w:line="200" w:lineRule="atLeast"/>
    </w:pPr>
    <w:rPr>
      <w:rFonts w:asciiTheme="majorHAnsi" w:hAnsiTheme="majorHAnsi"/>
      <w:sz w:val="16"/>
    </w:rPr>
    <w:tblPr>
      <w:tblBorders>
        <w:top w:val="single" w:sz="4" w:space="0" w:color="BFBFBF" w:themeColor="background1" w:themeShade="BF"/>
        <w:bottom w:val="single" w:sz="4" w:space="0" w:color="BFBFBF" w:themeColor="background1" w:themeShade="BF"/>
      </w:tblBorders>
    </w:tblPr>
    <w:tcPr>
      <w:shd w:val="clear" w:color="auto" w:fill="FFFFFF" w:themeFill="background1"/>
    </w:tcPr>
    <w:tblStylePr w:type="firstRow">
      <w:rPr>
        <w:rFonts w:asciiTheme="majorHAnsi" w:hAnsiTheme="majorHAnsi"/>
        <w:b/>
      </w:rPr>
      <w:tblPr/>
      <w:tcPr>
        <w:tcBorders>
          <w:top w:val="single" w:sz="4" w:space="0" w:color="BFBFBF" w:themeColor="background1" w:themeShade="BF"/>
          <w:bottom w:val="single" w:sz="4" w:space="0" w:color="BFBFBF" w:themeColor="background1" w:themeShade="BF"/>
        </w:tcBorders>
        <w:shd w:val="clear" w:color="auto" w:fill="FFFFFF" w:themeFill="background1"/>
      </w:tcPr>
    </w:tblStylePr>
    <w:tblStylePr w:type="lastRow">
      <w:rPr>
        <w:b w:val="0"/>
      </w:rPr>
      <w:tblPr/>
      <w:tcPr>
        <w:tcBorders>
          <w:top w:val="nil"/>
          <w:bottom w:val="single" w:sz="4" w:space="0" w:color="BFBFBF" w:themeColor="background1" w:themeShade="BF"/>
        </w:tcBorders>
        <w:shd w:val="clear" w:color="auto" w:fill="FFFFFF" w:themeFill="background1"/>
      </w:tcPr>
    </w:tblStylePr>
  </w:style>
  <w:style w:type="paragraph" w:customStyle="1" w:styleId="Tabell-ochdiagramrubrik-F">
    <w:name w:val="Tabell- och diagramrubrik - F"/>
    <w:basedOn w:val="BodyText"/>
    <w:next w:val="BodyText"/>
    <w:uiPriority w:val="19"/>
    <w:qFormat/>
    <w:rsid w:val="00C031AE"/>
    <w:pPr>
      <w:spacing w:before="200" w:after="120" w:line="260" w:lineRule="atLeast"/>
    </w:pPr>
    <w:rPr>
      <w:rFonts w:ascii="Calibri" w:hAnsi="Calibri"/>
      <w:sz w:val="18"/>
    </w:rPr>
  </w:style>
  <w:style w:type="paragraph" w:customStyle="1" w:styleId="Tabelltext-F">
    <w:name w:val="Tabelltext - F"/>
    <w:basedOn w:val="BodyText"/>
    <w:uiPriority w:val="20"/>
    <w:qFormat/>
    <w:rsid w:val="00CD0558"/>
    <w:pPr>
      <w:spacing w:after="60" w:line="200" w:lineRule="atLeast"/>
    </w:pPr>
    <w:rPr>
      <w:rFonts w:ascii="Calibri" w:hAnsi="Calibri"/>
      <w:sz w:val="18"/>
    </w:rPr>
  </w:style>
  <w:style w:type="paragraph" w:customStyle="1" w:styleId="FTabellsiffrorHger">
    <w:name w:val="F Tabellsiffror Höger"/>
    <w:basedOn w:val="BodyText"/>
    <w:uiPriority w:val="21"/>
    <w:semiHidden/>
    <w:qFormat/>
    <w:rsid w:val="00396BF1"/>
    <w:pPr>
      <w:spacing w:after="60" w:line="200" w:lineRule="atLeast"/>
      <w:jc w:val="right"/>
    </w:pPr>
    <w:rPr>
      <w:rFonts w:asciiTheme="majorHAnsi" w:hAnsiTheme="majorHAnsi"/>
      <w:sz w:val="15"/>
    </w:rPr>
  </w:style>
  <w:style w:type="paragraph" w:customStyle="1" w:styleId="Tabellklla-F">
    <w:name w:val="Tabellkälla - F"/>
    <w:basedOn w:val="BodyText"/>
    <w:uiPriority w:val="22"/>
    <w:qFormat/>
    <w:rsid w:val="00C031AE"/>
    <w:pPr>
      <w:spacing w:after="200" w:line="200" w:lineRule="atLeast"/>
    </w:pPr>
    <w:rPr>
      <w:rFonts w:ascii="Calibri" w:hAnsi="Calibri"/>
      <w:sz w:val="14"/>
    </w:rPr>
  </w:style>
  <w:style w:type="character" w:styleId="FootnoteReference">
    <w:name w:val="footnote reference"/>
    <w:aliases w:val="Fotnotsreferens - F"/>
    <w:basedOn w:val="DefaultParagraphFont"/>
    <w:uiPriority w:val="99"/>
    <w:rsid w:val="00A841E9"/>
    <w:rPr>
      <w:vertAlign w:val="superscript"/>
    </w:rPr>
  </w:style>
  <w:style w:type="paragraph" w:styleId="FootnoteText">
    <w:name w:val="footnote text"/>
    <w:aliases w:val="Fotnotstext - F"/>
    <w:basedOn w:val="Normal"/>
    <w:link w:val="FootnoteTextChar"/>
    <w:uiPriority w:val="99"/>
    <w:rsid w:val="008A49B8"/>
    <w:pPr>
      <w:spacing w:before="0" w:after="60" w:line="240" w:lineRule="auto"/>
    </w:pPr>
    <w:rPr>
      <w:rFonts w:asciiTheme="majorHAnsi" w:hAnsiTheme="majorHAnsi"/>
      <w:sz w:val="14"/>
      <w:szCs w:val="20"/>
    </w:rPr>
  </w:style>
  <w:style w:type="character" w:customStyle="1" w:styleId="FootnoteTextChar">
    <w:name w:val="Footnote Text Char"/>
    <w:aliases w:val="Fotnotstext - F Char"/>
    <w:basedOn w:val="DefaultParagraphFont"/>
    <w:link w:val="FootnoteText"/>
    <w:uiPriority w:val="99"/>
    <w:rsid w:val="007A1A91"/>
    <w:rPr>
      <w:rFonts w:asciiTheme="majorHAnsi" w:hAnsiTheme="majorHAnsi"/>
      <w:sz w:val="14"/>
      <w:szCs w:val="20"/>
    </w:rPr>
  </w:style>
  <w:style w:type="paragraph" w:styleId="Caption">
    <w:name w:val="caption"/>
    <w:aliases w:val="F Beskrivning"/>
    <w:basedOn w:val="Normal"/>
    <w:next w:val="BodyText"/>
    <w:uiPriority w:val="35"/>
    <w:qFormat/>
    <w:rsid w:val="004A292F"/>
    <w:pPr>
      <w:spacing w:after="200" w:line="200" w:lineRule="atLeast"/>
    </w:pPr>
    <w:rPr>
      <w:rFonts w:asciiTheme="majorHAnsi" w:hAnsiTheme="majorHAnsi"/>
      <w:iCs/>
      <w:sz w:val="14"/>
      <w:szCs w:val="18"/>
    </w:rPr>
  </w:style>
  <w:style w:type="paragraph" w:customStyle="1" w:styleId="Referenslista-F">
    <w:name w:val="Referenslista - F"/>
    <w:basedOn w:val="BodyText"/>
    <w:uiPriority w:val="28"/>
    <w:qFormat/>
    <w:rsid w:val="00E05D02"/>
    <w:pPr>
      <w:spacing w:after="120" w:line="240" w:lineRule="atLeast"/>
    </w:pPr>
    <w:rPr>
      <w:rFonts w:ascii="Calibri" w:hAnsi="Calibri"/>
      <w:sz w:val="20"/>
    </w:rPr>
  </w:style>
  <w:style w:type="paragraph" w:customStyle="1" w:styleId="Faktarutarubrik-F">
    <w:name w:val="Faktarutarubrik - F"/>
    <w:basedOn w:val="BodyText"/>
    <w:next w:val="Faktarutetext-F"/>
    <w:uiPriority w:val="30"/>
    <w:qFormat/>
    <w:rsid w:val="00C031AE"/>
    <w:pPr>
      <w:spacing w:after="60" w:line="240" w:lineRule="atLeast"/>
    </w:pPr>
    <w:rPr>
      <w:rFonts w:ascii="Calibri" w:hAnsi="Calibri"/>
      <w:sz w:val="16"/>
    </w:rPr>
  </w:style>
  <w:style w:type="paragraph" w:customStyle="1" w:styleId="Faktarutetext-F">
    <w:name w:val="Faktarutetext - F"/>
    <w:basedOn w:val="BodyText"/>
    <w:uiPriority w:val="30"/>
    <w:qFormat/>
    <w:rsid w:val="00C031AE"/>
    <w:pPr>
      <w:spacing w:after="120" w:line="240" w:lineRule="atLeast"/>
    </w:pPr>
    <w:rPr>
      <w:rFonts w:ascii="Calibri" w:hAnsi="Calibri"/>
      <w:sz w:val="15"/>
    </w:rPr>
  </w:style>
  <w:style w:type="paragraph" w:styleId="TOC3">
    <w:name w:val="toc 3"/>
    <w:aliases w:val="Innehåll 3 - F"/>
    <w:basedOn w:val="Normal"/>
    <w:next w:val="BodyText"/>
    <w:autoRedefine/>
    <w:uiPriority w:val="39"/>
    <w:rsid w:val="00B43C0D"/>
    <w:pPr>
      <w:spacing w:before="0" w:after="40" w:line="320" w:lineRule="atLeast"/>
      <w:ind w:left="442"/>
    </w:pPr>
    <w:rPr>
      <w:rFonts w:ascii="Calibri" w:hAnsi="Calibri"/>
    </w:rPr>
  </w:style>
  <w:style w:type="table" w:customStyle="1" w:styleId="FoHMMestsiffror">
    <w:name w:val="FoHM Mest siffror"/>
    <w:basedOn w:val="TableNormal"/>
    <w:uiPriority w:val="99"/>
    <w:rsid w:val="00E359AA"/>
    <w:pPr>
      <w:spacing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 w:type="character" w:styleId="EndnoteReference">
    <w:name w:val="endnote reference"/>
    <w:basedOn w:val="DefaultParagraphFont"/>
    <w:uiPriority w:val="99"/>
    <w:semiHidden/>
    <w:unhideWhenUsed/>
    <w:rsid w:val="0045734B"/>
    <w:rPr>
      <w:vertAlign w:val="superscript"/>
    </w:rPr>
  </w:style>
  <w:style w:type="paragraph" w:styleId="TOC4">
    <w:name w:val="toc 4"/>
    <w:basedOn w:val="Normal"/>
    <w:next w:val="Normal"/>
    <w:autoRedefine/>
    <w:uiPriority w:val="39"/>
    <w:rsid w:val="00C52916"/>
    <w:pPr>
      <w:spacing w:before="0" w:after="120" w:line="320" w:lineRule="atLeast"/>
      <w:ind w:left="658"/>
    </w:pPr>
    <w:rPr>
      <w:rFonts w:asciiTheme="majorHAnsi" w:hAnsiTheme="majorHAnsi"/>
      <w:sz w:val="18"/>
    </w:rPr>
  </w:style>
  <w:style w:type="paragraph" w:styleId="TOC5">
    <w:name w:val="toc 5"/>
    <w:basedOn w:val="Normal"/>
    <w:next w:val="Normal"/>
    <w:autoRedefine/>
    <w:uiPriority w:val="39"/>
    <w:rsid w:val="00C52916"/>
    <w:pPr>
      <w:spacing w:before="0" w:after="120" w:line="320" w:lineRule="atLeast"/>
      <w:ind w:left="879"/>
    </w:pPr>
    <w:rPr>
      <w:rFonts w:asciiTheme="majorHAnsi" w:hAnsiTheme="majorHAnsi"/>
      <w:sz w:val="18"/>
    </w:rPr>
  </w:style>
  <w:style w:type="paragraph" w:styleId="TOC6">
    <w:name w:val="toc 6"/>
    <w:basedOn w:val="Normal"/>
    <w:next w:val="Normal"/>
    <w:autoRedefine/>
    <w:uiPriority w:val="39"/>
    <w:rsid w:val="00C52916"/>
    <w:pPr>
      <w:spacing w:before="0" w:after="120" w:line="320" w:lineRule="atLeast"/>
      <w:ind w:left="1100"/>
    </w:pPr>
    <w:rPr>
      <w:rFonts w:asciiTheme="majorHAnsi" w:hAnsiTheme="majorHAnsi"/>
      <w:sz w:val="18"/>
    </w:rPr>
  </w:style>
  <w:style w:type="paragraph" w:styleId="TOC7">
    <w:name w:val="toc 7"/>
    <w:basedOn w:val="Normal"/>
    <w:next w:val="Normal"/>
    <w:autoRedefine/>
    <w:uiPriority w:val="39"/>
    <w:rsid w:val="00C52916"/>
    <w:pPr>
      <w:spacing w:before="0" w:after="120" w:line="320" w:lineRule="atLeast"/>
      <w:ind w:left="1321"/>
    </w:pPr>
    <w:rPr>
      <w:rFonts w:asciiTheme="majorHAnsi" w:hAnsiTheme="majorHAnsi"/>
      <w:sz w:val="18"/>
    </w:rPr>
  </w:style>
  <w:style w:type="paragraph" w:styleId="TOC8">
    <w:name w:val="toc 8"/>
    <w:basedOn w:val="Normal"/>
    <w:next w:val="Normal"/>
    <w:autoRedefine/>
    <w:uiPriority w:val="39"/>
    <w:rsid w:val="00C52916"/>
    <w:pPr>
      <w:spacing w:before="0" w:after="120" w:line="320" w:lineRule="atLeast"/>
      <w:ind w:left="1542"/>
    </w:pPr>
    <w:rPr>
      <w:rFonts w:asciiTheme="majorHAnsi" w:hAnsiTheme="majorHAnsi"/>
      <w:sz w:val="18"/>
    </w:rPr>
  </w:style>
  <w:style w:type="paragraph" w:styleId="TOC9">
    <w:name w:val="toc 9"/>
    <w:basedOn w:val="Normal"/>
    <w:next w:val="Normal"/>
    <w:autoRedefine/>
    <w:uiPriority w:val="39"/>
    <w:rsid w:val="00C52916"/>
    <w:pPr>
      <w:spacing w:before="0" w:after="120" w:line="320" w:lineRule="atLeast"/>
      <w:ind w:left="1758"/>
    </w:pPr>
    <w:rPr>
      <w:rFonts w:asciiTheme="majorHAnsi" w:hAnsiTheme="majorHAnsi"/>
      <w:sz w:val="18"/>
    </w:rPr>
  </w:style>
  <w:style w:type="paragraph" w:customStyle="1" w:styleId="Baksidestext-F">
    <w:name w:val="Baksidestext - F"/>
    <w:basedOn w:val="BodyText"/>
    <w:uiPriority w:val="36"/>
    <w:qFormat/>
    <w:rsid w:val="00AB0841"/>
    <w:pPr>
      <w:spacing w:after="120" w:line="240" w:lineRule="atLeast"/>
    </w:pPr>
    <w:rPr>
      <w:rFonts w:asciiTheme="majorHAnsi" w:hAnsiTheme="majorHAnsi"/>
      <w:sz w:val="17"/>
    </w:rPr>
  </w:style>
  <w:style w:type="character" w:styleId="CommentReference">
    <w:name w:val="annotation reference"/>
    <w:basedOn w:val="DefaultParagraphFont"/>
    <w:uiPriority w:val="99"/>
    <w:semiHidden/>
    <w:unhideWhenUsed/>
    <w:rsid w:val="00D6682D"/>
    <w:rPr>
      <w:sz w:val="16"/>
      <w:szCs w:val="16"/>
    </w:rPr>
  </w:style>
  <w:style w:type="paragraph" w:styleId="CommentText">
    <w:name w:val="annotation text"/>
    <w:basedOn w:val="Normal"/>
    <w:link w:val="CommentTextChar"/>
    <w:uiPriority w:val="99"/>
    <w:unhideWhenUsed/>
    <w:rsid w:val="00D6682D"/>
    <w:pPr>
      <w:spacing w:line="240" w:lineRule="auto"/>
    </w:pPr>
    <w:rPr>
      <w:sz w:val="20"/>
      <w:szCs w:val="20"/>
    </w:rPr>
  </w:style>
  <w:style w:type="character" w:customStyle="1" w:styleId="CommentTextChar">
    <w:name w:val="Comment Text Char"/>
    <w:basedOn w:val="DefaultParagraphFont"/>
    <w:link w:val="CommentText"/>
    <w:uiPriority w:val="99"/>
    <w:rsid w:val="00D6682D"/>
    <w:rPr>
      <w:sz w:val="20"/>
      <w:szCs w:val="20"/>
    </w:rPr>
  </w:style>
  <w:style w:type="paragraph" w:customStyle="1" w:styleId="Omslagfrfattare">
    <w:name w:val="Omslag författare"/>
    <w:basedOn w:val="Omslagundertitel-F"/>
    <w:link w:val="OmslagfrfattareChar"/>
    <w:qFormat/>
    <w:rsid w:val="008A31EE"/>
    <w:rPr>
      <w:sz w:val="24"/>
    </w:rPr>
  </w:style>
  <w:style w:type="character" w:customStyle="1" w:styleId="OmslagfrfattareChar">
    <w:name w:val="Omslag författare Char"/>
    <w:basedOn w:val="DefaultParagraphFont"/>
    <w:link w:val="Omslagfrfattare"/>
    <w:rsid w:val="008A31EE"/>
    <w:rPr>
      <w:rFonts w:ascii="Calibri" w:hAnsi="Calibri" w:cstheme="majorHAnsi"/>
      <w:sz w:val="24"/>
      <w:szCs w:val="26"/>
    </w:rPr>
  </w:style>
  <w:style w:type="character" w:customStyle="1" w:styleId="Heading5Char">
    <w:name w:val="Heading 5 Char"/>
    <w:basedOn w:val="DefaultParagraphFont"/>
    <w:link w:val="Heading5"/>
    <w:uiPriority w:val="9"/>
    <w:semiHidden/>
    <w:rsid w:val="00E50FD0"/>
    <w:rPr>
      <w:rFonts w:ascii="Calibri" w:eastAsiaTheme="majorEastAsia" w:hAnsi="Calibri" w:cstheme="majorBidi"/>
      <w:color w:val="27251F" w:themeColor="text1"/>
      <w:sz w:val="20"/>
    </w:rPr>
  </w:style>
  <w:style w:type="character" w:customStyle="1" w:styleId="Heading6Char">
    <w:name w:val="Heading 6 Char"/>
    <w:basedOn w:val="DefaultParagraphFont"/>
    <w:link w:val="Heading6"/>
    <w:uiPriority w:val="9"/>
    <w:semiHidden/>
    <w:rsid w:val="00E50FD0"/>
    <w:rPr>
      <w:rFonts w:ascii="Calibri" w:eastAsiaTheme="majorEastAsia" w:hAnsi="Calibri" w:cstheme="majorBidi"/>
      <w:b/>
      <w:i/>
      <w:iCs/>
      <w:color w:val="27251F" w:themeColor="text1"/>
      <w:sz w:val="18"/>
    </w:rPr>
  </w:style>
  <w:style w:type="character" w:customStyle="1" w:styleId="Heading7Char">
    <w:name w:val="Heading 7 Char"/>
    <w:basedOn w:val="DefaultParagraphFont"/>
    <w:link w:val="Heading7"/>
    <w:uiPriority w:val="9"/>
    <w:semiHidden/>
    <w:rsid w:val="00E50FD0"/>
    <w:rPr>
      <w:rFonts w:ascii="Calibri" w:eastAsiaTheme="majorEastAsia" w:hAnsi="Calibri" w:cstheme="majorBidi"/>
      <w:i/>
      <w:iCs/>
      <w:color w:val="27251F" w:themeColor="text1"/>
      <w:sz w:val="18"/>
    </w:rPr>
  </w:style>
  <w:style w:type="character" w:customStyle="1" w:styleId="Heading8Char">
    <w:name w:val="Heading 8 Char"/>
    <w:basedOn w:val="DefaultParagraphFont"/>
    <w:link w:val="Heading8"/>
    <w:uiPriority w:val="9"/>
    <w:semiHidden/>
    <w:rsid w:val="00E50FD0"/>
    <w:rPr>
      <w:rFonts w:ascii="Calibri" w:eastAsiaTheme="majorEastAsia" w:hAnsi="Calibri" w:cstheme="majorBidi"/>
      <w:color w:val="27251F" w:themeColor="text1"/>
      <w:sz w:val="18"/>
      <w:szCs w:val="20"/>
      <w:u w:val="single"/>
    </w:rPr>
  </w:style>
  <w:style w:type="character" w:styleId="PlaceholderText">
    <w:name w:val="Placeholder Text"/>
    <w:basedOn w:val="DefaultParagraphFont"/>
    <w:uiPriority w:val="99"/>
    <w:semiHidden/>
    <w:rsid w:val="00E21324"/>
    <w:rPr>
      <w:color w:val="808080"/>
    </w:rPr>
  </w:style>
  <w:style w:type="paragraph" w:styleId="CommentSubject">
    <w:name w:val="annotation subject"/>
    <w:basedOn w:val="CommentText"/>
    <w:next w:val="CommentText"/>
    <w:link w:val="CommentSubjectChar"/>
    <w:uiPriority w:val="99"/>
    <w:semiHidden/>
    <w:unhideWhenUsed/>
    <w:rsid w:val="00001256"/>
    <w:rPr>
      <w:b/>
      <w:bCs/>
    </w:rPr>
  </w:style>
  <w:style w:type="character" w:customStyle="1" w:styleId="CommentSubjectChar">
    <w:name w:val="Comment Subject Char"/>
    <w:basedOn w:val="CommentTextChar"/>
    <w:link w:val="CommentSubject"/>
    <w:uiPriority w:val="99"/>
    <w:semiHidden/>
    <w:rsid w:val="00001256"/>
    <w:rPr>
      <w:b/>
      <w:bCs/>
      <w:sz w:val="20"/>
      <w:szCs w:val="20"/>
    </w:rPr>
  </w:style>
  <w:style w:type="table" w:styleId="TableGridLight">
    <w:name w:val="Grid Table Light"/>
    <w:basedOn w:val="TableNormal"/>
    <w:uiPriority w:val="40"/>
    <w:rsid w:val="003C24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rutnt91">
    <w:name w:val="Tabellrutnät91"/>
    <w:basedOn w:val="TableNormal"/>
    <w:next w:val="TableGrid"/>
    <w:rsid w:val="00D74CE7"/>
    <w:pPr>
      <w:spacing w:before="0"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1">
    <w:name w:val="Tabellrutnät101"/>
    <w:basedOn w:val="TableNormal"/>
    <w:next w:val="TableGrid"/>
    <w:rsid w:val="002939E8"/>
    <w:pPr>
      <w:spacing w:before="0"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ST">
    <w:name w:val="Normal LST"/>
    <w:qFormat/>
    <w:rsid w:val="002939E8"/>
    <w:pPr>
      <w:spacing w:before="120" w:after="0" w:line="240" w:lineRule="auto"/>
    </w:pPr>
    <w:rPr>
      <w:rFonts w:ascii="Times New Roman" w:eastAsia="Times New Roman" w:hAnsi="Times New Roman" w:cs="Times New Roman"/>
      <w:szCs w:val="20"/>
      <w:lang w:eastAsia="sv-SE"/>
    </w:rPr>
  </w:style>
  <w:style w:type="paragraph" w:customStyle="1" w:styleId="TIPS">
    <w:name w:val="TIPS"/>
    <w:basedOn w:val="Normal"/>
    <w:autoRedefine/>
    <w:rsid w:val="00C570CF"/>
    <w:pPr>
      <w:pBdr>
        <w:top w:val="single" w:sz="4" w:space="1" w:color="auto"/>
        <w:left w:val="single" w:sz="4" w:space="4" w:color="auto"/>
        <w:bottom w:val="single" w:sz="4" w:space="1" w:color="auto"/>
        <w:right w:val="single" w:sz="4" w:space="4" w:color="auto"/>
      </w:pBdr>
      <w:shd w:val="clear" w:color="auto" w:fill="C1E4FF" w:themeFill="accent5" w:themeFillTint="33"/>
      <w:autoSpaceDE w:val="0"/>
      <w:autoSpaceDN w:val="0"/>
      <w:adjustRightInd w:val="0"/>
      <w:spacing w:before="0" w:after="240" w:line="276" w:lineRule="auto"/>
      <w:ind w:right="140"/>
      <w:contextualSpacing/>
    </w:pPr>
    <w:rPr>
      <w:rFonts w:ascii="Calibri" w:hAnsi="Calibri" w:cs="Calibri"/>
      <w:i/>
      <w:sz w:val="20"/>
      <w:szCs w:val="20"/>
    </w:rPr>
  </w:style>
  <w:style w:type="paragraph" w:customStyle="1" w:styleId="KRAV">
    <w:name w:val="KRAV"/>
    <w:basedOn w:val="Heading4"/>
    <w:autoRedefine/>
    <w:qFormat/>
    <w:rsid w:val="00840E67"/>
    <w:pPr>
      <w:numPr>
        <w:ilvl w:val="0"/>
        <w:numId w:val="0"/>
      </w:numPr>
      <w:tabs>
        <w:tab w:val="left" w:pos="1134"/>
      </w:tabs>
      <w:spacing w:before="0" w:line="276" w:lineRule="auto"/>
    </w:pPr>
    <w:rPr>
      <w:rFonts w:cs="Calibri"/>
      <w:bCs w:val="0"/>
      <w:caps/>
      <w:color w:val="auto"/>
      <w:sz w:val="20"/>
      <w:szCs w:val="20"/>
    </w:rPr>
  </w:style>
  <w:style w:type="paragraph" w:styleId="NormalWeb">
    <w:name w:val="Normal (Web)"/>
    <w:basedOn w:val="Normal"/>
    <w:uiPriority w:val="99"/>
    <w:unhideWhenUsed/>
    <w:rsid w:val="0037225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streckpunkter">
    <w:name w:val="streckpunkter"/>
    <w:basedOn w:val="BodyText"/>
    <w:link w:val="streckpunkterChar"/>
    <w:qFormat/>
    <w:rsid w:val="000C7C3C"/>
    <w:pPr>
      <w:numPr>
        <w:numId w:val="3"/>
      </w:numPr>
      <w:spacing w:before="120" w:after="120"/>
      <w:ind w:left="426" w:hanging="284"/>
    </w:pPr>
  </w:style>
  <w:style w:type="character" w:customStyle="1" w:styleId="streckpunkterChar">
    <w:name w:val="streckpunkter Char"/>
    <w:basedOn w:val="BodyTextChar"/>
    <w:link w:val="streckpunkter"/>
    <w:rsid w:val="000C7C3C"/>
    <w:rPr>
      <w:color w:val="27251F" w:themeColor="text1"/>
    </w:rPr>
  </w:style>
  <w:style w:type="table" w:customStyle="1" w:styleId="Tabellrutnt82">
    <w:name w:val="Tabellrutnät82"/>
    <w:basedOn w:val="TableNormal"/>
    <w:next w:val="TableGrid"/>
    <w:rsid w:val="00017174"/>
    <w:pPr>
      <w:spacing w:before="0" w:after="0" w:line="240" w:lineRule="auto"/>
    </w:pPr>
    <w:rPr>
      <w:rFonts w:ascii="Calibri" w:eastAsia="MS Mincho" w:hAnsi="Calibri" w:cs="Times New Roman"/>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F719F"/>
    <w:pPr>
      <w:spacing w:after="0"/>
    </w:pPr>
  </w:style>
  <w:style w:type="character" w:customStyle="1" w:styleId="Heading9Char">
    <w:name w:val="Heading 9 Char"/>
    <w:basedOn w:val="DefaultParagraphFont"/>
    <w:link w:val="Heading9"/>
    <w:uiPriority w:val="9"/>
    <w:semiHidden/>
    <w:rsid w:val="00DF03FF"/>
    <w:rPr>
      <w:rFonts w:asciiTheme="majorHAnsi" w:eastAsiaTheme="majorEastAsia" w:hAnsiTheme="majorHAnsi" w:cstheme="majorBidi"/>
      <w:i/>
      <w:iCs/>
      <w:color w:val="4C483C" w:themeColor="text1" w:themeTint="D8"/>
      <w:sz w:val="21"/>
      <w:szCs w:val="21"/>
    </w:rPr>
  </w:style>
  <w:style w:type="character" w:styleId="Emphasis">
    <w:name w:val="Emphasis"/>
    <w:basedOn w:val="DefaultParagraphFont"/>
    <w:uiPriority w:val="20"/>
    <w:qFormat/>
    <w:rsid w:val="00984431"/>
    <w:rPr>
      <w:i/>
      <w:iCs/>
    </w:rPr>
  </w:style>
  <w:style w:type="paragraph" w:customStyle="1" w:styleId="Default">
    <w:name w:val="Default"/>
    <w:rsid w:val="00095D25"/>
    <w:pPr>
      <w:autoSpaceDE w:val="0"/>
      <w:autoSpaceDN w:val="0"/>
      <w:adjustRightInd w:val="0"/>
      <w:spacing w:before="0" w:after="0" w:line="240" w:lineRule="auto"/>
    </w:pPr>
    <w:rPr>
      <w:rFonts w:ascii="Calibri" w:hAnsi="Calibri" w:cs="Calibri"/>
      <w:color w:val="000000"/>
      <w:sz w:val="24"/>
      <w:szCs w:val="24"/>
    </w:rPr>
  </w:style>
  <w:style w:type="paragraph" w:styleId="Revision">
    <w:name w:val="Revision"/>
    <w:hidden/>
    <w:uiPriority w:val="99"/>
    <w:semiHidden/>
    <w:rsid w:val="00DD72D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907">
      <w:bodyDiv w:val="1"/>
      <w:marLeft w:val="0"/>
      <w:marRight w:val="0"/>
      <w:marTop w:val="0"/>
      <w:marBottom w:val="0"/>
      <w:divBdr>
        <w:top w:val="none" w:sz="0" w:space="0" w:color="auto"/>
        <w:left w:val="none" w:sz="0" w:space="0" w:color="auto"/>
        <w:bottom w:val="none" w:sz="0" w:space="0" w:color="auto"/>
        <w:right w:val="none" w:sz="0" w:space="0" w:color="auto"/>
      </w:divBdr>
    </w:div>
    <w:div w:id="110326946">
      <w:bodyDiv w:val="1"/>
      <w:marLeft w:val="0"/>
      <w:marRight w:val="0"/>
      <w:marTop w:val="0"/>
      <w:marBottom w:val="0"/>
      <w:divBdr>
        <w:top w:val="none" w:sz="0" w:space="0" w:color="auto"/>
        <w:left w:val="none" w:sz="0" w:space="0" w:color="auto"/>
        <w:bottom w:val="none" w:sz="0" w:space="0" w:color="auto"/>
        <w:right w:val="none" w:sz="0" w:space="0" w:color="auto"/>
      </w:divBdr>
    </w:div>
    <w:div w:id="308481151">
      <w:bodyDiv w:val="1"/>
      <w:marLeft w:val="0"/>
      <w:marRight w:val="0"/>
      <w:marTop w:val="0"/>
      <w:marBottom w:val="0"/>
      <w:divBdr>
        <w:top w:val="none" w:sz="0" w:space="0" w:color="auto"/>
        <w:left w:val="none" w:sz="0" w:space="0" w:color="auto"/>
        <w:bottom w:val="none" w:sz="0" w:space="0" w:color="auto"/>
        <w:right w:val="none" w:sz="0" w:space="0" w:color="auto"/>
      </w:divBdr>
    </w:div>
    <w:div w:id="334501356">
      <w:bodyDiv w:val="1"/>
      <w:marLeft w:val="0"/>
      <w:marRight w:val="0"/>
      <w:marTop w:val="0"/>
      <w:marBottom w:val="0"/>
      <w:divBdr>
        <w:top w:val="none" w:sz="0" w:space="0" w:color="auto"/>
        <w:left w:val="none" w:sz="0" w:space="0" w:color="auto"/>
        <w:bottom w:val="none" w:sz="0" w:space="0" w:color="auto"/>
        <w:right w:val="none" w:sz="0" w:space="0" w:color="auto"/>
      </w:divBdr>
      <w:divsChild>
        <w:div w:id="1148129532">
          <w:marLeft w:val="0"/>
          <w:marRight w:val="0"/>
          <w:marTop w:val="0"/>
          <w:marBottom w:val="225"/>
          <w:divBdr>
            <w:top w:val="none" w:sz="0" w:space="0" w:color="auto"/>
            <w:left w:val="none" w:sz="0" w:space="0" w:color="auto"/>
            <w:bottom w:val="none" w:sz="0" w:space="0" w:color="auto"/>
            <w:right w:val="none" w:sz="0" w:space="0" w:color="auto"/>
          </w:divBdr>
        </w:div>
        <w:div w:id="1767655766">
          <w:marLeft w:val="0"/>
          <w:marRight w:val="0"/>
          <w:marTop w:val="0"/>
          <w:marBottom w:val="135"/>
          <w:divBdr>
            <w:top w:val="none" w:sz="0" w:space="0" w:color="auto"/>
            <w:left w:val="none" w:sz="0" w:space="0" w:color="auto"/>
            <w:bottom w:val="none" w:sz="0" w:space="0" w:color="auto"/>
            <w:right w:val="none" w:sz="0" w:space="0" w:color="auto"/>
          </w:divBdr>
        </w:div>
      </w:divsChild>
    </w:div>
    <w:div w:id="342435161">
      <w:bodyDiv w:val="1"/>
      <w:marLeft w:val="0"/>
      <w:marRight w:val="0"/>
      <w:marTop w:val="0"/>
      <w:marBottom w:val="0"/>
      <w:divBdr>
        <w:top w:val="none" w:sz="0" w:space="0" w:color="auto"/>
        <w:left w:val="none" w:sz="0" w:space="0" w:color="auto"/>
        <w:bottom w:val="none" w:sz="0" w:space="0" w:color="auto"/>
        <w:right w:val="none" w:sz="0" w:space="0" w:color="auto"/>
      </w:divBdr>
    </w:div>
    <w:div w:id="410078084">
      <w:bodyDiv w:val="1"/>
      <w:marLeft w:val="0"/>
      <w:marRight w:val="0"/>
      <w:marTop w:val="0"/>
      <w:marBottom w:val="0"/>
      <w:divBdr>
        <w:top w:val="none" w:sz="0" w:space="0" w:color="auto"/>
        <w:left w:val="none" w:sz="0" w:space="0" w:color="auto"/>
        <w:bottom w:val="none" w:sz="0" w:space="0" w:color="auto"/>
        <w:right w:val="none" w:sz="0" w:space="0" w:color="auto"/>
      </w:divBdr>
    </w:div>
    <w:div w:id="498666376">
      <w:bodyDiv w:val="1"/>
      <w:marLeft w:val="0"/>
      <w:marRight w:val="0"/>
      <w:marTop w:val="0"/>
      <w:marBottom w:val="0"/>
      <w:divBdr>
        <w:top w:val="none" w:sz="0" w:space="0" w:color="auto"/>
        <w:left w:val="none" w:sz="0" w:space="0" w:color="auto"/>
        <w:bottom w:val="none" w:sz="0" w:space="0" w:color="auto"/>
        <w:right w:val="none" w:sz="0" w:space="0" w:color="auto"/>
      </w:divBdr>
    </w:div>
    <w:div w:id="661930491">
      <w:bodyDiv w:val="1"/>
      <w:marLeft w:val="0"/>
      <w:marRight w:val="0"/>
      <w:marTop w:val="0"/>
      <w:marBottom w:val="0"/>
      <w:divBdr>
        <w:top w:val="none" w:sz="0" w:space="0" w:color="auto"/>
        <w:left w:val="none" w:sz="0" w:space="0" w:color="auto"/>
        <w:bottom w:val="none" w:sz="0" w:space="0" w:color="auto"/>
        <w:right w:val="none" w:sz="0" w:space="0" w:color="auto"/>
      </w:divBdr>
    </w:div>
    <w:div w:id="766776284">
      <w:bodyDiv w:val="1"/>
      <w:marLeft w:val="0"/>
      <w:marRight w:val="0"/>
      <w:marTop w:val="0"/>
      <w:marBottom w:val="0"/>
      <w:divBdr>
        <w:top w:val="none" w:sz="0" w:space="0" w:color="auto"/>
        <w:left w:val="none" w:sz="0" w:space="0" w:color="auto"/>
        <w:bottom w:val="none" w:sz="0" w:space="0" w:color="auto"/>
        <w:right w:val="none" w:sz="0" w:space="0" w:color="auto"/>
      </w:divBdr>
    </w:div>
    <w:div w:id="857543069">
      <w:bodyDiv w:val="1"/>
      <w:marLeft w:val="0"/>
      <w:marRight w:val="0"/>
      <w:marTop w:val="0"/>
      <w:marBottom w:val="0"/>
      <w:divBdr>
        <w:top w:val="none" w:sz="0" w:space="0" w:color="auto"/>
        <w:left w:val="none" w:sz="0" w:space="0" w:color="auto"/>
        <w:bottom w:val="none" w:sz="0" w:space="0" w:color="auto"/>
        <w:right w:val="none" w:sz="0" w:space="0" w:color="auto"/>
      </w:divBdr>
    </w:div>
    <w:div w:id="1036731269">
      <w:bodyDiv w:val="1"/>
      <w:marLeft w:val="0"/>
      <w:marRight w:val="0"/>
      <w:marTop w:val="0"/>
      <w:marBottom w:val="0"/>
      <w:divBdr>
        <w:top w:val="none" w:sz="0" w:space="0" w:color="auto"/>
        <w:left w:val="none" w:sz="0" w:space="0" w:color="auto"/>
        <w:bottom w:val="none" w:sz="0" w:space="0" w:color="auto"/>
        <w:right w:val="none" w:sz="0" w:space="0" w:color="auto"/>
      </w:divBdr>
    </w:div>
    <w:div w:id="1180893472">
      <w:bodyDiv w:val="1"/>
      <w:marLeft w:val="0"/>
      <w:marRight w:val="0"/>
      <w:marTop w:val="0"/>
      <w:marBottom w:val="0"/>
      <w:divBdr>
        <w:top w:val="none" w:sz="0" w:space="0" w:color="auto"/>
        <w:left w:val="none" w:sz="0" w:space="0" w:color="auto"/>
        <w:bottom w:val="none" w:sz="0" w:space="0" w:color="auto"/>
        <w:right w:val="none" w:sz="0" w:space="0" w:color="auto"/>
      </w:divBdr>
    </w:div>
    <w:div w:id="1236432232">
      <w:bodyDiv w:val="1"/>
      <w:marLeft w:val="0"/>
      <w:marRight w:val="0"/>
      <w:marTop w:val="0"/>
      <w:marBottom w:val="0"/>
      <w:divBdr>
        <w:top w:val="none" w:sz="0" w:space="0" w:color="auto"/>
        <w:left w:val="none" w:sz="0" w:space="0" w:color="auto"/>
        <w:bottom w:val="none" w:sz="0" w:space="0" w:color="auto"/>
        <w:right w:val="none" w:sz="0" w:space="0" w:color="auto"/>
      </w:divBdr>
    </w:div>
    <w:div w:id="1269510587">
      <w:bodyDiv w:val="1"/>
      <w:marLeft w:val="0"/>
      <w:marRight w:val="0"/>
      <w:marTop w:val="0"/>
      <w:marBottom w:val="0"/>
      <w:divBdr>
        <w:top w:val="none" w:sz="0" w:space="0" w:color="auto"/>
        <w:left w:val="none" w:sz="0" w:space="0" w:color="auto"/>
        <w:bottom w:val="none" w:sz="0" w:space="0" w:color="auto"/>
        <w:right w:val="none" w:sz="0" w:space="0" w:color="auto"/>
      </w:divBdr>
    </w:div>
    <w:div w:id="1288194345">
      <w:bodyDiv w:val="1"/>
      <w:marLeft w:val="0"/>
      <w:marRight w:val="0"/>
      <w:marTop w:val="0"/>
      <w:marBottom w:val="0"/>
      <w:divBdr>
        <w:top w:val="none" w:sz="0" w:space="0" w:color="auto"/>
        <w:left w:val="none" w:sz="0" w:space="0" w:color="auto"/>
        <w:bottom w:val="none" w:sz="0" w:space="0" w:color="auto"/>
        <w:right w:val="none" w:sz="0" w:space="0" w:color="auto"/>
      </w:divBdr>
    </w:div>
    <w:div w:id="1324435015">
      <w:bodyDiv w:val="1"/>
      <w:marLeft w:val="0"/>
      <w:marRight w:val="0"/>
      <w:marTop w:val="0"/>
      <w:marBottom w:val="0"/>
      <w:divBdr>
        <w:top w:val="none" w:sz="0" w:space="0" w:color="auto"/>
        <w:left w:val="none" w:sz="0" w:space="0" w:color="auto"/>
        <w:bottom w:val="none" w:sz="0" w:space="0" w:color="auto"/>
        <w:right w:val="none" w:sz="0" w:space="0" w:color="auto"/>
      </w:divBdr>
    </w:div>
    <w:div w:id="1327979291">
      <w:bodyDiv w:val="1"/>
      <w:marLeft w:val="0"/>
      <w:marRight w:val="0"/>
      <w:marTop w:val="0"/>
      <w:marBottom w:val="0"/>
      <w:divBdr>
        <w:top w:val="none" w:sz="0" w:space="0" w:color="auto"/>
        <w:left w:val="none" w:sz="0" w:space="0" w:color="auto"/>
        <w:bottom w:val="none" w:sz="0" w:space="0" w:color="auto"/>
        <w:right w:val="none" w:sz="0" w:space="0" w:color="auto"/>
      </w:divBdr>
    </w:div>
    <w:div w:id="1506165311">
      <w:bodyDiv w:val="1"/>
      <w:marLeft w:val="0"/>
      <w:marRight w:val="0"/>
      <w:marTop w:val="0"/>
      <w:marBottom w:val="0"/>
      <w:divBdr>
        <w:top w:val="none" w:sz="0" w:space="0" w:color="auto"/>
        <w:left w:val="none" w:sz="0" w:space="0" w:color="auto"/>
        <w:bottom w:val="none" w:sz="0" w:space="0" w:color="auto"/>
        <w:right w:val="none" w:sz="0" w:space="0" w:color="auto"/>
      </w:divBdr>
    </w:div>
    <w:div w:id="1669553831">
      <w:bodyDiv w:val="1"/>
      <w:marLeft w:val="0"/>
      <w:marRight w:val="0"/>
      <w:marTop w:val="0"/>
      <w:marBottom w:val="0"/>
      <w:divBdr>
        <w:top w:val="none" w:sz="0" w:space="0" w:color="auto"/>
        <w:left w:val="none" w:sz="0" w:space="0" w:color="auto"/>
        <w:bottom w:val="none" w:sz="0" w:space="0" w:color="auto"/>
        <w:right w:val="none" w:sz="0" w:space="0" w:color="auto"/>
      </w:divBdr>
    </w:div>
    <w:div w:id="1736080544">
      <w:bodyDiv w:val="1"/>
      <w:marLeft w:val="0"/>
      <w:marRight w:val="0"/>
      <w:marTop w:val="0"/>
      <w:marBottom w:val="0"/>
      <w:divBdr>
        <w:top w:val="none" w:sz="0" w:space="0" w:color="auto"/>
        <w:left w:val="none" w:sz="0" w:space="0" w:color="auto"/>
        <w:bottom w:val="none" w:sz="0" w:space="0" w:color="auto"/>
        <w:right w:val="none" w:sz="0" w:space="0" w:color="auto"/>
      </w:divBdr>
    </w:div>
    <w:div w:id="1782142608">
      <w:bodyDiv w:val="1"/>
      <w:marLeft w:val="0"/>
      <w:marRight w:val="0"/>
      <w:marTop w:val="0"/>
      <w:marBottom w:val="0"/>
      <w:divBdr>
        <w:top w:val="none" w:sz="0" w:space="0" w:color="auto"/>
        <w:left w:val="none" w:sz="0" w:space="0" w:color="auto"/>
        <w:bottom w:val="none" w:sz="0" w:space="0" w:color="auto"/>
        <w:right w:val="none" w:sz="0" w:space="0" w:color="auto"/>
      </w:divBdr>
    </w:div>
    <w:div w:id="1871331508">
      <w:bodyDiv w:val="1"/>
      <w:marLeft w:val="0"/>
      <w:marRight w:val="0"/>
      <w:marTop w:val="0"/>
      <w:marBottom w:val="0"/>
      <w:divBdr>
        <w:top w:val="none" w:sz="0" w:space="0" w:color="auto"/>
        <w:left w:val="none" w:sz="0" w:space="0" w:color="auto"/>
        <w:bottom w:val="none" w:sz="0" w:space="0" w:color="auto"/>
        <w:right w:val="none" w:sz="0" w:space="0" w:color="auto"/>
      </w:divBdr>
    </w:div>
    <w:div w:id="1929582898">
      <w:bodyDiv w:val="1"/>
      <w:marLeft w:val="0"/>
      <w:marRight w:val="0"/>
      <w:marTop w:val="0"/>
      <w:marBottom w:val="0"/>
      <w:divBdr>
        <w:top w:val="none" w:sz="0" w:space="0" w:color="auto"/>
        <w:left w:val="none" w:sz="0" w:space="0" w:color="auto"/>
        <w:bottom w:val="none" w:sz="0" w:space="0" w:color="auto"/>
        <w:right w:val="none" w:sz="0" w:space="0" w:color="auto"/>
      </w:divBdr>
    </w:div>
    <w:div w:id="1930651922">
      <w:bodyDiv w:val="1"/>
      <w:marLeft w:val="0"/>
      <w:marRight w:val="0"/>
      <w:marTop w:val="0"/>
      <w:marBottom w:val="0"/>
      <w:divBdr>
        <w:top w:val="none" w:sz="0" w:space="0" w:color="auto"/>
        <w:left w:val="none" w:sz="0" w:space="0" w:color="auto"/>
        <w:bottom w:val="none" w:sz="0" w:space="0" w:color="auto"/>
        <w:right w:val="none" w:sz="0" w:space="0" w:color="auto"/>
      </w:divBdr>
    </w:div>
    <w:div w:id="1988128597">
      <w:bodyDiv w:val="1"/>
      <w:marLeft w:val="0"/>
      <w:marRight w:val="0"/>
      <w:marTop w:val="0"/>
      <w:marBottom w:val="0"/>
      <w:divBdr>
        <w:top w:val="none" w:sz="0" w:space="0" w:color="auto"/>
        <w:left w:val="none" w:sz="0" w:space="0" w:color="auto"/>
        <w:bottom w:val="none" w:sz="0" w:space="0" w:color="auto"/>
        <w:right w:val="none" w:sz="0" w:space="0" w:color="auto"/>
      </w:divBdr>
    </w:div>
    <w:div w:id="2017148456">
      <w:bodyDiv w:val="1"/>
      <w:marLeft w:val="0"/>
      <w:marRight w:val="0"/>
      <w:marTop w:val="0"/>
      <w:marBottom w:val="0"/>
      <w:divBdr>
        <w:top w:val="none" w:sz="0" w:space="0" w:color="auto"/>
        <w:left w:val="none" w:sz="0" w:space="0" w:color="auto"/>
        <w:bottom w:val="none" w:sz="0" w:space="0" w:color="auto"/>
        <w:right w:val="none" w:sz="0" w:space="0" w:color="auto"/>
      </w:divBdr>
    </w:div>
    <w:div w:id="2051489826">
      <w:bodyDiv w:val="1"/>
      <w:marLeft w:val="0"/>
      <w:marRight w:val="0"/>
      <w:marTop w:val="0"/>
      <w:marBottom w:val="0"/>
      <w:divBdr>
        <w:top w:val="none" w:sz="0" w:space="0" w:color="auto"/>
        <w:left w:val="none" w:sz="0" w:space="0" w:color="auto"/>
        <w:bottom w:val="none" w:sz="0" w:space="0" w:color="auto"/>
        <w:right w:val="none" w:sz="0" w:space="0" w:color="auto"/>
      </w:divBdr>
    </w:div>
    <w:div w:id="20553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Folkhälsomyndigheten">
  <a:themeElements>
    <a:clrScheme name="Livsmedelsverket">
      <a:dk1>
        <a:srgbClr val="27251F"/>
      </a:dk1>
      <a:lt1>
        <a:sysClr val="window" lastClr="FFFFFF"/>
      </a:lt1>
      <a:dk2>
        <a:srgbClr val="27251F"/>
      </a:dk2>
      <a:lt2>
        <a:srgbClr val="FFFFFF"/>
      </a:lt2>
      <a:accent1>
        <a:srgbClr val="FF782A"/>
      </a:accent1>
      <a:accent2>
        <a:srgbClr val="2CA1A4"/>
      </a:accent2>
      <a:accent3>
        <a:srgbClr val="757070"/>
      </a:accent3>
      <a:accent4>
        <a:srgbClr val="A05EB5"/>
      </a:accent4>
      <a:accent5>
        <a:srgbClr val="0073CA"/>
      </a:accent5>
      <a:accent6>
        <a:srgbClr val="4EA93F"/>
      </a:accent6>
      <a:hlink>
        <a:srgbClr val="FF782A"/>
      </a:hlink>
      <a:folHlink>
        <a:srgbClr val="2CA1A4"/>
      </a:folHlink>
    </a:clrScheme>
    <a:fontScheme name="Folkhälsomyndigheten_Word">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Lst>
  <a:extLst>
    <a:ext uri="{05A4C25C-085E-4340-85A3-A5531E510DB2}">
      <thm15:themeFamily xmlns:thm15="http://schemas.microsoft.com/office/thememl/2012/main" name="Blank.potx" id="{B7F18EE0-8993-4A4B-8B01-484472D245F9}" vid="{0B5E3D6D-2BFA-4D45-949D-2FF5D05222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CDB6-D991-419E-AA93-A722D7E3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5926</Words>
  <Characters>33780</Characters>
  <Application>Microsoft Office Word</Application>
  <DocSecurity>0</DocSecurity>
  <Lines>281</Lines>
  <Paragraphs>79</Paragraphs>
  <ScaleCrop>false</ScaleCrop>
  <HeadingPairs>
    <vt:vector size="2" baseType="variant">
      <vt:variant>
        <vt:lpstr>Rubrik</vt:lpstr>
      </vt:variant>
      <vt:variant>
        <vt:i4>1</vt:i4>
      </vt:variant>
    </vt:vector>
  </HeadingPairs>
  <TitlesOfParts>
    <vt:vector size="1" baseType="lpstr">
      <vt:lpstr>Livsmedelsverkets rapportserie</vt:lpstr>
    </vt:vector>
  </TitlesOfParts>
  <Company>Microsoft</Company>
  <LinksUpToDate>false</LinksUpToDate>
  <CharactersWithSpaces>39627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Livsmedelsverkets rapportserie</dc:title>
  <dc:subject/>
  <dc:creator>Livsmedelsverket</dc:creator>
  <cp:keywords>Livsmedelsverkets rapportserie</cp:keywords>
  <dc:description/>
  <cp:lastModifiedBy>Dimitris Dimitriadis</cp:lastModifiedBy>
  <cp:revision>4</cp:revision>
  <cp:lastPrinted>2022-02-02T12:18:00Z</cp:lastPrinted>
  <dcterms:created xsi:type="dcterms:W3CDTF">2022-05-24T08:06:00Z</dcterms:created>
  <dcterms:modified xsi:type="dcterms:W3CDTF">2022-06-13T12:04:00Z</dcterms:modified>
</cp:coreProperties>
</file>